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-137785</wp:posOffset>
            </wp:positionH>
            <wp:positionV relativeFrom="paragraph">
              <wp:posOffset>114300</wp:posOffset>
            </wp:positionV>
            <wp:extent cx="10199688" cy="542925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9688" cy="5429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UNIDADE DE ENSINO: EMEB</w:t>
      </w:r>
      <w:r w:rsidDel="00000000" w:rsidR="00000000" w:rsidRPr="00000000">
        <w:rPr>
          <w:b w:val="1"/>
          <w:bCs w:val="1"/>
          <w:rtl w:val="0"/>
        </w:rPr>
        <w:t xml:space="preserve">TI “JULIETA DEPS TALLON”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  <w:t xml:space="preserve">NOME DO PROFESSOR: HENRIQUE                                                            TURMA/TURMAS/TURNO: ENTURMAÇÃO</w:t>
        <w:br w:type="textWrapping"/>
        <w:t xml:space="preserve">TRIMESTRE:   2º                                        DATA/PERÍODO: </w:t>
      </w:r>
      <w:r w:rsidDel="00000000" w:rsidR="00000000" w:rsidRPr="00000000">
        <w:rPr>
          <w:b w:val="1"/>
          <w:bCs w:val="1"/>
          <w:rtl w:val="0"/>
        </w:rPr>
        <w:t xml:space="preserve">27/04 à 01/05</w:t>
      </w:r>
      <w:r w:rsidDel="00000000" w:rsidR="00000000" w:rsidRPr="00000000">
        <w:rPr>
          <w:rtl w:val="0"/>
        </w:rPr>
      </w:r>
    </w:p>
    <w:tbl>
      <w:tblPr>
        <w:tblStyle w:val="Table1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Edição e revisão de texto; Letramento digital; Ortografia.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EF15LP06, EF12LP02, EF35LP07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Entrega dos rascunhos. Apresentação da "Checklist do Editor" no quadro para forçar a revisão ativa.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Laboratório/Tablets. Os alunos farão a leitura atenta na tela do próprio texto durante a digitação, aplicando a regra ortográfica do R e RR  para corrigir falhas do rascunho.</w:t>
            </w:r>
          </w:p>
          <w:p w:rsidR="00000000" w:rsidDel="00000000" w:rsidP="00000000" w:rsidRDefault="00000000" w:rsidRPr="00000000" w14:paraId="00000015">
            <w:pPr>
              <w:widowControl w:val="0"/>
              <w:spacing w:after="240" w:before="240" w:line="240" w:lineRule="auto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Seleção de imagens/layout e impressão do jornal definitivo.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 da autonomia na leitura digital (identificar erros na tela) e aplicação prática das regras ortográficas durante a transição do papel para a tela.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REGISTRO DE PLANO DE AULA DO PROFESSOR  DO ENSINO FUNDAMENTAL I e 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6230.0" w:type="dxa"/>
        <w:jc w:val="left"/>
        <w:tblInd w:w="-5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815"/>
        <w:gridCol w:w="1860"/>
        <w:gridCol w:w="3630"/>
        <w:gridCol w:w="2625"/>
        <w:gridCol w:w="1725"/>
        <w:gridCol w:w="2925"/>
        <w:tblGridChange w:id="0">
          <w:tblGrid>
            <w:gridCol w:w="1650"/>
            <w:gridCol w:w="1815"/>
            <w:gridCol w:w="1860"/>
            <w:gridCol w:w="3630"/>
            <w:gridCol w:w="2625"/>
            <w:gridCol w:w="1725"/>
            <w:gridCol w:w="2925"/>
          </w:tblGrid>
        </w:tblGridChange>
      </w:tblGrid>
      <w:tr>
        <w:trPr>
          <w:cantSplit w:val="1"/>
          <w:tblHeader w:val="1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Disciplina / Componente Curricular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Objeto(s) de Conhecimento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Habilidades/ Descritores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Desenvolvimento Metodológico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Avaliação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Material adaptado para estudantes do Público da Educação Especial (Lei nº 881/2010 - Municipal) e para estudantes com TDAH (Lei nº 11.076/2019 - Estadual)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Língua Portuguesa e Geografia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Produção de textos orais (Publicidade); Gênero Anúncio; Paisagens urbanas e rurais; Ortografia (R/RR).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after="240" w:before="240"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EF15LP09, EF35LP10, EF03GE01, EF35LP07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after="240" w:before="2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Dinâmica "Jogo dos Sons" (identificar sons da roça e da cidade). Sorteio de qual produto vão vender (ex: carroça) e para qual público (urbano ou rural). Produção Textual. As duplas criam o roteiro do comercial argumentando por que o produto é útil naquela paisagem. Aplicação do "Pedágio Ortográfico": o texto só é aprovado se tiver 3 palavras com R/RR corretas. Apresentação na rádio (microfone, de costas para a turma). Audição atenta e votação do melhor argumento geográfico. Registro das palavras com R/RR no caderno.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Observação da fluência, clareza e ritmo durante a gravação/locução. Avaliação da capacidade argumentativa relacionando os produtos às características geográficas da roça/cidade.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92"/>
          <w:szCs w:val="92"/>
        </w:rPr>
      </w:pPr>
      <w:r w:rsidDel="00000000" w:rsidR="00000000" w:rsidRPr="00000000">
        <w:rPr>
          <w:rtl w:val="0"/>
        </w:rPr>
      </w:r>
    </w:p>
    <w:sectPr>
      <w:pgSz w:h="11920" w:w="16840" w:orient="landscape"/>
      <w:pgMar w:bottom="491" w:top="135" w:left="730" w:right="6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XeQvWqZu42EobN4dfCtb5IunWw==">CgMxLjA4AHIhMUhnMXBQQzNvc2l5VjRGRDNyMnEtTV9CYkNDN0ZCY1hj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