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Enturmação</w:t>
        <w:br w:type="textWrapping"/>
        <w:t xml:space="preserve">TRIMESTRE:   2º                                        DATA/PERÍODO: 11 </w:t>
      </w:r>
      <w:r w:rsidDel="00000000" w:rsidR="00000000" w:rsidRPr="00000000">
        <w:rPr>
          <w:b w:val="1"/>
          <w:bCs w:val="1"/>
          <w:rtl w:val="0"/>
        </w:rPr>
        <w:t xml:space="preserve">À 15 DE MAIO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Escrita autônoma e compartilhada; Planejamento de texto.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EF15LP05, EF02LP01.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Fábrica de Contos Inventados: Leitura de conto autoral. Criação coletiva de um banco de palavras (personagens e lugares absurdos). Produção de texto individual seguindo roteiro de parágrafos.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Capacidade de organização narrativa e uso do banco de palavras.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Produção de textos; Escrita descritiva.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EF35LP07, EF35LP09.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Biografia do Herói: Elaboração de ficha técnica do personagem criado (características e medos). Transformação da ficha em um texto de apresentação (reportagem).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Coerência entre a ficha técnica e o texto final; segmentação e pontuação.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92"/>
          <w:szCs w:val="92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Vo9kAHAyEYjFVMXMohmOjRBSgQ==">CgMxLjA4AHIhMWwyZjhXWE0xSXRvazBLTlp2R2xKUnRIdlpoMzVKZHRz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