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v3,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25,267 episodes in 9,096 US active equity funds from 1990 to 2023. Three regularities emerge. Time drives capitulation: the quarterly hazard of folding roughly quadruples between the first six months underwater and the fourth year, within the same fund. Depth drives death: severe shortfalls predict liquidation and make folding less likely, not more. And capitulation is vanishing: it ended roughly 7 percent of episodes begun in the 1990s, about 2 percent in the 2000s, close to 1 percent in the 2010s, and half a percent in the 2020s, while liquidation rates barely moved. Resisting was not measurably rewarded: funds still fighting after two years underwater went on to earn factor-adjusted returns about 2.4 percent per year below the funds that folded.</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roughly four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capitulation and death respond to opposite inputs. Depth of underperformance strongly predicts death and suppresses capitulation. Small funds die and large funds fold. Time underwater drives folding and does almost nothing to dying. The two clocks run in opposite directions, which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is disappearing. Roughly 7 percent of episodes that began in the early 1990s ended with the fund folding. For episodes beginning in the 2010s the figure is close to 1 percent, and for the 2020s half a percent. The path is one sharp break around 2000 followed by a long slide. Fund death shows no comparable trend: restricted to outright liquidations, the cleanest definition, the death rate is flat from the mid 1990s to today. Whatever changed in active management changed the behavior of funds under stress, not their mortality.</w:t>
      </w:r>
    </w:p>
    <w:p>
      <w:pPr>
        <w:spacing w:after="160" w:line="276"/>
      </w:pPr>
      <w:r>
        <w:rPr>
          <w:rFonts w:ascii="Georgia" w:cs="Georgia" w:eastAsia="Georgia" w:hAnsi="Georgia"/>
          <w:sz w:val="22"/>
          <w:szCs w:val="22"/>
        </w:rPr>
        <w:t xml:space="preserve">The last substantive result asks whether folding was a mistake. It was not, at least not measurably, and the point estimates lean the other way. Funds still fighting after eight quarters underwater went on to earn returns, adjusted for market, size, value, and momentum exposure, about 2.4 percent per year below the funds that had folded, in net and in gross returns alike, over the following three years. The design would have detected a conviction premium of 1.7 percent a year with standard power, so this is an adequately powered negative, not an underpowered null. In this sample, conviction was not an underpriced asset.</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Set against that literature, the pattern here is striking for running the other way at longer horizons: funds that have trailed for years do not double down on average, they de-risk into the benchmark, and the multi-quarter Active Share slide that precedes the crossing looks like the mirror image of tournament gambling. Short losing streaks may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25,267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and three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eleven spells in three decades contain both events, and imputed flows cannot distinguish client panic from share-class bookkeeping at that severity. That comparison waits for regulatory filings with true gross redemptions.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There are two honest ways to count endings, and they answer different questions. The first is simple shares of observed spells: 68 percent end in recovery, 7.5 percent end in death, 2 percent end in capitulation, and the remaining 22.5 percent are censored, still running when the data ends or interrupted by a reporting gap. Most losing streaks, in other words, just end, and mean reversion in relative returns does most of that work. The second way asks a forward-looking question: for a fund entering a spell today, what is the cumulative chance of each bad ending if the spell drags on? That calculation must respect the fact that the two bad endings compete, since a dead fund can no longer fold, and Table 1 reports it. The horizons are long because some spells are: a losing streak that survives ten years carries a 43 percent cumulative chance of death against 14 percent for capitulation. Death is the dominant long-run outcome; capitulation was always the rare exit, which is precisely why its disappearance needed a long panel to see.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(all spells)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42.9%</w:t>
            </w:r>
          </w:p>
        </w:tc>
      </w:tr>
    </w:tbl>
    <w:p>
      <w:pPr>
        <w:spacing w:after="200" w:before="60"/>
      </w:pPr>
      <w:r>
        <w:rPr>
          <w:rFonts w:ascii="Georgia" w:cs="Georgia" w:eastAsia="Georgia" w:hAnsi="Georgia"/>
          <w:i/>
          <w:iCs/>
          <w:color w:val="444444"/>
          <w:sz w:val="18"/>
          <w:szCs w:val="18"/>
        </w:rPr>
        <w:t xml:space="preserve">Table 1. Aalen-Johansen cumulative incidence of the two failure modes, each treated as a competing risk of the other. Horizons in years since spell entry. Recovery and data-edge exits are treated as censoring; a robustness treating recovery as a third competing state is in progress (Section 10).</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cumulative incidence curves for capitulation and death, full sample and by era]</w:t>
      </w:r>
    </w:p>
    <w:p>
      <w:pPr>
        <w:spacing w:after="200" w:before="60"/>
      </w:pPr>
      <w:r>
        <w:rPr>
          <w:rFonts w:ascii="Georgia" w:cs="Georgia" w:eastAsia="Georgia" w:hAnsi="Georgia"/>
          <w:i/>
          <w:iCs/>
          <w:color w:val="444444"/>
          <w:sz w:val="18"/>
          <w:szCs w:val="18"/>
        </w:rPr>
        <w:t xml:space="preserve">Figure 2. Cumulative incidence of capitulation and death as a spell lengthens (Aalen-Johansen).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fund size, fees, manager tenure, and era, with standard errors clustered by fund. The same specification runs twice, once for capitulation and once for death, and the contrast between the columns of Table 2 is the section's result.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5–15% behind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15–25%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1.99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25–40%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&gt;40%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0.75</w:t>
            </w:r>
          </w:p>
        </w:tc>
      </w:tr>
    </w:tbl>
    <w:p>
      <w:pPr>
        <w:spacing w:after="200" w:before="60"/>
      </w:pPr>
      <w:r>
        <w:rPr>
          <w:rFonts w:ascii="Georgia" w:cs="Georgia" w:eastAsia="Georgia" w:hAnsi="Georgia"/>
          <w:i/>
          <w:iCs/>
          <w:color w:val="444444"/>
          <w:sz w:val="18"/>
          <w:szCs w:val="18"/>
        </w:rPr>
        <w:t xml:space="preserve">Table 2. Discrete-time hazard ratios, both outcomes, 129,991 spell-quarters. Duration baseline is quarters 1–2; depth baseline is 0–5% behind. All duration effects for capitulation and all depth effects for death are significant at the 1% level (fund-clustered). The era hazard ratio for capitulation is 0.21 with a 95% confidence interval of roughly 0.17 to 0.25.</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and falls with depth; death hazard ignores time and rises with depth.</w:t>
      </w:r>
    </w:p>
    <w:p>
      <w:pPr>
        <w:spacing w:after="160" w:line="276"/>
      </w:pPr>
      <w:r>
        <w:rPr>
          <w:rFonts w:ascii="Georgia" w:cs="Georgia" w:eastAsia="Georgia" w:hAnsi="Georgia"/>
          <w:sz w:val="22"/>
          <w:szCs w:val="22"/>
        </w:rPr>
        <w:t xml:space="preserve">Read the capitulation column first. The duration gradient rises monotonically to about 4.5. The depth gradient is flat between the two shallowest buckets and then falls steeply, to 0.14 in catastrophic spells, so mild-to-moderate distress is where folding lives and severe distress almost forecloses it. The death column explains why: severe distress doubles the death hazard while ignoring duration entirely. The fund is busy dying instead. Size completes the split. Each log point of assets cuts the death hazard by a third and nudges the capitulation hazard up. Small funds die. Big funds fold.</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grind, not a jump: Active Share drifts down for several quarters before the threshold crossing (Figure 5), and once that slide enters the model the other covariates lose force, which is what a mediating mechanism should look like. Whether the slide reflects deliberate selling or passive drift of losing positions toward benchmark weights is the decomposition still pending (Section 10). And funds that survived a previous spell are far less depth-sensitive in their next one, a desensitization pattern that invites, though does not yet support, a psychological reading.</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matched spell-quarters that did not end in capitulation. Caption note: the trading-versus-drift decomposition of this slide is pending.</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1,841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5,823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4.3%</w:t>
            </w:r>
          </w:p>
        </w:tc>
      </w:tr>
    </w:tbl>
    <w:p>
      <w:pPr>
        <w:spacing w:after="200" w:before="60"/>
      </w:pPr>
      <w:r>
        <w:rPr>
          <w:rFonts w:ascii="Georgia" w:cs="Georgia" w:eastAsia="Georgia" w:hAnsi="Georgia"/>
          <w:i/>
          <w:iCs/>
          <w:color w:val="444444"/>
          <w:sz w:val="18"/>
          <w:szCs w:val="18"/>
        </w:rPr>
        <w:t xml:space="preserve">Table 3. Outcome shares by entry cohort. The seven cohorts hold 25,209 spells; the remaining 58 began before 1990 and are excluded from era claims throughout. Capitulation here uses the minimum-Active-Share definition; rates under the entry-benchmark-only definition are lower in every cohort but decline identically (Section 6, benchmark reassignment).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0.21 times the 1995 to 2009 rate, with a confidence interval of roughly 0.17 to 0.25, after conditioning on duration, depth, size, fees, and tenure. The unconditional ratio is 0.31, so the covariates strengthen the decline rather than explaining it, which is worth noticing: the modern high-conviction fund population looks, on observables, more prone to fold than its predecessors, and folds far less.</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and only 4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0.21 to 0.24.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finding cuts against the paper's convenience and is reported in that spirit. Slightly over half of capitulation events in every era involve benchmark reassignment: the fund's nearest index at the crossing differs from its nearest index at entry, so part of the measured drop reflects relabeling. Three facts contain the damage. Ninety percent of reassignments land in the same size segment, and more than half land on a style sibling of the original index, so the typical case is a growth fund ending up nearest the value flavor of the same family, a fund dissolving into the index complex rather than jumping styles. The fund's Active Share against its original benchmark at the crossing has a median of 0.69, no longer clearly active against any nearby ruler. And the reassignment share is flat across eras while clean same-benchmark folds have grown as a share of the total, so reassignment moves event levels, which the paper reports under both definitions, and cannot move the trend.</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1,902 of the 25,267 spells end in the fund's death, of which 609 are liquidations, and classifying mergers by the acquired fund's condition, trailing performance underwater or assets halved over two years, marks 45 percent of merger deaths as distressed.</w:t>
      </w:r>
    </w:p>
    <w:p>
      <w:pPr>
        <w:spacing w:after="160" w:line="276"/>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2.6 and 2.4 percent, flat, across exactly the period in which capitulation fell by two thirds. The depth gradient also sharpens on liquidations only: in the liquidation-only hazard model, the deepest spells are about five times likelier to end in liquidation than the shallowest, versus the roughly twofold gradient in Table 2, where administrative mergers dilute the signal.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Capitulators enter a portfolio the month after their Active Share crosses below 60. Resisters enter the month after their eighth consecutive underwater quarter, using only information available at that moment.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−2.38% (t −4.0)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−2.27% (t −3.8)</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bl>
    <w:p>
      <w:pPr>
        <w:spacing w:after="200" w:before="60"/>
      </w:pPr>
      <w:r>
        <w:rPr>
          <w:rFonts w:ascii="Georgia" w:cs="Georgia" w:eastAsia="Georgia" w:hAnsi="Georgia"/>
          <w:i/>
          <w:iCs/>
          <w:color w:val="444444"/>
          <w:sz w:val="18"/>
          <w:szCs w:val="18"/>
        </w:rPr>
        <w:t xml:space="preserve">Table 4. Calendar-time portfolios: 496 capitulator entries, 5,707 resister entries. Alphas are per group over each group's full window; spreads are estimated on common months, which is why columns need not difference exactly. Minimum detectable spread at 80% power: 1.7% per year (factor rulers), 1.8% (benchmark ruler). HAC standard errors.</w:t>
      </w:r>
    </w:p>
    <w:p>
      <w:pPr>
        <w:spacing w:after="160" w:line="276"/>
      </w:pPr>
      <w:r>
        <w:rPr>
          <w:rFonts w:ascii="Georgia" w:cs="Georgia" w:eastAsia="Georgia" w:hAnsi="Georgia"/>
          <w:sz w:val="22"/>
          <w:szCs w:val="22"/>
        </w:rPr>
        <w:t xml:space="preserve">The three rows tell one coherent story once the rulers are distinguished. Against factor models, resisters trail capitulators by about 2.4 percent a year, net and gross alike, so fees are not the explanation. Against each fund's own benchmark index, the two groups are indistinguishable, both about 3 percent a year behind. There is no contradiction: the benchmark ruler absorbs whatever the fund's active bets have in common with its index's style, while the factor ruler prices those bets. The spread lives entirely in how the resisters' continued active positions performed against systematic factors, and the answer is badly. Two caveats travel with the result. The groups enter the comparison at different points in their spells, and a version matching both at the same duration is in progress. And the claim is about averages over 1990 to 2023,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four-factor-adjusted return of resisters minus capitulators over the holding window.</w:t>
      </w:r>
    </w:p>
    <w:p>
      <w:pPr>
        <w:spacing w:after="160" w:line="276"/>
      </w:pPr>
      <w:r>
        <w:rPr>
          <w:rFonts w:ascii="Georgia" w:cs="Georgia" w:eastAsia="Georgia" w:hAnsi="Georgia"/>
          <w:sz w:val="22"/>
          <w:szCs w:val="22"/>
        </w:rPr>
        <w:t xml:space="preserve">What, then, drives the fold?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roughly doubles the odds of folding, while inflows and recent flow surprises carry no weight once cumulative shrinkage is in the model.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grind is visible before the fold. Capitulating funds slide in Active Share for several quarters before crossing the closet-indexing line, so an allocator tracking holdings-based Active Share, which is computable from public filings, historically had multiple quarters of warning that a strategy was being dissolved while its fees continued.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gives no support to the romance of backing long-suffering conviction on average. Funds that kept fighting past two years underwater went on to underperform the folders on a factor-adjusted basis. None of this says an individual resister cannot be the next recovery story. It says the base rates ran the other way.</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Five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matched-duration version of the Section 8 comparison, which could move the 2.4 percent magnitude though not easily its sign, given the size of the t-statistic. Third, the decomposition of the pre-capitulation Active Share slide into trades versus drift of losing positions, which determines whether the grind is chosen or endured. Fourth, treating recovery as a competing state rather than censoring, which bounds the cumulative-incidence magnitudes in Table 1. Fifth, the shelved manager-versus-client comparison, which returns when regulatory gross-redemption data arrives. None of these touches the core descriptive facts: the fatigue gradient, the depth split, and the disappearance.</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In the 1990s a fund deep into a losing streak had three exits, and all three saw regular traffic. Today one of them is nearly boarded up.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(29%)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Steeper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0.21→0.24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ruler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negative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Spells with a missing Active Share quarter are censored at the gap when the gap appears in the panel; single-quarter gaps absent from the panel are bridged, with durations counted in observed quarters. Processing scripts and aggregate outputs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 (to be completed)</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[All citations verified against primary sources for author, title, and journal; volume and page numbers to be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2026-08-08T00:15:55.615Z</dcterms:created>
  <dcterms:modified xsi:type="dcterms:W3CDTF">2026-08-08T00:15:55.628Z</dcterms:modified>
</cp:coreProperties>
</file>

<file path=docProps/custom.xml><?xml version="1.0" encoding="utf-8"?>
<Properties xmlns="http://schemas.openxmlformats.org/officeDocument/2006/custom-properties" xmlns:vt="http://schemas.openxmlformats.org/officeDocument/2006/docPropsVTypes"/>
</file>