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200"/>
        <w:jc w:val="center"/>
      </w:pPr>
      <w:r>
        <w:rPr>
          <w:rFonts w:ascii="Georgia" w:cs="Georgia" w:eastAsia="Georgia" w:hAnsi="Georgia"/>
          <w:b/>
          <w:bCs/>
          <w:sz w:val="48"/>
          <w:szCs w:val="48"/>
        </w:rPr>
        <w:t xml:space="preserve">Nobody Surrenders Anymore</w:t>
      </w:r>
    </w:p>
    <w:p>
      <w:pPr>
        <w:spacing w:after="480"/>
        <w:jc w:val="center"/>
      </w:pPr>
      <w:r>
        <w:rPr>
          <w:rFonts w:ascii="Georgia" w:cs="Georgia" w:eastAsia="Georgia" w:hAnsi="Georgia"/>
          <w:i/>
          <w:iCs/>
          <w:sz w:val="26"/>
          <w:szCs w:val="26"/>
        </w:rPr>
        <w:t xml:space="preserve">The disappearance of capitulation in US active equity funds, 1990–2023</w:t>
      </w:r>
    </w:p>
    <w:p>
      <w:pPr>
        <w:spacing w:after="120"/>
        <w:jc w:val="center"/>
      </w:pPr>
      <w:r>
        <w:rPr>
          <w:rFonts w:ascii="Georgia" w:cs="Georgia" w:eastAsia="Georgia" w:hAnsi="Georgia"/>
          <w:sz w:val="24"/>
          <w:szCs w:val="24"/>
        </w:rPr>
        <w:t xml:space="preserve">Colin Hisey</w:t>
      </w:r>
    </w:p>
    <w:p>
      <w:pPr>
        <w:spacing w:after="720"/>
        <w:jc w:val="center"/>
      </w:pPr>
      <w:r>
        <w:rPr>
          <w:rFonts w:ascii="Georgia" w:cs="Georgia" w:eastAsia="Georgia" w:hAnsi="Georgia"/>
          <w:i/>
          <w:iCs/>
          <w:color w:val="555555"/>
          <w:sz w:val="20"/>
          <w:szCs w:val="20"/>
        </w:rPr>
        <w:t xml:space="preserve">Working draft v7, August 2026. Comments welcome. Please do not cite without permission.</w:t>
      </w:r>
    </w:p>
    <w:p>
      <w:pPr>
        <w:pStyle w:val="Heading2"/>
        <w:spacing w:after="120" w:before="240"/>
      </w:pPr>
      <w:r>
        <w:rPr>
          <w:rFonts w:ascii="Georgia" w:cs="Georgia" w:eastAsia="Georgia" w:hAnsi="Georgia"/>
          <w:b/>
          <w:bCs/>
          <w:color w:val="1a1a1a"/>
          <w:sz w:val="24"/>
          <w:szCs w:val="24"/>
        </w:rPr>
        <w:t xml:space="preserve">Abstract</w:t>
      </w:r>
    </w:p>
    <w:p>
      <w:pPr>
        <w:spacing w:after="160" w:line="276"/>
      </w:pPr>
      <w:r>
        <w:rPr>
          <w:rFonts w:ascii="Georgia" w:cs="Georgia" w:eastAsia="Georgia" w:hAnsi="Georgia"/>
          <w:sz w:val="22"/>
          <w:szCs w:val="22"/>
        </w:rPr>
        <w:t xml:space="preserve">An active fund that falls behind its benchmark has three exits. It can recover, it can die, or it can quietly fold the portfolio toward the index. I measure folding, capitulation, as Active Share crossing from at least 70 percent to below 60 percent during a sustained underperformance episode, and I treat capitulation and fund death as competing failure modes across 25,990 episodes in 9,096 US active equity funds from 1990 to 2023. Three regularities emerge. Time drives capitulation: the quarterly hazard of folding roughly quintuples between the first six months underwater and the fourth year, within the same fund. Depth drives death: severe shortfalls predict liquidation and make folding less likely, not more. And capitulation is vanishing: it ended roughly 7 percent of episodes begun in the 1990s, about 2 percent in the 2000s, close to 1 percent in the 2010s, and half a percent in the 2020s, while liquidation rates barely moved. And resisting was neither rewarded nor punished: with power to detect a premium of about 1.5 percent a year, funds still fighting after two years underwater went on to perform indistinguishably from the funds that folded, both earning roughly zero gross alpha and fees-sized losses net.</w:t>
      </w:r>
    </w:p>
    <w:p>
      <w:r>
        <w:br w:type="page"/>
      </w:r>
    </w:p>
    <w:p>
      <w:pPr>
        <w:pStyle w:val="Heading1"/>
        <w:spacing w:after="160" w:before="320"/>
      </w:pPr>
      <w:r>
        <w:rPr>
          <w:rFonts w:ascii="Georgia" w:cs="Georgia" w:eastAsia="Georgia" w:hAnsi="Georgia"/>
          <w:b/>
          <w:bCs/>
          <w:color w:val="1a1a1a"/>
          <w:sz w:val="28"/>
          <w:szCs w:val="28"/>
        </w:rPr>
        <w:t xml:space="preserve">1. The exit nobody advertises</w:t>
      </w:r>
    </w:p>
    <w:p>
      <w:pPr>
        <w:spacing w:after="160" w:line="276"/>
      </w:pPr>
      <w:r>
        <w:rPr>
          <w:rFonts w:ascii="Georgia" w:cs="Georgia" w:eastAsia="Georgia" w:hAnsi="Georgia"/>
          <w:sz w:val="22"/>
          <w:szCs w:val="22"/>
        </w:rPr>
        <w:t xml:space="preserve">An active stock fund exists to be different from its benchmark index. Difference is the product being sold. It is also the only source of embarrassment, because a fund that differs can trail, and a fund that trails for years faces a choice no prospectus describes. It can hold the line and keep explaining. It can quietly rebuild the portfolio to look like the index, which ends the underperformance almost by definition and also ends the reason for the fund's fees. Or events can take the choice away when the fund is liquidated or merged out of existence.</w:t>
      </w:r>
    </w:p>
    <w:p>
      <w:pPr>
        <w:spacing w:after="160" w:line="276"/>
      </w:pPr>
      <w:r>
        <w:rPr>
          <w:rFonts w:ascii="Georgia" w:cs="Georgia" w:eastAsia="Georgia" w:hAnsi="Georgia"/>
          <w:sz w:val="22"/>
          <w:szCs w:val="22"/>
        </w:rPr>
        <w:t xml:space="preserve">I came to this problem from engineering rather than finance, and the framing I could not shake is reliability analysis. A part under stress can fail in more than one way, and the useful questions are always the same. Which failure mode dominates at which stress level? Does the hazard rise with time under load? Has the failure surface shifted across generations of the part? This paper asks those questions about active funds under the stress of underperformance. Folding toward the index is one failure mode. Death is the other. Recovery is the part surviving the test.</w:t>
      </w:r>
    </w:p>
    <w:p>
      <w:pPr>
        <w:spacing w:after="160" w:line="276"/>
      </w:pPr>
      <w:r>
        <w:rPr>
          <w:rFonts w:ascii="Georgia" w:cs="Georgia" w:eastAsia="Georgia" w:hAnsi="Georgia"/>
          <w:sz w:val="22"/>
          <w:szCs w:val="22"/>
        </w:rPr>
        <w:t xml:space="preserve">Measuring the fold takes one tool from the academic literature. Active Share, introduced by Cremers and Petajisto, is the fraction of a portfolio that differs from its benchmark index. A pure index fund sits near zero, a concentrated stock picker above 90 percent, and the literature's convention calls a fund below 60 percent a closet indexer, charging active fees for an index-like portfolio. I define capitulation as a fund that entered an underperformance episode unambiguously active, at 70 percent or above, and closed below 60 percent before the episode resolved. The fund kept existing. The bet inside it did not.</w:t>
      </w:r>
    </w:p>
    <w:p>
      <w:pPr>
        <w:spacing w:after="160" w:line="276"/>
      </w:pPr>
      <w:r>
        <w:rPr>
          <w:rFonts w:ascii="Georgia" w:cs="Georgia" w:eastAsia="Georgia" w:hAnsi="Georgia"/>
          <w:sz w:val="22"/>
          <w:szCs w:val="22"/>
        </w:rPr>
        <w:t xml:space="preserve">One caution belongs here rather than buried in the limitations. Capitulation as measured is a fund-level event. When Active Share collapses mid-episode, the data cannot yet distinguish a manager losing conviction from a board losing patience, firing the manager, and installing someone tamer. Both are surrender by the fund; only one is surrender by the manager. Manager-level histories that separate the two are the top item on this paper's pending list, and until they arrive, the paper's claims are about what funds do. Where the prose speculates about the people inside, it says so.</w:t>
      </w:r>
    </w:p>
    <w:p>
      <w:pPr>
        <w:spacing w:after="160" w:line="276"/>
      </w:pPr>
      <w:r>
        <w:rPr>
          <w:rFonts w:ascii="Georgia" w:cs="Georgia" w:eastAsia="Georgia" w:hAnsi="Georgia"/>
          <w:sz w:val="22"/>
          <w:szCs w:val="22"/>
        </w:rPr>
        <w:t xml:space="preserve">Three findings organize the paper. First, the hazard of capitulation rises steeply with time underwater. Holding severity fixed, a fund in the third year of a losing streak is nearly five times more likely to fold in the next quarter than a fund in its first six months. The gradient holds within first episodes, within repeat episodes, and after giving every fund its own baseline propensity, so it is not the artifact of stubborn and fragile funds sorting over time. Fatigue accumulates inside the same fund.</w:t>
      </w:r>
    </w:p>
    <w:p>
      <w:pPr>
        <w:spacing w:after="160" w:line="276"/>
      </w:pPr>
      <w:r>
        <w:rPr>
          <w:rFonts w:ascii="Georgia" w:cs="Georgia" w:eastAsia="Georgia" w:hAnsi="Georgia"/>
          <w:sz w:val="22"/>
          <w:szCs w:val="22"/>
        </w:rPr>
        <w:t xml:space="preserve">Second, capitulation and death respond to opposite inputs. Depth of underperformance strongly predicts death and suppresses capitulation. Small funds die and large funds fold. Time underwater drives folding and does almost nothing to dying. The two clocks run in opposite directions, which is why the competing-risks structure matters beyond econometric hygiene.</w:t>
      </w:r>
    </w:p>
    <w:p>
      <w:pPr>
        <w:spacing w:after="160" w:line="276"/>
      </w:pPr>
      <w:r>
        <w:rPr>
          <w:rFonts w:ascii="Georgia" w:cs="Georgia" w:eastAsia="Georgia" w:hAnsi="Georgia"/>
          <w:sz w:val="22"/>
          <w:szCs w:val="22"/>
        </w:rPr>
        <w:t xml:space="preserve">Third, and this is the headline, capitulation is disappearing. Roughly 7 percent of episodes that began in the early 1990s ended with the fund folding. For episodes beginning in the 2010s the figure is close to 1 percent, and for the 2020s half a percent. The path is one sharp break around 2000 followed by a long slide. Fund death shows no comparable trend: restricted to outright liquidations, the cleanest definition, the death rate is flat from the mid 1990s to today. Whatever changed in active management changed the behavior of funds under stress, not their mortality.</w:t>
      </w:r>
    </w:p>
    <w:p>
      <w:pPr>
        <w:spacing w:after="160" w:line="276"/>
      </w:pPr>
      <w:r>
        <w:rPr>
          <w:rFonts w:ascii="Georgia" w:cs="Georgia" w:eastAsia="Georgia" w:hAnsi="Georgia"/>
          <w:sz w:val="22"/>
          <w:szCs w:val="22"/>
        </w:rPr>
        <w:t xml:space="preserve">The last substantive result asks whether folding was a mistake, and the answer is that the choice did not matter for future returns. Funds still fighting after eight quarters underwater went on to perform indistinguishably from the funds that had folded, adjusted for market, size, value, and momentum exposure, in net and gross returns alike, over the following three years. The design would have detected a conviction premium (or penalty) of about 1.5 percent a year with standard power, so this is an adequately powered null, not an inconclusive one. Both groups earned roughly zero alpha gross of fees. What the fold changed was not future performance but what investors were paying active fees for.</w:t>
      </w:r>
    </w:p>
    <w:p>
      <w:pPr>
        <w:pStyle w:val="Heading1"/>
        <w:spacing w:after="160" w:before="320"/>
      </w:pPr>
      <w:r>
        <w:rPr>
          <w:rFonts w:ascii="Georgia" w:cs="Georgia" w:eastAsia="Georgia" w:hAnsi="Georgia"/>
          <w:b/>
          <w:bCs/>
          <w:color w:val="1a1a1a"/>
          <w:sz w:val="28"/>
          <w:szCs w:val="28"/>
        </w:rPr>
        <w:t xml:space="preserve">2. What was already known</w:t>
      </w:r>
    </w:p>
    <w:p>
      <w:pPr>
        <w:spacing w:after="160" w:line="276"/>
      </w:pPr>
      <w:r>
        <w:rPr>
          <w:rFonts w:ascii="Georgia" w:cs="Georgia" w:eastAsia="Georgia" w:hAnsi="Georgia"/>
          <w:sz w:val="22"/>
          <w:szCs w:val="22"/>
        </w:rPr>
        <w:t xml:space="preserve">Six strands of prior work border this one, and the borders are worth drawing precisely. Cremers and Petajisto built the Active Share measure and documented that closet indexing exists and is costly to investors. Their question was about skill and fees in the cross-section. Mine is about the dynamics of a single fund under stress, when in a losing streak the closet indexing begins. Cremers, Ferreira, Matos, and Starks showed that explicit and closet indexing move together across countries as index competition disciplines active managers. That work measures levels across markets; this paper documents a behavioral transition within one market that level comparisons would not detect.</w:t>
      </w:r>
    </w:p>
    <w:p>
      <w:pPr>
        <w:spacing w:after="160" w:line="276"/>
      </w:pPr>
      <w:r>
        <w:rPr>
          <w:rFonts w:ascii="Georgia" w:cs="Georgia" w:eastAsia="Georgia" w:hAnsi="Georgia"/>
          <w:sz w:val="22"/>
          <w:szCs w:val="22"/>
        </w:rPr>
        <w:t xml:space="preserve">The career-concerns literature supplies the natural behavioral mechanism. Chevalier and Ellison showed that termination risk shapes the risk-taking of mutual fund managers, especially young ones, and Brown, Harlow, and Starks showed that mid-year losers gamble, increasing risk in the second half of the year to catch up. Set against that literature, the pattern here is striking for running the other way at longer horizons: funds that have trailed for years do not double down on average, they de-risk into the benchmark, and the multi-quarter Active Share slide that precedes the crossing looks like the mirror image of tournament gambling. Short losing streaks may invite gambles; long ones, historically, invited surrender. The tenure result in Section 8, where seasoned management protects against folding, is consistent with career concerns doing real work.</w:t>
      </w:r>
    </w:p>
    <w:p>
      <w:pPr>
        <w:spacing w:after="160" w:line="276"/>
      </w:pPr>
      <w:r>
        <w:rPr>
          <w:rFonts w:ascii="Georgia" w:cs="Georgia" w:eastAsia="Georgia" w:hAnsi="Georgia"/>
          <w:sz w:val="22"/>
          <w:szCs w:val="22"/>
        </w:rPr>
        <w:t xml:space="preserve">Lynch and Musto modeled strategy changes by poorly performing funds and predicted that the change follows sustained pressure, which matches the fatigue gradient here. What their framework does not predict is the secular disappearance of the behavior. On the death side, Lunde, Timmermann, and Blake estimated hazard models of fund closure and established that sustained underperformance kills funds; this paper adds the second, competing exit and shows the two exits respond to different inputs. Berk and Green's capacity logic offers the rational alternative reading, in which a fund that has grown large optimally sheds active risk. Their model does not speak of Active Share directly, but a natural extension of its logic predicts de-activation following success, inflows, and growth. Section 8 races that prediction against the pressure story directly, and pressure wins. Finally, Frazzini, Friedman, and Pomorski criticized Active Share as a predictor of skill, and nothing here disputes that. Active Share serves this paper as a measure of what a portfolio is doing, not of whether its manager is good.</w:t>
      </w:r>
    </w:p>
    <w:p>
      <w:pPr>
        <w:pStyle w:val="Heading1"/>
        <w:spacing w:after="160" w:before="320"/>
      </w:pPr>
      <w:r>
        <w:rPr>
          <w:rFonts w:ascii="Georgia" w:cs="Georgia" w:eastAsia="Georgia" w:hAnsi="Georgia"/>
          <w:b/>
          <w:bCs/>
          <w:color w:val="1a1a1a"/>
          <w:sz w:val="28"/>
          <w:szCs w:val="28"/>
        </w:rPr>
        <w:t xml:space="preserve">3. Data and how the measurements were checked</w:t>
      </w:r>
    </w:p>
    <w:p>
      <w:pPr>
        <w:spacing w:after="160" w:line="276"/>
      </w:pPr>
      <w:r>
        <w:rPr>
          <w:rFonts w:ascii="Georgia" w:cs="Georgia" w:eastAsia="Georgia" w:hAnsi="Georgia"/>
          <w:sz w:val="22"/>
          <w:szCs w:val="22"/>
        </w:rPr>
        <w:t xml:space="preserve">The spine of the data is the CRSP Survivor-Bias-Free US Mutual Fund database for returns, assets, share classes, and fund exits, joined at the fund level (share classes aggregated) to the Notre Dame Active Share database, which computes quarterly Active Share for US equity funds against roughly twenty candidate benchmark indexes. A fund's benchmark each quarter is the index against which its Active Share is lowest, the standard convention, since a closet indexer should be judged against whatever index it actually hugs. Section 6 reports how results change when this choice is frozen, restricted, or replaced.</w:t>
      </w:r>
    </w:p>
    <w:p>
      <w:pPr>
        <w:spacing w:after="160" w:line="276"/>
      </w:pPr>
      <w:r>
        <w:rPr>
          <w:rFonts w:ascii="Georgia" w:cs="Georgia" w:eastAsia="Georgia" w:hAnsi="Georgia"/>
          <w:sz w:val="22"/>
          <w:szCs w:val="22"/>
        </w:rPr>
        <w:t xml:space="preserve">Benchmark returns are official throughout: actual index return series from Cremers, Petajisto, and Zitzewitz for 1979 to 2008, official FTSE Russell monthly index returns from 2008 onward, extracted from the index provider's own files, and the CRSP S&amp;P 500 total return. Where the segments overlap they agree to the basis point, and internal checks (the Russell 3000 must equal the cap-weighted blend of the Russell 1000 and 2000 every month) hold across the sample. The Active Share measurements were validated against the published literature directly: over the 49,881 fund-quarters where this panel overlaps Petajisto's published data, the correlation is 0.98 with a mean absolute difference of one percentage point.</w:t>
      </w:r>
    </w:p>
    <w:p>
      <w:pPr>
        <w:spacing w:after="160" w:line="276"/>
      </w:pPr>
      <w:r>
        <w:rPr>
          <w:rFonts w:ascii="Georgia" w:cs="Georgia" w:eastAsia="Georgia" w:hAnsi="Georgia"/>
          <w:sz w:val="22"/>
          <w:szCs w:val="22"/>
        </w:rPr>
        <w:t xml:space="preserve">The pipeline was also checked against history, and Figure 4 shows the result. Fidelity Magellan's slide into index-hugging appears where the record says it should and is classified as a capitulation. Bill Miller's Value Trust rides a fourteen-quarter, 23 percent deep episode through the financial crisis without folding, which is exactly his reputation. Sequoia's Valeant episode runs nineteen quarters and reaches 28 percent behind. CGM Focus, run by the famously stubborn Ken Heebner, shows six deep episodes and zero capitulations. The Vanguard 500 index fund, planted as a negative control, is correctly removed by the passive-fund screen.</w:t>
      </w:r>
    </w:p>
    <w:p>
      <w:pPr>
        <w:spacing w:after="160" w:line="276"/>
      </w:pPr>
      <w:r>
        <w:rPr>
          <w:rFonts w:ascii="Georgia" w:cs="Georgia" w:eastAsia="Georgia" w:hAnsi="Georgia"/>
          <w:sz w:val="22"/>
          <w:szCs w:val="22"/>
        </w:rPr>
        <w:t xml:space="preserve">An underperformance episode, a spell, begins when a fund with Active Share of at least 70 percent falls behind its benchmark over the trailing four quarters, net of fees. It ends in one of four ways. Recovery, when trailing relative performance turns non-negative. Capitulation, when Active Share closes below 60. Death, defined as every share class of the fund terminating within four quarters of the spell's end (results are insensitive to windows of one to four quarters, and a zero-quarter window fails mechanically because funds stop reporting holdings shortly before they legally die). Or censoring at the edge of the data. The sample holds 25,990 spells across 9,096 funds. The panel formally extends back to 1980 but is thin before 1990 because the fund-linking tables are, so results are stated for 1990 through 2023 and nothing is claimed about the 1980s.</w:t>
      </w:r>
    </w:p>
    <w:p>
      <w:pPr>
        <w:pStyle w:val="Heading2"/>
        <w:spacing w:after="120" w:before="240"/>
      </w:pPr>
      <w:r>
        <w:rPr>
          <w:rFonts w:ascii="Georgia" w:cs="Georgia" w:eastAsia="Georgia" w:hAnsi="Georgia"/>
          <w:b/>
          <w:bCs/>
          <w:color w:val="1a1a1a"/>
          <w:sz w:val="24"/>
          <w:szCs w:val="24"/>
        </w:rPr>
        <w:t xml:space="preserve">3.1 What changed during the analysis</w:t>
      </w:r>
    </w:p>
    <w:p>
      <w:pPr>
        <w:spacing w:after="160" w:line="276"/>
      </w:pPr>
      <w:r>
        <w:rPr>
          <w:rFonts w:ascii="Georgia" w:cs="Georgia" w:eastAsia="Georgia" w:hAnsi="Georgia"/>
          <w:sz w:val="22"/>
          <w:szCs w:val="22"/>
        </w:rPr>
        <w:t xml:space="preserve">This project ran an adversarial review of its own design before drafting, twenty-three critiques answered by the battery in Appendix A, plus two rounds of adversarial line-by-line review of the pipeline code itself, and five things changed as a result. They are collected here once rather than sprinkled through the paper. First, an early version reconstructed Russell index returns from a constituent holdings file, and a triangulation test against the French size portfolios caught the reconstruction running about 1.2 percent per month hot. Replacing it with official index returns made the era decline stronger, which is worth savoring: the paper's headline was being muted, not manufactured, by its worst measurement error. Second, an earlier claim that the decline extends back through the 1980s was withdrawn; the early panel is too thin, and the one external ruler available for that period shows no decline before the mid 1990s. Third, a planned comparison of manager capitulation against client capitulation, redemptions calibrated to be exactly as rare as manager folds, was shelved when the calibration exposed the flow data's limits: at the calibrated threshold, only eleven spells in three decades contain both events, and imputed flows cannot distinguish client panic from share-class bookkeeping at that severity. That comparison waits for regulatory filings with true gross redemptions. Fourth, a first version of the forward-return comparison in Section 8 reported that resisters trailed capitulators by 2.4 percent a year; drawing the cumulative-spread figure exposed an arithmetic error, the risk-free rate subtracted from a long-short spread in which it cancels, and the corrected spread is zero. The bias equaled the sample-average T-bill rate almost exactly. Section 8 reports the corrected numbers, and the episode is one reason every headline claim in this paper now has a figure. Fifth, the code audit found two structural defects in the spell machinery: durations were counted over observed quarters but converted back to calendar dates downstream, misdating the crossing quarter for two thirds of capitulations (by a median of four quarters, because reporting gaps are common inside long spells), and episodes beginning on a fund's final observed quarter were silently dropped, undercounting deaths at the panel edge by 336. Fixing both moved the headline hazard ratios at the second decimal, raised the death share by about one percentage point, and cut the depth coefficient roughly in half; it also revealed that the direction of the death-duration gradient is not robust to sample and controls, so this paper claims nothing about it. Every number here comes from the corrected machinery, and both audit reports are in the replication package. A cleaning-rule correction with no effect on results is described in Appendix B.</w:t>
      </w:r>
    </w:p>
    <w:p>
      <w:pPr>
        <w:pStyle w:val="Heading1"/>
        <w:spacing w:after="160" w:before="320"/>
      </w:pPr>
      <w:r>
        <w:rPr>
          <w:rFonts w:ascii="Georgia" w:cs="Georgia" w:eastAsia="Georgia" w:hAnsi="Georgia"/>
          <w:b/>
          <w:bCs/>
          <w:color w:val="1a1a1a"/>
          <w:sz w:val="28"/>
          <w:szCs w:val="28"/>
        </w:rPr>
        <w:t xml:space="preserve">4. How losing streaks end</w:t>
      </w:r>
    </w:p>
    <w:p>
      <w:pPr>
        <w:spacing w:after="160" w:line="276"/>
      </w:pPr>
      <w:r>
        <w:rPr>
          <w:rFonts w:ascii="Georgia" w:cs="Georgia" w:eastAsia="Georgia" w:hAnsi="Georgia"/>
          <w:sz w:val="22"/>
          <w:szCs w:val="22"/>
        </w:rPr>
        <w:t xml:space="preserve">Counting endings honestly requires treating recovery as the competing outcome it is, since funds recover through the same mean reversion that drives the depth variable. In simple shares, 80 percent of spells end in recovery, 8.6 percent in death, 1.9 percent in capitulation, and 9.5 percent are censored at the data's edge. Most losing streaks just end, and they end quickly: nearly seventy percent of spells recover within two years. Table 1 reports the forward-looking version, the cumulative chance of each ending as a spell wears on, with all three endings competing, since a fund that has recovered or died can no longer fold. Death outruns capitulation roughly four to one at every horizon. Capitulation was always the rare exit, which is precisely why its disappearance needed a long panel to see, and why the hazard models of Section 5, which condition on the spell still running, are the right instrument for studying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500"/>
      </w:tblGrid>
      <w:tr>
        <w:trPr>
          <w:tblHeader/>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Cumulative incidence (competing risks)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2 yrs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4 yrs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6 yrs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10 yrs</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Fund recovers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68.7%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84.2%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87.5%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88.3%</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Fund dies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7.4%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9.0%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9.4%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9.5%</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Fund capitulates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2.2%</w:t>
            </w:r>
          </w:p>
        </w:tc>
      </w:tr>
    </w:tbl>
    <w:p>
      <w:pPr>
        <w:spacing w:after="200" w:before="60"/>
      </w:pPr>
      <w:r>
        <w:rPr>
          <w:rFonts w:ascii="Georgia" w:cs="Georgia" w:eastAsia="Georgia" w:hAnsi="Georgia"/>
          <w:i/>
          <w:iCs/>
          <w:color w:val="444444"/>
          <w:sz w:val="18"/>
          <w:szCs w:val="18"/>
        </w:rPr>
        <w:t xml:space="preserve">Table 1. Aalen-Johansen cumulative incidence with recovery, death, and capitulation as mutually competing outcomes; only data-edge exits are censored. Horizons in years since spell entry. The earlier convention treating recovery as censoring inflates the death and capitulation columns several-fold; the multinomial competing-risks model confirms the Section 5 hazard results are unaffected by the choice.</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2 about here: three-state cumulative incidence curves, full sample and capitulation by era]</w:t>
      </w:r>
    </w:p>
    <w:p>
      <w:pPr>
        <w:spacing w:after="200" w:before="60"/>
      </w:pPr>
      <w:r>
        <w:rPr>
          <w:rFonts w:ascii="Georgia" w:cs="Georgia" w:eastAsia="Georgia" w:hAnsi="Georgia"/>
          <w:i/>
          <w:iCs/>
          <w:color w:val="444444"/>
          <w:sz w:val="18"/>
          <w:szCs w:val="18"/>
        </w:rPr>
        <w:t xml:space="preserve">Figure 2. Cumulative incidence of the three endings as a spell lengthens (Aalen-Johansen, competing risks). The capitulation curve flattens dramatically for spells beginning after 2010; the death curve does not.</w:t>
      </w:r>
    </w:p>
    <w:p>
      <w:pPr>
        <w:pStyle w:val="Heading1"/>
        <w:spacing w:after="160" w:before="320"/>
      </w:pPr>
      <w:r>
        <w:rPr>
          <w:rFonts w:ascii="Georgia" w:cs="Georgia" w:eastAsia="Georgia" w:hAnsi="Georgia"/>
          <w:b/>
          <w:bCs/>
          <w:color w:val="1a1a1a"/>
          <w:sz w:val="28"/>
          <w:szCs w:val="28"/>
        </w:rPr>
        <w:t xml:space="preserve">5. Time drives folding, depth drives death</w:t>
      </w:r>
    </w:p>
    <w:p>
      <w:pPr>
        <w:spacing w:after="160" w:line="276"/>
      </w:pPr>
      <w:r>
        <w:rPr>
          <w:rFonts w:ascii="Georgia" w:cs="Georgia" w:eastAsia="Georgia" w:hAnsi="Georgia"/>
          <w:sz w:val="22"/>
          <w:szCs w:val="22"/>
        </w:rPr>
        <w:t xml:space="preserve">The workhorse is a discrete-time hazard model. Each quarter a fund spends inside a spell is one observation, the outcome is whether the fund folded that quarter, and the covariates are the spell's duration so far, its depth so far (the worst trailing four-quarter shortfall to date, lagged one quarter so the event cannot explain its own cause), and era, with standard errors clustered by fund. Table 2 reports this reduced form on the full sample, once for capitulation and once for death, and the contrast between the columns is the section's result. Adding fund size, fees, and manager tenure costs a third of the sample (manager dates are thin early) and changes nothing that matters: the era ratio moves from 0.20 to 0.22, and the size, fee, and tenure effects reported later in this section come from that controlled specification.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tblGrid>
      <w:tr>
        <w:trPr>
          <w:tblHeader/>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Hazard ratio vs. baseline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Capitulation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Death</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3–4 underwater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2.01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0.66</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5–8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3.18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0.78</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9–12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4.83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0.90</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13+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5.26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0.87</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10 pp deeper shortfall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0.74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1.15</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Era 1990–94 (vs 1995–2009)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0.98</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Era 2010–23 (vs 1995–2009)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0.20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0.79</w:t>
            </w:r>
          </w:p>
        </w:tc>
      </w:tr>
    </w:tbl>
    <w:p>
      <w:pPr>
        <w:spacing w:after="200" w:before="60"/>
      </w:pPr>
      <w:r>
        <w:rPr>
          <w:rFonts w:ascii="Georgia" w:cs="Georgia" w:eastAsia="Georgia" w:hAnsi="Georgia"/>
          <w:i/>
          <w:iCs/>
          <w:color w:val="444444"/>
          <w:sz w:val="18"/>
          <w:szCs w:val="18"/>
        </w:rPr>
        <w:t xml:space="preserve">Table 2. Discrete-time hazard ratios, both outcomes, full-sample reduced form: 130,714 spell-quarters, 25,990 spells, 496 capitulations, 2,238 deaths, fund-clustered. Duration baseline is quarters 1–2; depth enters continuously and is reported per 10 percentage points of additional trailing shortfall. All capitulation duration effects, both depth effects, and the capitulation era effects are significant at the 1% level. The era hazard ratio for capitulation is 0.196 with a 95% confidence interval of roughly 0.16 to 0.24 (0.218 with entry controls); the pre-1995 row rests on only two calendar-clock events and its interval is wide. The death duration bins are shown for completeness but their direction is not robust to sample and controls (Section 3.1), and the paper makes no claim on them.</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3 about here: duration and depth hazard profiles, capitulation vs death side by side]</w:t>
      </w:r>
    </w:p>
    <w:p>
      <w:pPr>
        <w:spacing w:after="200" w:before="60"/>
      </w:pPr>
      <w:r>
        <w:rPr>
          <w:rFonts w:ascii="Georgia" w:cs="Georgia" w:eastAsia="Georgia" w:hAnsi="Georgia"/>
          <w:i/>
          <w:iCs/>
          <w:color w:val="444444"/>
          <w:sz w:val="18"/>
          <w:szCs w:val="18"/>
        </w:rPr>
        <w:t xml:space="preserve">Figure 3. The two clocks. Capitulation hazard rises with time underwater and falls with depth; death hazard rises with depth and shows no comparable duration ramp.</w:t>
      </w:r>
    </w:p>
    <w:p>
      <w:pPr>
        <w:spacing w:after="160" w:line="276"/>
      </w:pPr>
      <w:r>
        <w:rPr>
          <w:rFonts w:ascii="Georgia" w:cs="Georgia" w:eastAsia="Georgia" w:hAnsi="Georgia"/>
          <w:sz w:val="22"/>
          <w:szCs w:val="22"/>
        </w:rPr>
        <w:t xml:space="preserve">Read the capitulation column first. The duration gradient rises monotonically to above five. The depth gradient runs the other way: each ten percentage points of deeper shortfall multiplies the folding hazard by 0.74 and the death hazard by 1.15, so mild-to-moderate distress is where folding lives and severe distress almost forecloses it, because the fund is busy dying instead. Figure 3 shows the binned profiles behind these slopes, including the near-shutoff of folding in catastrophic spells. One honesty note belongs beside the depth number: its direction survives every convention tested, but its magnitude is the least stable coefficient in the paper, shrinking when spells are censored at reporting gaps instead of bridged (Appendix B), which is why the paper leans on the sign and the era and duration results rather than on any particular depth multiplier. Size completes the split, from the controlled specification: each log point of assets cuts the death hazard by a third and nudges the capitulation hazard up. Small funds die. Big funds fold.</w:t>
      </w:r>
    </w:p>
    <w:p>
      <w:pPr>
        <w:spacing w:after="160" w:line="276"/>
      </w:pPr>
      <w:r>
        <w:rPr>
          <w:rFonts w:ascii="Georgia" w:cs="Georgia" w:eastAsia="Georgia" w:hAnsi="Georgia"/>
          <w:sz w:val="22"/>
          <w:szCs w:val="22"/>
        </w:rPr>
        <w:t xml:space="preserve">The standard statistical objection is that rising duration effects can be manufactured by funds differing from one another, fragile types exiting early and tough types accumulating at long durations. Three tests meet it. The gradient holds within first spells only and within repeat spells only. It holds in a mixed model that gives every fund its own baseline hazard, the direct answer, and the estimated spread of those baselines is wide, so the objection's premise was correct even though its conclusion was not. And it holds in each half of a deterministic split of the sample. Fatigue operates within funds: the same fund becomes more likely to fold the longer its streak drags on.</w:t>
      </w:r>
    </w:p>
    <w:p>
      <w:pPr>
        <w:spacing w:after="160" w:line="276"/>
      </w:pPr>
      <w:r>
        <w:rPr>
          <w:rFonts w:ascii="Georgia" w:cs="Georgia" w:eastAsia="Georgia" w:hAnsi="Georgia"/>
          <w:sz w:val="22"/>
          <w:szCs w:val="22"/>
        </w:rPr>
        <w:t xml:space="preserve">Two texture results earn a sentence each. Capitulation arrives as a short, sharp de-risking rather than a long fade: Active Share drifts only a point or so over the preceding six quarters and then falls roughly ten points into the crossing (Figure 5), and once that final slide enters the model the other covariates lose force, which is what a mediating mechanism should look like. A holdings-level decomposition settles what the shape suggests: for every crossing with portfolio reports around it, the prior quarter's portfolio is rolled forward at market prices with no trades, giving the Active Share the fund would have had by sitting still. Table 5 reports the split. Price drift explains essentially none of the drop (a tenth of a point of a ten-point mean decline), the fund's own trades carry a median 99 percent of it, and both placebos, the same funds two quarters earlier and the fighters at quarter eight, show next to nothing. The recomputed Active Share correlates 0.93 with the Notre Dame values, validating the machinery. Capitulation is executed, not endured. And funds that survived a previous spell are far less depth-sensitive in their next one, a desensitization pattern that invites, though does not yet support, a psychological reading.</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5 about here: average Active Share path in event time, eight quarters before capitulation]</w:t>
      </w:r>
    </w:p>
    <w:p>
      <w:pPr>
        <w:spacing w:after="200" w:before="60"/>
      </w:pPr>
      <w:r>
        <w:rPr>
          <w:rFonts w:ascii="Georgia" w:cs="Georgia" w:eastAsia="Georgia" w:hAnsi="Georgia"/>
          <w:i/>
          <w:iCs/>
          <w:color w:val="444444"/>
          <w:sz w:val="18"/>
          <w:szCs w:val="18"/>
        </w:rPr>
        <w:t xml:space="preserve">Figure 5. The grind before the fold: mean Active Share in the quarters preceding a capitulation crossing, against the mean across all at-risk spell-quarters at least three quarters before any crossing. The drop concentrates in the final two quarters; Table 5 shows it is executed through trades.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900"/>
        <w:gridCol w:w="1400"/>
        <w:gridCol w:w="1600"/>
      </w:tblGrid>
      <w:tr>
        <w:trPr>
          <w:tblHeader/>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Event group</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Observed dAS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Drift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Trading</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Capitulation crossings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127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−10.2 pts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−10.1</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Same funds, 2q earlier</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115</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−0.8 pts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−0.8</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Fighters at quarter 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380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 pts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w:t>
            </w:r>
          </w:p>
        </w:tc>
      </w:tr>
    </w:tbl>
    <w:p>
      <w:pPr>
        <w:spacing w:after="200" w:before="60"/>
      </w:pPr>
      <w:r>
        <w:rPr>
          <w:rFonts w:ascii="Georgia" w:cs="Georgia" w:eastAsia="Georgia" w:hAnsi="Georgia"/>
          <w:i/>
          <w:iCs/>
          <w:color w:val="444444"/>
          <w:sz w:val="18"/>
          <w:szCs w:val="18"/>
        </w:rPr>
        <w:t xml:space="preserve">Table 5. Trading-versus-drift decomposition of Active Share changes (means, percentage points). Drift is the no-trade counterfactual change (prior holdings rolled forward at market returns, compared to the current benchmark); trading is the remainder. Among the 112 crossings with a material drop, trading exceeds drift in 93 percent; the trading share of the drop is 90 percent at the 25th percentile, 99 at the median, 107 at the 75th. Sample: events since 2002 with holdings in adjacent quarters (127 of 496 crossings, dated at the true calendar crossing); 27 percent of positions, mostly non-common-stock holdings, lack matched CRSP returns in the roll and are held flat, and 2.5 percent have partial gaps; recomputed Active Share correlates 0.926 with published values.</w:t>
      </w:r>
    </w:p>
    <w:p>
      <w:pPr>
        <w:pStyle w:val="Heading1"/>
        <w:spacing w:after="160" w:before="320"/>
      </w:pPr>
      <w:r>
        <w:rPr>
          <w:rFonts w:ascii="Georgia" w:cs="Georgia" w:eastAsia="Georgia" w:hAnsi="Georgia"/>
          <w:b/>
          <w:bCs/>
          <w:color w:val="1a1a1a"/>
          <w:sz w:val="28"/>
          <w:szCs w:val="28"/>
        </w:rPr>
        <w:t xml:space="preserve">6. The disappearance</w:t>
      </w:r>
    </w:p>
    <w:p>
      <w:pPr>
        <w:spacing w:after="160" w:line="276"/>
      </w:pPr>
      <w:r>
        <w:rPr>
          <w:rFonts w:ascii="Georgia" w:cs="Georgia" w:eastAsia="Georgia" w:hAnsi="Georgia"/>
          <w:sz w:val="22"/>
          <w:szCs w:val="22"/>
        </w:rPr>
        <w:t xml:space="preserve">Sort the same spells by the five-year window in which they began. Capitulation falls by an order of magnitude, with one sharp break around 2000 and a long slide after. Total deaths, in the rightmost column, include mergers and carry no trend, and the truncated final cohort has simply had less time to die; Section 7 does the death accounting properly.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800"/>
        <w:gridCol w:w="1800"/>
      </w:tblGrid>
      <w:tr>
        <w:trPr>
          <w:tblHeader/>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Spells beginning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Spells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Capitulated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Died (all)</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1990–1994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1,047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6.8%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8.9%</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1995–1999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1,875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7.6%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7.9%</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2000–2004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3,409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11.3%</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2005–2009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3,540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8.8%</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2010–2014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5,358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9.1%</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2015–2019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5,947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9.4%</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2020–2023</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4,756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5.3%</w:t>
            </w:r>
          </w:p>
        </w:tc>
      </w:tr>
    </w:tbl>
    <w:p>
      <w:pPr>
        <w:spacing w:after="200" w:before="60"/>
      </w:pPr>
      <w:r>
        <w:rPr>
          <w:rFonts w:ascii="Georgia" w:cs="Georgia" w:eastAsia="Georgia" w:hAnsi="Georgia"/>
          <w:i/>
          <w:iCs/>
          <w:color w:val="444444"/>
          <w:sz w:val="18"/>
          <w:szCs w:val="18"/>
        </w:rPr>
        <w:t xml:space="preserve">Table 3. Outcome shares by entry cohort. The seven cohorts hold 25,932 spells; the remaining 58 began before 1990 and are excluded from era claims throughout. Capitulation here uses the minimum-Active-Share definition; rates under the entry-benchmark-only definition are lower in every cohort but decline identically (Section 6, benchmark reassignment). The 2020–23 cohort is right-truncated for both outcomes.</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1 about here: capitulation rate and liquidation-only death rate by entry cohort]</w:t>
      </w:r>
    </w:p>
    <w:p>
      <w:pPr>
        <w:spacing w:after="200" w:before="60"/>
      </w:pPr>
      <w:r>
        <w:rPr>
          <w:rFonts w:ascii="Georgia" w:cs="Georgia" w:eastAsia="Georgia" w:hAnsi="Georgia"/>
          <w:i/>
          <w:iCs/>
          <w:color w:val="444444"/>
          <w:sz w:val="18"/>
          <w:szCs w:val="18"/>
        </w:rPr>
        <w:t xml:space="preserve">Figure 1. The paper in one picture. Capitulation by entry cohort collapses after 2000; liquidation-only death rates stay flat. Annotations mark the 2000 break and the truncated final cohort.</w:t>
      </w:r>
    </w:p>
    <w:p>
      <w:pPr>
        <w:spacing w:after="160" w:line="276"/>
      </w:pPr>
      <w:r>
        <w:rPr>
          <w:rFonts w:ascii="Georgia" w:cs="Georgia" w:eastAsia="Georgia" w:hAnsi="Georgia"/>
          <w:sz w:val="22"/>
          <w:szCs w:val="22"/>
        </w:rPr>
        <w:t xml:space="preserve">In hazard terms, spells active after 2010 fold at 0.20 times the 1995 to 2009 rate, with a confidence interval of roughly 0.16 to 0.24, conditioning on duration and depth; adding size, fees, and tenure moves the ratio to 0.22. The covariates neither create nor explain the decline. And the same specification run with death as the outcome puts the post-2010 death ratio at 0.92, statistically indistinguishable from no change. That pair of numbers, 0.20 against 0.92, is the paper's sharpest single contrast: funds under stress did not stop exiting, they stopped exiting this particular way.</w:t>
      </w:r>
    </w:p>
    <w:p>
      <w:pPr>
        <w:spacing w:after="160" w:line="276"/>
      </w:pPr>
      <w:r>
        <w:rPr>
          <w:rFonts w:ascii="Georgia" w:cs="Georgia" w:eastAsia="Georgia" w:hAnsi="Georgia"/>
          <w:sz w:val="22"/>
          <w:szCs w:val="22"/>
        </w:rPr>
        <w:t xml:space="preserve">One reconciliation belongs here, because Tables 2 and 3 tell the era story on two different clocks and a careful reader will notice the tension. By entry cohort (Table 3), the earliest spells capitulated most. By calendar quarter (Table 2), capitulation was nearly absent before 1995: just two events, against 319 in 1995 to 2009 and 175 after, and the pre-1995 hazard ratio of 0.09 says the per-quarter rate was lowest exactly when the cohort rate was highest. Both are true, and the resolution is the history: spells entered in the early 1990s ran long and crossed the closet-indexing line during the late-1990s and 2000s wave that Cremers and Petajisto documented. Capitulation was not an eternal constant that faded. It rose with the closet-indexing era and died with it, which sharpens the question the conclusion takes up: the exit did not just close, it opened and then closed within one professional generation.</w:t>
      </w:r>
    </w:p>
    <w:p>
      <w:pPr>
        <w:spacing w:after="160" w:line="276"/>
      </w:pPr>
      <w:r>
        <w:rPr>
          <w:rFonts w:ascii="Georgia" w:cs="Georgia" w:eastAsia="Georgia" w:hAnsi="Georgia"/>
          <w:sz w:val="22"/>
          <w:szCs w:val="22"/>
        </w:rPr>
        <w:t xml:space="preserve">A decline this large invites suspicion, and the suspicion was outsourced before being answered. Each mundane mechanism that could fake Table 3 became a test, summarized in one sentence each here and in full in Appendix A. Fee drag entering the spell definition: rerun gross and with fee-sized entry buffers, decline intact, and only 4 percent of spells are shallow enough to be fee artifacts at all. A benchmark menu that grows over time, mechanically lowering minimum Active Share later: rerun with the menu frozen at four indexes that exist throughout, decline steeper. Fixed 70/60 thresholds interacting with market concentration: redefine both thresholds relative to same-benchmark peers in the same year, decline intact. Holdings reported semiannually early and quarterly later: force semiannual observation everywhere, decline intact. Cohort composition: launch-cohort controls move the hazard ratio from 0.21 to 0.24. Incubation bias, left truncation, death-window definitions, and cleaning rules get the same treatment with the same outcome.</w:t>
      </w:r>
    </w:p>
    <w:p>
      <w:pPr>
        <w:spacing w:after="160" w:line="276"/>
      </w:pPr>
      <w:r>
        <w:rPr>
          <w:rFonts w:ascii="Georgia" w:cs="Georgia" w:eastAsia="Georgia" w:hAnsi="Georgia"/>
          <w:sz w:val="22"/>
          <w:szCs w:val="22"/>
        </w:rPr>
        <w:t xml:space="preserve">One measurement finding cuts against the paper's convenience and is reported in that spirit. Slightly over half of capitulation events in every era involve benchmark reassignment: the fund's nearest index at the crossing differs from its nearest index at entry, so part of the measured drop reflects relabeling. Three facts contain the damage. Ninety percent of reassignments land in the same size segment, and more than half land on a style sibling of the original index, so the typical case is a growth fund ending up nearest the value flavor of the same family, a fund dissolving into the index complex rather than jumping styles. The fund's Active Share against its original benchmark at the crossing has a median of 0.69, no longer clearly active against any nearby ruler. And the reassignment share is flat across eras while clean same-benchmark folds have grown as a share of the total, so reassignment moves event levels, which the paper reports under both definitions, and cannot move the trend.</w:t>
      </w:r>
    </w:p>
    <w:p>
      <w:pPr>
        <w:pStyle w:val="Heading1"/>
        <w:spacing w:after="160" w:before="320"/>
      </w:pPr>
      <w:r>
        <w:rPr>
          <w:rFonts w:ascii="Georgia" w:cs="Georgia" w:eastAsia="Georgia" w:hAnsi="Georgia"/>
          <w:b/>
          <w:bCs/>
          <w:color w:val="1a1a1a"/>
          <w:sz w:val="28"/>
          <w:szCs w:val="28"/>
        </w:rPr>
        <w:t xml:space="preserve">7. Death did not get rarer</w:t>
      </w:r>
    </w:p>
    <w:p>
      <w:pPr>
        <w:spacing w:after="160" w:line="276"/>
      </w:pPr>
      <w:r>
        <w:rPr>
          <w:rFonts w:ascii="Georgia" w:cs="Georgia" w:eastAsia="Georgia" w:hAnsi="Georgia"/>
          <w:sz w:val="22"/>
          <w:szCs w:val="22"/>
        </w:rPr>
        <w:t xml:space="preserve">Counting deaths requires stating the unit, because two different counts appear in this section. At the fund level, across all linked funds in the CRSP universe, terminal exits split into 2,453 liquidations, 3,712 mergers, and 1,802 exits with ambiguous codes. At the spell level, which is what Table 3 counts, 2,238 of the 25,990 spells end in the fund's death, of which 693 are liquidations, 1,173 mergers, and 372 exits with ambiguous codes, and classifying mergers by the acquired fund's condition, trailing performance underwater or assets halved over two years, marks 45 percent of merger deaths as distressed.</w:t>
      </w:r>
    </w:p>
    <w:p>
      <w:pPr>
        <w:spacing w:after="160" w:line="276"/>
      </w:pPr>
      <w:r>
        <w:rPr>
          <w:rFonts w:ascii="Georgia" w:cs="Georgia" w:eastAsia="Georgia" w:hAnsi="Georgia"/>
          <w:sz w:val="22"/>
          <w:szCs w:val="22"/>
        </w:rPr>
        <w:t xml:space="preserve">The paper's central contrast survives on the strictest definition. Liquidation rates for spells beginning in 1995 through 2009 versus 2010 through 2023 are 2.8 and 2.7 percent, flat, across exactly the period in which capitulation fell by two thirds; if anything, liquidation was rarer still in the early 1990s, at 1.6 percent (Figure 1), so the one exit that declined is the chosen one. The depth gradient also sharpens on liquidations only: in the liquidation-only hazard model, the deepest spells are about five times likelier to end in liquidation than the shallowest, versus the roughly twofold gradient in Table 2, where administrative mergers dilute the signal. Redemption pressure fits the same picture with a long fuse: funds that eventually die bleed about 2 percent of assets per quarter beginning two years before the end, far outside any liquidation-announcement window, worsening to 5 percent per quarter in the final two. The paper states that as timing, not causation. Put together: the market still removes failing funds at the old rate, while the funds' own preemptive surrender has nearly stopped.</w:t>
      </w:r>
    </w:p>
    <w:p>
      <w:pPr>
        <w:pStyle w:val="Heading1"/>
        <w:spacing w:after="160" w:before="320"/>
      </w:pPr>
      <w:r>
        <w:rPr>
          <w:rFonts w:ascii="Georgia" w:cs="Georgia" w:eastAsia="Georgia" w:hAnsi="Georgia"/>
          <w:b/>
          <w:bCs/>
          <w:color w:val="1a1a1a"/>
          <w:sz w:val="28"/>
          <w:szCs w:val="28"/>
        </w:rPr>
        <w:t xml:space="preserve">8. Was folding a mistake, and what drives it?</w:t>
      </w:r>
    </w:p>
    <w:p>
      <w:pPr>
        <w:spacing w:after="160" w:line="276"/>
      </w:pPr>
      <w:r>
        <w:rPr>
          <w:rFonts w:ascii="Georgia" w:cs="Georgia" w:eastAsia="Georgia" w:hAnsi="Georgia"/>
          <w:sz w:val="22"/>
          <w:szCs w:val="22"/>
        </w:rPr>
        <w:t xml:space="preserve">If conviction is valuable, funds that resist through long losing streaks should eventually be paid for it. The test is a calendar-time comparison, run two ways. In the unmatched design, capitulators enter a portfolio the month after their Active Share crosses below 60 and resisters enter the month after their eighth consecutive underwater quarter, using only information available at formation. In the matched design, both groups are formed standing at the same milestone of their spells, quarter eight, split by whether they had folded by then, so time-in-spell cannot drive the comparison; milestones at quarters four and twelve give the same answer. Both portfolios hold three years, equal weighted. Table 4 reports the results under three rulers.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1700"/>
        <w:gridCol w:w="1900"/>
      </w:tblGrid>
      <w:tr>
        <w:trPr>
          <w:tblHeader/>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Annualized, 36-month hold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Capitulators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Resisters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Spread (R − C)</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Four-factor alpha, net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−0.06% (t −0.1)</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Four-factor alpha, gross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+0.06% (t +0.1)</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Return vs own benchmark, net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−2.39%</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−2.43%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−0.00% (t −0.0)</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Matched at quarter 8, net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−0.66% (t −1.0)</w:t>
            </w:r>
          </w:p>
        </w:tc>
      </w:tr>
    </w:tbl>
    <w:p>
      <w:pPr>
        <w:spacing w:after="200" w:before="60"/>
      </w:pPr>
      <w:r>
        <w:rPr>
          <w:rFonts w:ascii="Georgia" w:cs="Georgia" w:eastAsia="Georgia" w:hAnsi="Georgia"/>
          <w:i/>
          <w:iCs/>
          <w:color w:val="444444"/>
          <w:sz w:val="18"/>
          <w:szCs w:val="18"/>
        </w:rPr>
        <w:t xml:space="preserve">Table 4. Calendar-time portfolios: 496 capitulator entries and the resisters still fighting at quarter eight, entries dated at the true calendar crossing or milestone, membership deduplicated. Alphas are per group over each group's full window; spreads are estimated on common months. Minimum detectable spread at 80% power: about 1.5% per year unmatched, 1.8% matched; matched milestones at quarters four and twelve give spreads of −0.6% and +0.4%, both inside their MDEs. HAC standard errors.</w:t>
      </w:r>
    </w:p>
    <w:p>
      <w:pPr>
        <w:spacing w:after="160" w:line="276"/>
      </w:pPr>
      <w:r>
        <w:rPr>
          <w:rFonts w:ascii="Georgia" w:cs="Georgia" w:eastAsia="Georgia" w:hAnsi="Georgia"/>
          <w:sz w:val="22"/>
          <w:szCs w:val="22"/>
        </w:rPr>
        <w:t xml:space="preserve">Every ruler now agrees, and the agreement is the finding. The factor-adjusted spread between resisters and capitulators is a few basis points with a t-statistic near zero, net and gross, matched and unmatched, and the own-benchmark ruler shows the same nothing. With power to detect a spread of about 1.5 percent a year, the conviction premium is an adequately powered null: resisting neither paid nor cost, on average, over 1990 to 2023. The levels are as telling as the spread. Both groups earn approximately zero gross alpha after formation (+0.2 percent a year for each) and approximately minus-fees net, and both bleed the same 2.4 percent a year against their own chosen benchmarks, so whatever information the fold-or-fight choice carried, it was not information about future returns. The one economic difference the choice made is what the fee bought afterward: capitulators charged active fees for index-like portfolios, resisters charged them for live bets that generated no alpha. The claim is about averages, not individuals; Bill Miller's crisis spell ended in recovery, and anyone holding him in 2005 had been paid handsomely for years of resistance.</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6 about here: cumulative factor-adjusted spread, resisters minus capitulators, 36-month event window]</w:t>
      </w:r>
    </w:p>
    <w:p>
      <w:pPr>
        <w:spacing w:after="200" w:before="60"/>
      </w:pPr>
      <w:r>
        <w:rPr>
          <w:rFonts w:ascii="Georgia" w:cs="Georgia" w:eastAsia="Georgia" w:hAnsi="Georgia"/>
          <w:i/>
          <w:iCs/>
          <w:color w:val="444444"/>
          <w:sz w:val="18"/>
          <w:szCs w:val="18"/>
        </w:rPr>
        <w:t xml:space="preserve">Figure 6. Cumulative factor-adjusted return of resisters minus capitulators in calendar time, ending near zero after three decades. This figure exposed the arithmetic error described in Section 3.1: the originally reported spread implied a cumulative gap near seventy points, which the picture flatly contradicted.</w:t>
      </w:r>
    </w:p>
    <w:p>
      <w:pPr>
        <w:spacing w:after="160" w:line="276"/>
      </w:pPr>
      <w:r>
        <w:rPr>
          <w:rFonts w:ascii="Georgia" w:cs="Georgia" w:eastAsia="Georgia" w:hAnsi="Georgia"/>
          <w:sz w:val="22"/>
          <w:szCs w:val="22"/>
        </w:rPr>
        <w:t xml:space="preserve">What, then, drives the fold? The rational alternative to a behavioral reading is capacity logic in the spirit of Berk and Green, in which a successful fund grows to the point where shedding active risk is optimal. That story and the pressure story make opposite predictions about what precedes a capitulation, so they can race in the hazard model. Pressure wins cleanly. A year of asset shrinkage roughly doubles the odds of folding, while inflows and recent flow surprises carry no weight once cumulative shrinkage is in the model. Folding follows sustained failure and shrinkage, not success and growth. Managerial seasoning also matters: each year of manager tenure cuts the capitulation hazard by about 8 percent, an estimate that agrees across three specifications and survives controlling for fund age. It carries a flag, since CRSP's manager-date field is missing for a third of the sample, and it awaits confirmation in cleaner manager data. Taken together with the career-concerns literature, the picture is of an exit chosen under duress by those with the least accumulated standing, an exit that has now largely closed.</w:t>
      </w:r>
    </w:p>
    <w:p>
      <w:pPr>
        <w:pStyle w:val="Heading1"/>
        <w:spacing w:after="160" w:before="320"/>
      </w:pPr>
      <w:r>
        <w:rPr>
          <w:rFonts w:ascii="Georgia" w:cs="Georgia" w:eastAsia="Georgia" w:hAnsi="Georgia"/>
          <w:b/>
          <w:bCs/>
          <w:color w:val="1a1a1a"/>
          <w:sz w:val="28"/>
          <w:szCs w:val="28"/>
        </w:rPr>
        <w:t xml:space="preserve">9. What this means for allocators and boards</w:t>
      </w:r>
    </w:p>
    <w:p>
      <w:pPr>
        <w:spacing w:after="160" w:line="276"/>
      </w:pPr>
      <w:r>
        <w:rPr>
          <w:rFonts w:ascii="Georgia" w:cs="Georgia" w:eastAsia="Georgia" w:hAnsi="Georgia"/>
          <w:sz w:val="22"/>
          <w:szCs w:val="22"/>
        </w:rPr>
        <w:t xml:space="preserve">Three practical readings follow from the failure-mode structure, offered as descriptions of what monitoring would have seen in this sample rather than as validated signals. First, the grind is visible before the fold. Capitulating funds slide in Active Share for several quarters before crossing the closet-indexing line, so an allocator tracking holdings-based Active Share, which is computable from public filings, historically had multiple quarters of warning that a strategy was being dissolved while its fees continued. Second, the failure modes sort by observable state. A large fund in a long, shallow losing streak was historically the capitulation-risk profile; a small fund deeply underwater was the mortality-risk profile, with redemptions running about 2 percent of assets a quarter as much as two years ahead of the end. The due-diligence question differs accordingly: for the first profile, is the portfolio still meaningfully different from the index; for the second, will the fund exist in two years. Third, the performance evidence deflates both romances at once. Backing long-suffering conviction earned nothing extra on average, and firing it cost nothing: funds that kept fighting past two years underwater and funds that folded went on to perform the same, roughly zero gross alpha either way. What differed is what the fee purchased. The practical question a capitulated holding poses is therefore not performance but product: an investor holding a folded fund owns an index fund at active prices, and the performance data say there is no hidden compensation for it.</w:t>
      </w:r>
    </w:p>
    <w:p>
      <w:pPr>
        <w:pStyle w:val="Heading1"/>
        <w:spacing w:after="160" w:before="320"/>
      </w:pPr>
      <w:r>
        <w:rPr>
          <w:rFonts w:ascii="Georgia" w:cs="Georgia" w:eastAsia="Georgia" w:hAnsi="Georgia"/>
          <w:b/>
          <w:bCs/>
          <w:color w:val="1a1a1a"/>
          <w:sz w:val="28"/>
          <w:szCs w:val="28"/>
        </w:rPr>
        <w:t xml:space="preserve">10. What this paper cannot yet say</w:t>
      </w:r>
    </w:p>
    <w:p>
      <w:pPr>
        <w:spacing w:after="160" w:line="276"/>
      </w:pPr>
      <w:r>
        <w:rPr>
          <w:rFonts w:ascii="Georgia" w:cs="Georgia" w:eastAsia="Georgia" w:hAnsi="Georgia"/>
          <w:sz w:val="22"/>
          <w:szCs w:val="22"/>
        </w:rPr>
        <w:t xml:space="preserve">Two items are pending, ranked by how much of the paper each could overturn. First, surrender versus succession: manager-level histories will show how many capitulations coincide with manager replacement. This threatens interpretation everywhere the prose gestures at psychology, though not the fund-level facts. Second, the shelved manager-versus-client comparison, which returns when regulatory gross-redemption data arrives. None of these touches the core descriptive facts: the fatigue gradient, the depth split, the disappearance, and now the traded nature of the fold.</w:t>
      </w:r>
    </w:p>
    <w:p>
      <w:pPr>
        <w:pStyle w:val="Heading1"/>
        <w:spacing w:after="160" w:before="320"/>
      </w:pPr>
      <w:r>
        <w:rPr>
          <w:rFonts w:ascii="Georgia" w:cs="Georgia" w:eastAsia="Georgia" w:hAnsi="Georgia"/>
          <w:b/>
          <w:bCs/>
          <w:color w:val="1a1a1a"/>
          <w:sz w:val="28"/>
          <w:szCs w:val="28"/>
        </w:rPr>
        <w:t xml:space="preserve">11. Conclusion</w:t>
      </w:r>
    </w:p>
    <w:p>
      <w:pPr>
        <w:spacing w:after="160" w:line="276"/>
      </w:pPr>
      <w:r>
        <w:rPr>
          <w:rFonts w:ascii="Georgia" w:cs="Georgia" w:eastAsia="Georgia" w:hAnsi="Georgia"/>
          <w:sz w:val="22"/>
          <w:szCs w:val="22"/>
        </w:rPr>
        <w:t xml:space="preserve">In the 1990s a fund deep into a losing streak had three exits, and all three saw regular traffic. Today one of them is nearly boarded up. Funds that fall behind now recover or die trying, and the quiet middle path, dissolving the bet into the index while keeping the fund alive, has almost vanished from American active management. The timing of the vanishing is at least suggestive, coinciding with the flood of cheap index funds and ETFs that turned index-hugging from a survivable compromise into a product with a superior competitor at a tenth of the price. A closet indexer in 1995 was mediocre. A closet indexer in 2015 was redundant, and clients could see it.</w:t>
      </w:r>
    </w:p>
    <w:p>
      <w:pPr>
        <w:spacing w:after="160" w:line="276"/>
      </w:pPr>
      <w:r>
        <w:rPr>
          <w:rFonts w:ascii="Georgia" w:cs="Georgia" w:eastAsia="Georgia" w:hAnsi="Georgia"/>
          <w:sz w:val="22"/>
          <w:szCs w:val="22"/>
        </w:rPr>
        <w:t xml:space="preserve">The reliability engineer's summary is this. The failure imposed from outside, death, arrives at the same rate it always did. The failure that requires a decision inside the fund, surrender, has nearly stopped occurring. Funds did not stop breaking because breaking became impossible. One way of breaking stopped being chosen, or stopped being permitted, and telling those two apart is the next paper.</w:t>
      </w:r>
    </w:p>
    <w:p>
      <w:r>
        <w:br w:type="page"/>
      </w:r>
    </w:p>
    <w:p>
      <w:pPr>
        <w:pStyle w:val="Heading1"/>
        <w:spacing w:after="160" w:before="320"/>
      </w:pPr>
      <w:r>
        <w:rPr>
          <w:rFonts w:ascii="Georgia" w:cs="Georgia" w:eastAsia="Georgia" w:hAnsi="Georgia"/>
          <w:b/>
          <w:bCs/>
          <w:color w:val="1a1a1a"/>
          <w:sz w:val="28"/>
          <w:szCs w:val="28"/>
        </w:rPr>
        <w:t xml:space="preserve">Appendix A. The robustness battery</w:t>
      </w:r>
    </w:p>
    <w:p>
      <w:pPr>
        <w:spacing w:after="160" w:line="276"/>
      </w:pPr>
      <w:r>
        <w:rPr>
          <w:rFonts w:ascii="Georgia" w:cs="Georgia" w:eastAsia="Georgia" w:hAnsi="Georgia"/>
          <w:sz w:val="22"/>
          <w:szCs w:val="22"/>
        </w:rPr>
        <w:t xml:space="preserve">The design was reviewed adversarially before drafting, generating twenty-three critiques; the answerable ones became the tests below. Each row names the concern, the test, the headline claim it protects, and the outcome.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1900"/>
        <w:gridCol w:w="1800"/>
      </w:tblGrid>
      <w:tr>
        <w:trPr>
          <w:tblHeader/>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Concern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Test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Protects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Outcome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Fee drag manufactures spells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Gross returns; fee buffer; fee-sized share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 4% fee-sized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Spell definition arbitrary</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Entry buffers; 8q window; depth filters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Incubation/backfill bias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 funds' first 2–3 years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Left truncation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 in-progress spells (29%)</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Death-window look-ahead</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Windows 0/1/2/4 quarters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Depth-kills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Holds at 1q+</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Depth-event simultaneity</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Depth lagged two quarters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 depth</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Cleaning rules bite by era</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Dropped-count tables; corrected TNA rule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Unchanged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Unobserved heterogeneity</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First/repeat spells; random intercepts; split sample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Benchmark menu grows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Frozen 4-index menu, rebuild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Steeper (HR 0.25)</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Benchmark reassignment</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Freeze at entry; classify all crossings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Levels, not trend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Fixed thresholds vs cap size</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Peer-relative terciles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Reporting frequency 2004</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Force semiannual everywhere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Launch-cohort composition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Cohort fixed effects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HR 0.21→0.24</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Mergers pollute death</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Liquidation-only; distressed split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Death-flat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Sharpens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Benchmark returns wrong</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Official series; 3-way calibration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Strengthens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AS idiosyncratic</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Corr 0.98 vs published Petajisto</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Validated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Pipeline errors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Six famous-fund traces + negative control</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Match record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Section 8 underpowered</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MDE; gross; own-benchmark; matched milestones; rf fix</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Folding result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Powered null</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Capacity story explains it</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Inflow/shrinkage horse race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Interpretation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Pressure wins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AS drop is passive drift</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No-trade counterfactual decomposition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Capitulation construct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Trading = ~100%</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Recovery censoring informative</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Three-state CIFs; multinomial competing risks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Table 1 levels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Levels recast; hazards 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Reassignment tail in definition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 crossings still active vs entry benchmark</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Capitulation construct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 (HR 0.23)</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Gap-bridging convention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Censor at gaps; calendar-true windows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 fatigue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 (HR 0.36–0.37); depth attenuates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Code errors survive review</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Two adversarial line-by-line audits + reruns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2nd-decimal moves; depth halved; death +1pp</w:t>
            </w:r>
          </w:p>
        </w:tc>
      </w:tr>
    </w:tbl>
    <w:p>
      <w:pPr>
        <w:spacing w:after="200" w:before="60"/>
      </w:pPr>
      <w:r>
        <w:rPr>
          <w:rFonts w:ascii="Georgia" w:cs="Georgia" w:eastAsia="Georgia" w:hAnsi="Georgia"/>
          <w:i/>
          <w:iCs/>
          <w:color w:val="444444"/>
          <w:sz w:val="18"/>
          <w:szCs w:val="18"/>
        </w:rPr>
        <w:t xml:space="preserve">Table A1. Summary of the robustness battery. Full specifications and numerical results are in the replication package.</w:t>
      </w:r>
    </w:p>
    <w:p>
      <w:pPr>
        <w:pStyle w:val="Heading1"/>
        <w:spacing w:after="160" w:before="320"/>
      </w:pPr>
      <w:r>
        <w:rPr>
          <w:rFonts w:ascii="Georgia" w:cs="Georgia" w:eastAsia="Georgia" w:hAnsi="Georgia"/>
          <w:b/>
          <w:bCs/>
          <w:color w:val="1a1a1a"/>
          <w:sz w:val="28"/>
          <w:szCs w:val="28"/>
        </w:rPr>
        <w:t xml:space="preserve">Appendix B. Definitions and cleaning rules</w:t>
      </w:r>
    </w:p>
    <w:p>
      <w:pPr>
        <w:spacing w:after="160" w:line="276"/>
      </w:pPr>
      <w:r>
        <w:rPr>
          <w:rFonts w:ascii="Georgia" w:cs="Georgia" w:eastAsia="Georgia" w:hAnsi="Georgia"/>
          <w:sz w:val="22"/>
          <w:szCs w:val="22"/>
        </w:rPr>
        <w:t xml:space="preserve">Spell entry: trailing four-quarter fund return net of fees below the trailing four-quarter benchmark return, with Active Share at or above 70 percent. Recovery: trailing relative return turns non-negative. Capitulation: minimum Active Share closes below 60 percent. Death: all share classes terminated within four quarters of the spell's end; sensitivity at zero, one, and two quarters in Appendix A. Depth: worst trailing four-quarter relative return so far in the spell, lagged one quarter. Benchmark: the index with lowest Active Share, per the Notre Dame convention, with official index returns as described in Section 3. Return hygiene: fund-months with absolute returns above 200 percent are dropped as data errors, as are months with observed assets under one million dollars. An earlier version of that rule treated missing assets as zero and silently discarded almost half of pre-1990 fund-months, since early CRSP reports assets quarterly; a robustness test caught it, the corrected rule (missing is not zero) changed no reported number to the second decimal, and the episode is why cleaning rules appear in this appendix as a table rather than a footnote. Flows: imputed from assets and returns at the share-class level, aggregated over retail classes, with total-fund flows as an alternative. Reporting gaps and the clock: quarters missing from the Active Share panel are bridged, so every duration in this paper counts observed quarters, and every event is dated at its true calendar quarter (the code audit of Section 3.1 found and fixed downstream conversions that assumed the two clocks agree; they diverge for a third of spells, and one spell bridges a hole of 110 quarters). The bracketing conventions were run in full: censoring every spell at its first gap gives an era hazard ratio of 0.37, and additionally requiring four consecutive calendar quarters for the performance window gives 0.36, both at more than six standard errors, so the disappearance and the duration gradient are convention-proof, while the capitulation-depth magnitude attenuates toward insignificance under censoring and is flagged accordingly in Section 5. Benchmark approximations: before 2008, official style-index returns (growth and value variants) do not exist in the assembled series, and style-benchmarked funds are measured against their core or S&amp;P counterpart; the mismeasurement is largest around 1999 to 2002 and moves individual spells' depths, not the era contrast, which survives on a frozen four-index menu. Calendar-time portfolios deduplicate fund-month membership; expense ratios missing after within-fund filling are set to the panel median (gross legs only). In the holdings decomposition, positions without CRSP return histories, 27 percent, mostly bonds, foreign lines, and cash instruments, are held at flat prices in the no-trade counterfactual. Processing scripts, aggregate outputs, and both code-audit reports are in the replication package; licensed source data (CRSP, Notre Dame, FTSE Russell) cannot be redistributed.</w:t>
      </w:r>
    </w:p>
    <w:p>
      <w:pPr>
        <w:pStyle w:val="Heading1"/>
        <w:spacing w:after="160" w:before="320"/>
      </w:pPr>
      <w:r>
        <w:rPr>
          <w:rFonts w:ascii="Georgia" w:cs="Georgia" w:eastAsia="Georgia" w:hAnsi="Georgia"/>
          <w:b/>
          <w:bCs/>
          <w:color w:val="1a1a1a"/>
          <w:sz w:val="28"/>
          <w:szCs w:val="28"/>
        </w:rPr>
        <w:t xml:space="preserve">References (to be completed)</w:t>
      </w:r>
    </w:p>
    <w:p>
      <w:pPr>
        <w:spacing w:after="160" w:line="276"/>
      </w:pPr>
      <w:r>
        <w:rPr>
          <w:rFonts w:ascii="Georgia" w:cs="Georgia" w:eastAsia="Georgia" w:hAnsi="Georgia"/>
          <w:sz w:val="22"/>
          <w:szCs w:val="22"/>
        </w:rPr>
        <w:t xml:space="preserve">Brown, K., W. Harlow, and L. Starks, 1996, Of tournaments and temptations: An analysis of managerial incentives in the mutual fund industry, Journal of Finance 51, 85–110. Chevalier, J., and G. Ellison, 1999, Career concerns of mutual fund managers, Quarterly Journal of Economics 114, 389–432. Cremers, M., and A. Petajisto, 2009, How active is your fund manager? A new measure that predicts performance, Review of Financial Studies 22, 3329–3365. Cremers, M., M. Ferreira, P. Matos, and L. Starks, 2016, Indexing and active fund management: International evidence, Journal of Financial Economics 120, 539–560. Frazzini, A., J. Friedman, and L. Pomorski, 2016, Deactivating active share, Financial Analysts Journal 72, 14–21. Lunde, A., A. Timmermann, and D. Blake, 1999, The hazards of mutual fund underperformance: A Cox regression analysis, Journal of Empirical Finance 6, 121–152. Lynch, A., and D. Musto, 2003, How investors interpret past fund returns, Journal of Finance 58, 2033–2058. Petajisto, A., 2013, Active share and mutual fund performance, Financial Analysts Journal 69, 73–93. [All citations verified against primary sources for author, title, and journal; volume and page numbers to be re-verified at final formatting.]</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2026-08-09T23:27:58.285Z</dcterms:created>
  <dcterms:modified xsi:type="dcterms:W3CDTF">2026-08-09T23:27:58.285Z</dcterms:modified>
</cp:coreProperties>
</file>

<file path=docProps/custom.xml><?xml version="1.0" encoding="utf-8"?>
<Properties xmlns="http://schemas.openxmlformats.org/officeDocument/2006/custom-properties" xmlns:vt="http://schemas.openxmlformats.org/officeDocument/2006/docPropsVTypes"/>
</file>