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1990–2023</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v8,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25,990 episodes in 9,096 US active equity funds from 1990 to 2023. Three regularities emerge. Time drives capitulation: the quarterly hazard of folding roughly quintuples between the first six months underwater and the fourth year, a gradient that survives giving every fund its own baseline propensity. The two failure modes select different funds: death is the exit of small funds in severe shortfalls, folding the exit of large funds already near the closet-indexing line; severe underperformance predicts liquidation, not surrender. And capitulation has vanished, from a peak rather than from a timeless norm: the per-quarter folding hazard was near zero before 1995, crested with the closet-indexing wave of 1995 to 2009, and now runs at a fifth of that rate, a collapse that also appears threshold-free as the disappearance of large within-episode Active Share declines. Episodes begun in the 1990s folded about 7 percent of the time; the 2020s cohort stands at half a percent so far (right-truncated). Fund death declined little on any definition, and hardly at all for outright liquidations. Resisting was neither clearly rewarded nor clearly punished: funds still fighting after two years underwater went on to perform within roughly 2 percent a year of the funds that folded, an adequately powered bound, with matched point estimates small and mostly negative; both groups earned roughly zero gross alpha and fees-sized losses net.</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nearly five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the two failure modes select different funds. Depth of underperformance strongly predicts death, and it does not predict folding once a fund's starting distance from the closet-indexing line is held fixed. An earlier draft reported that shallow episodes fold; an adversarial review caught what that mostly was, funds entering near the line having both shallow episodes and short trips to the threshold, and the claim is corrected here (Section 5). What survives correction is the selection pattern: small funds die and large funds fold, deep shortfalls kill without driving the fold, and time underwater drives folding while showing no robust pull on dying. Depth selects death; time and proximity select surrender. That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has vanished, and it vanished from a peak rather than from a timeless norm. By entry cohort, roughly 7 percent of episodes that began in the early 1990s ended with the fund folding; for the 2010s the figure is close to 1 percent, and for the right-truncated 2020s half a percent. On the calendar clock the same history is sharper: folding was nearly absent before 1995, crested during the closet-indexing wave of 1995 to 2009, and has since collapsed to a fifth of the peak rate. The behavior, not merely the threshold event, went away: large within-episode Active Share declines, measured with no reference to any crossing, collapsed in step. Fund death shows no comparable trend: restricted to outright liquidations, the cleanest definition, the death rate is flat from the mid 1990s to today, and even the broadest distress-inclusive definition declined by far less than folding did. Whatever changed in active management changed the behavior of funds under stress much more than their mortality.</w:t>
      </w:r>
    </w:p>
    <w:p>
      <w:pPr>
        <w:spacing w:after="160" w:line="276"/>
      </w:pPr>
      <w:r>
        <w:rPr>
          <w:rFonts w:ascii="Georgia" w:cs="Georgia" w:eastAsia="Georgia" w:hAnsi="Georgia"/>
          <w:sz w:val="22"/>
          <w:szCs w:val="22"/>
        </w:rP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performance but what investors were paying active fees for.</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Kempf, Ruenzi, and Thiele then showed the other half: when employment risk dominates compensation incentives, losing managers reduce risk within the year. This paper is not the first to find de-risking under pressure, and does not claim to be. What it adds to that strand is the horizon and the object: a multi-year, portfolio-dissolving version of the retreat, measured in holdings rather than volatility, that ends the strategy itself, and the fact that this terminal form of retreat has almost disappeared. The two behaviors coexist in the data here: about 28 percent of eventual capitulators first raise Active Share mid-episode, the tournament gamble, before dissolving the portfolio. Short losing streaks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25,990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plus two rounds of adversarial line-by-line review of the pipeline code itself, and six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nine to fifteen spells in three decades contain both events, depending on the flow convention,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Fifth, the code audit found two structural defects in the spell machinery: durations were counted over observed quarters but converted back to calendar dates downstream, misdating the crossing quarter for two thirds of capitulations (by a median of four quarters, because reporting gaps are common inside long spells), and episodes beginning on a fund's final observed quarter were silently dropped, undercounting deaths at the panel edge by 336. Fixing both moved the headline hazard ratios at the second decimal, raised the death share by about one percentage point, and cut the depth coefficient roughly in half; it also revealed that the direction of the death-duration gradient is not robust to sample and controls, so this paper claims nothing about it. Every number here comes from the corrected machinery, and both audit reports are in the replication package. Sixth, a third referee round identified a distance-to-threshold confound in the depth result: capitulation requires Active Share to travel from above 70 to below 60, and the distance to be traveled was never controlled. With entry Active Share in the model the apparent depth-suppression of folding disappears, and Sections 1 and 5 state the corrected finding; the era decline survives the same control within every entry band.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Counting endings honestly requires treating recovery as the competing outcome it is, since funds recover through the same mean reversion that drives the depth variable. In simple shares, 80 percent of spells end in recovery, 8.6 percent in death, 1.9 percent in capitulation, and 9.5 percent are censored at the data's edge. Most losing streaks just end, and they end quickly: nearly seventy percent of spells recover within two years. Table 1 reports the forward-looking version, the cumulative chance of each ending as a spell wears on, with all three endings competing, since a fund that has recovered or died can no longer fold. Death outruns capitulation four-to-five to one at every horizon. Capitulation was always the rare exit, which is precisely why its disappearance needed a long panel to see, and why the hazard models of Section 5, which condition on the spell still running, are the right instrument for studying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(competing risks)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recovers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87.5%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2.2%</w:t>
            </w:r>
          </w:p>
        </w:tc>
      </w:tr>
    </w:tbl>
    <w:p>
      <w:pPr>
        <w:spacing w:after="200" w:before="60"/>
      </w:pPr>
      <w:r>
        <w:rPr>
          <w:rFonts w:ascii="Georgia" w:cs="Georgia" w:eastAsia="Georgia" w:hAnsi="Georgia"/>
          <w:i/>
          <w:iCs/>
          <w:color w:val="444444"/>
          <w:sz w:val="18"/>
          <w:szCs w:val="18"/>
        </w:rPr>
        <w:t xml:space="preserve">Table 1. Aalen-Johansen cumulative incidence with recovery, death, and capitulation as mutually competing outcomes; only data-edge exits are censored. Horizons in years since spell entry. The earlier convention treating recovery as censoring inflates the death and capitulation columns several-fold; the multinomial competing-risks model confirms the Section 5 hazard results are unaffected by the choice.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three-state cumulative incidence curves, full sample and capitulation by era]</w:t>
      </w:r>
    </w:p>
    <w:p>
      <w:pPr>
        <w:spacing w:after="200" w:before="60"/>
      </w:pPr>
      <w:r>
        <w:rPr>
          <w:rFonts w:ascii="Georgia" w:cs="Georgia" w:eastAsia="Georgia" w:hAnsi="Georgia"/>
          <w:i/>
          <w:iCs/>
          <w:color w:val="444444"/>
          <w:sz w:val="18"/>
          <w:szCs w:val="18"/>
        </w:rPr>
        <w:t xml:space="preserve">Figure 2. Cumulative incidence of the three endings as a spell lengthens (Aalen-Johansen, competing risks).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and era, with standard errors clustered by fund. Table 2 reports this reduced form on the full sample, once for capitulation and once for death. Adding fund size, fees, and manager tenure costs a third of the sample (manager dates are thin early) and moves the era ratio from 0.20 to 0.22; adding the fund's Active Share at spell entry, the single most important covariate this design admits, moves it to 0.27. Entry Active Share matters enormously for folding, and honestly interpreting Table 2 requires it: a fund entering a spell at 72 percent has a twelve-point trip to the closet-indexing line, a fund entering at 95 a thirty-five-point one, and the folding hazard falls off steeply in that distance (funds above 90 percent almost never fold: 55 events in 71,326 spell-quarters). The era decline survives inside every entry band, 0.28 for funds entering at 70 to 80, 0.18 at 80 to 90, 0.42 above 90, so the disappearance is not the marginal near-line funds exiting the sample. One estimand distinction is stated rather than blurred: entry Active Share is chosen by the fund, and it rose across eras plausibly in response to the same competitive pressure that killed folding, so it is partly a mediator, not only a confounder. The uncontrolled 0.20 is then the total decline in folding; the controlled 0.27 is the decline holding the industry’s repositioning fixed, a conservative lower bound on the change. The paper reports both and claims only what both support.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3.18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10 pp deeper shortfall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1990–94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0.79</w:t>
            </w:r>
          </w:p>
        </w:tc>
      </w:tr>
    </w:tbl>
    <w:p>
      <w:pPr>
        <w:spacing w:after="200" w:before="60"/>
      </w:pPr>
      <w:r>
        <w:rPr>
          <w:rFonts w:ascii="Georgia" w:cs="Georgia" w:eastAsia="Georgia" w:hAnsi="Georgia"/>
          <w:i/>
          <w:iCs/>
          <w:color w:val="444444"/>
          <w:sz w:val="18"/>
          <w:szCs w:val="18"/>
        </w:rPr>
        <w:t xml:space="preserve">Table 2. Discrete-time hazard ratios, both outcomes, full-sample reduced form: 130,714 spell-quarters, 25,990 spells, 496 capitulations, 2,238 deaths, fund-clustered. Duration baseline is quarters 1–2; depth enters continuously and is reported per 10 percentage points of additional trailing shortfall. All capitulation duration effects, both depth effects, and the capitulation era effects are significant at the 1% level. The era hazard ratio for capitulation is 0.196 with a 95% confidence interval of roughly 0.16 to 0.24 (0.22 with size, fee, and tenure controls; 0.27 with entry Active Share); the pre-1995 row rests on only two calendar-clock events and its interval is wide. The death duration bins are shown for completeness but their direction is not robust to sample and controls (Section 3.1), and the paper makes no claim on them. The capitulation depth row is a reduced-form coefficient that Section 5 shows to be largely a distance-to-threshold effect; with entry Active Share controlled it is 0.44 per unit with reversed reading (z −2.4), and the paper claims only the death-side depth gradient.</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its apparent depth profile is largely proximity to the closet-indexing line plus competition from death (Section 5). Death hazard rises with depth, monotonically, and shows no comparable duration ramp.</w:t>
      </w:r>
    </w:p>
    <w:p>
      <w:pPr>
        <w:spacing w:after="160" w:line="276"/>
      </w:pPr>
      <w:r>
        <w:rPr>
          <w:rFonts w:ascii="Georgia" w:cs="Georgia" w:eastAsia="Georgia" w:hAnsi="Georgia"/>
          <w:sz w:val="22"/>
          <w:szCs w:val="22"/>
        </w:rPr>
        <w:t xml:space="preserve">Read the capitulation column first. The duration gradient rises monotonically to above five, and it survives everything thrown at it: entry-Active-Share controls (2.0 to 2.2 within every band), first spells and repeat spells separately, a random-intercept model that gives every fund its own baseline, and both halves of a deterministic sample split. The depth row requires the correction promised in Section 1. In the reduced form, deeper shortfalls appear to suppress folding (0.74 per ten percentage points); with entry Active Share controlled, that suppression disappears and mildly reverses. The reduced-form coefficient was mostly proximity, near-line funds having both shallow episodes and short trips to the threshold, compounded by deep spells competing against death, and this draft retires the earlier 'shallow spells fold' claim accordingly. Depth's real work is in the death column, where no threshold mechanics exist to confound it: each ten points of deeper shortfall raises the death hazard by 15 percent, monotonically across bins, sharpening further when death is restricted to liquidations. Size completes the split, from the controlled specification: each log point of assets cuts the death hazard by a third and nudges the capitulation hazard up. Small funds die, deep funds die; big funds near the line fold, and they fold on the clock, not the depth gauge.</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grind and then a plunge: mean Active Share slides about five points over the two years before the crossing, leaving the average eventual capitulator sitting at the 70 percent activity line two quarters out, and then collapses fourteen points in the crossing quarter itself (Figure 5; the holdings-measured drop in Table 5's subsample is ten points on a different instrument). (Once that final slide enters the model the other covariates lose force; the paper reads this as mechanical decomposition, the slide being the crossing in progress, not as independent evidence of mediation.) A holdings-level decomposition settles what the shape suggests: for every crossing with portfolio reports around it, the prior quarter's portfolio is rolled forward at market prices with no trades, giving the Active Share the fund would have had by sitting still. Table 5 reports the split. Price drift explains essentially none of the drop (a tenth of a point of a ten-point mean decline), the fund's own trades carry a median 99 percent of it, and both placebos, the same funds two quarters earlier and the fighters at quarter eight, show next to nothing. The recomputed Active Share correlates 0.93 with the Notre Dame values, validating the machinery. Capitulation is executed, not endured. A desensitization pattern, survivors of a previous spell appearing less depth-sensitive in the next, appears in the raw stratified fits but inherits the same distance-to-threshold confound as the depth row, so it is noted and not claimed.</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the mean across all at-risk spell-quarters at least three quarters before any crossing. The drop concentrates in the final two quarters; Table 5 shows it is executed through trades.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900"/>
        <w:gridCol w:w="1400"/>
        <w:gridCol w:w="16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Event group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Observed dAS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Drift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Trading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Capitulation crossings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127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−10.2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−10.1</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Same funds, 2q earlier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Fighters at quarter 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380</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r>
    </w:tbl>
    <w:p>
      <w:pPr>
        <w:spacing w:after="200" w:before="60"/>
      </w:pPr>
      <w:r>
        <w:rPr>
          <w:rFonts w:ascii="Georgia" w:cs="Georgia" w:eastAsia="Georgia" w:hAnsi="Georgia"/>
          <w:i/>
          <w:iCs/>
          <w:color w:val="444444"/>
          <w:sz w:val="18"/>
          <w:szCs w:val="18"/>
        </w:rPr>
        <w:t xml:space="preserve">Table 5. Trading-versus-drift decomposition of Active Share changes (means, percentage points). Drift is the no-trade counterfactual change (prior holdings rolled forward at market returns, compared to the current benchmark); trading is the remainder. Among the 112 crossings with a material drop, trading exceeds drift in 93 percent; the trading share of the drop is 90 percent at the 25th percentile, 99 at the median, 107 at the 75th. Sample: events since 2002 with holdings in adjacent quarters (127 of 496 crossings, dated at the true calendar crossing); 27 percent of positions, mostly non-common-stock holdings, lack matched CRSP returns in the roll and are held flat, and 2.5 percent have partial gaps; recomputed Active Share correlates 0.926 with published values.</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2000"/>
        <w:gridCol w:w="1600"/>
      </w:tblGrid>
      <w:tr>
        <w:trPr>
          <w:tblHeader/>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 (strict)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8.9%</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1,875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7.9%</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3,409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3,540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5,358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9.1%</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5,947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4,756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5.3%</w:t>
            </w:r>
          </w:p>
        </w:tc>
      </w:tr>
    </w:tbl>
    <w:p>
      <w:pPr>
        <w:spacing w:after="200" w:before="60"/>
      </w:pPr>
      <w:r>
        <w:rPr>
          <w:rFonts w:ascii="Georgia" w:cs="Georgia" w:eastAsia="Georgia" w:hAnsi="Georgia"/>
          <w:i/>
          <w:iCs/>
          <w:color w:val="444444"/>
          <w:sz w:val="18"/>
          <w:szCs w:val="18"/>
        </w:rPr>
        <w:t xml:space="preserve">Table 3. Outcome shares by entry cohort. The seven cohorts hold 25,932 spells; the remaining 58 began before 1990 and are excluded from era claims throughout. The strict column reclassifies crossings still arguably active against the entry benchmark (54 events) as non-events; the entry-benchmark-only (frozen) definition, lower in every cohort, declines identically (Section 6). The 2020–23 cohort is right-truncated for both outcomes.</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0.20 times the 1995 to 2009 rate, with a confidence interval of roughly 0.16 to 0.24, conditioning on duration and depth; adding size, fees, and tenure moves the ratio to 0.22. The covariates neither create nor explain the decline. And the identical specification run with death as the outcome puts the post-2010 death ratio at 0.79, a real but modest decline (0.92 and indistinguishable from no change once entry controls are added). That pair of numbers, 0.20 against 0.79, is the paper's sharpest single contrast: the folding hazard fell four times further than the death hazard, in the same model, on the same spells.</w:t>
      </w:r>
    </w:p>
    <w:p>
      <w:pPr>
        <w:spacing w:after="160" w:line="276"/>
      </w:pPr>
      <w:r>
        <w:rPr>
          <w:rFonts w:ascii="Georgia" w:cs="Georgia" w:eastAsia="Georgia" w:hAnsi="Georgia"/>
          <w:sz w:val="22"/>
          <w:szCs w:val="22"/>
        </w:rPr>
        <w:t xml:space="preserve">One reconciliation belongs here, because Tables 2 and 3 tell the era story on two different clocks and a careful reader will notice the tension. By entry cohort (Table 3), the earliest spells capitulated most. By calendar quarter (Table 2), capitulation was nearly absent before 1995: just two events, against 319 in 1995 to 2009 and 175 after, and the pre-1995 hazard ratio of 0.09 says the per-quarter rate was lowest exactly when the cohort rate was highest. Both are true, and the resolution is the history: spells entered in the early 1990s ran long and crossed the closet-indexing line during the late-1990s and 2000s wave that Cremers and Petajisto documented. Capitulation was not an eternal constant that faded. It rose with the closet-indexing era and died with it, which sharpens the question the conclusion takes up: the exit did not just close, it opened and then closed within one professional generation.</w:t>
      </w:r>
    </w:p>
    <w:p>
      <w:pPr>
        <w:spacing w:after="160" w:line="276"/>
      </w:pPr>
      <w:r>
        <w:rPr>
          <w:rFonts w:ascii="Georgia" w:cs="Georgia" w:eastAsia="Georgia" w:hAnsi="Georgia"/>
          <w:sz w:val="22"/>
          <w:szCs w:val="22"/>
        </w:rPr>
        <w:t xml:space="preserve">A threshold event can disappear while the behavior it proxies survives, funds learning to stop at 61 instead of 58, so the decisive exhibit is threshold-free: the distribution of within-episode Active Share declines, measured with no reference to any crossing. It collapsed in step. The share of episodes containing a decline of ten points or more fell from 15 percent (pre-1995 entries) to 9 percent (1995 to 2009) to 3.5 percent (2010 onward); the share ever touching 65 percent, five points above the closet-indexing line, fell from 10 to 5 to 2 percent. Entry Active Share rose across the same eras, giving later funds more room to fall, so composition works against the decline-size metric (the touch-a-level metrics partly reflect the higher starting points, which is why the paper leads with the former). The remaining compositional channels were then tested directly. Within every entry-Active-Share band the collapse holds (22 to 7 percent of spells with ten-point slides in the 70-to-80 band, 19 to 5 at 80 to 90, 8 to 2 above 90). Split by clientele, the collapse is concentrated where the behavior lived: retail funds slid often and stopped (16.9 to 3.5 percent), while institutional funds rarely slid in any era (5.5 to 3.3), the two converging to the same low rate; since the decline is largest within the retail half, the falling retail share of assets (91 to 58 percent) cannot explain it, though the contrast itself is telling, and Section 11 returns to it: surrender was a retail-fund behavior, and retail funds converged to the standard institutional mandates had enforced all along. On the evidence in hand, funds did not learn to stop short of the line. They stopped sliding.</w:t>
      </w:r>
    </w:p>
    <w:p>
      <w:pPr>
        <w:spacing w:after="160" w:line="276"/>
      </w:pPr>
      <w:r>
        <w:rPr>
          <w:rFonts w:ascii="Georgia" w:cs="Georgia" w:eastAsia="Georgia" w:hAnsi="Georgia"/>
          <w:sz w:val="22"/>
          <w:szCs w:val="22"/>
        </w:rPr>
        <w:t xml:space="preserve">One identification note, stated rather than buried. Duration, calendar era, and entry cohort are linearly dependent, so their joint appearance in the hazard model rests on functional-form restrictions: duration in bins, era in three blocks. The key cross-restriction is testable, and tested: interacting the duration gradient with the modern era gives 0.64 (z −2.3), so fatigue is attenuated but far from absent after 2010, and the era decline is not an artifact of a changing duration profile. Launch-cohort fixed effects, the third axis, move the era ratio from 0.22 to 0.25.</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(era ratio 0.20 both ways), and under 8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0.22 to 0.25. Incubation bias, left truncation, death-window definitions, and cleaning rules get the same treatment with the same outcome.</w:t>
      </w:r>
    </w:p>
    <w:p>
      <w:pPr>
        <w:spacing w:after="160" w:line="276"/>
      </w:pPr>
      <w:r>
        <w:rPr>
          <w:rFonts w:ascii="Georgia" w:cs="Georgia" w:eastAsia="Georgia" w:hAnsi="Georgia"/>
          <w:sz w:val="22"/>
          <w:szCs w:val="22"/>
        </w:rPr>
        <w:t xml:space="preserve">One measurement issue deserves its own paragraph. The fund's nearest index can change between entry and crossing, so part of a measured drop could reflect relabeling rather than retreat. Self-designated benchmarks are known to be gameable (Sensoy); the min-Active-Share convention removes the fund’s say but introduces the reassignment mechanics measured here. On correctly dated crossings the accounting is: 60 percent of capitulations are frozen-confirmed, the fund crosses below 60 against the very benchmark it started with; 39 percent involve reassignment; fewer than one percent are untrackable. Among the reassigned minority, the median Active Share against the original benchmark at the crossing is 0.66, and two thirds sit below the 70 percent activity line against the ruler they started with, so the typical reassigned fold is no longer meaningfully active against any nearby index; four in five reassignments stay within the same size segment. Two honest wrinkles are reported rather than argued away: the reassignment share drifts upward across eras (32 to 46 percent), and only a third of reassignments land on a style sibling of the original index. Neither can carry the result, for two reasons the reader can check. Reclassifying every reassigned crossing that was still arguably active (Active Share of 0.75 or more against the entry benchmark) as a non-event removes 54 of 496 events and leaves the era hazard ratio at 0.20. And rebuilding the event entirely inside the frozen definition, each fund judged only against its entry benchmark, reproduces the decline on its own: 5.1, 2.3, and 0.6 percent across the three eras on well-tracked spells. Table 3 reports cohort rates under both definitions.</w:t>
      </w:r>
    </w:p>
    <w:p>
      <w:pPr>
        <w:pStyle w:val="Heading1"/>
        <w:spacing w:after="160" w:before="320"/>
      </w:pPr>
      <w:r>
        <w:rPr>
          <w:rFonts w:ascii="Georgia" w:cs="Georgia" w:eastAsia="Georgia" w:hAnsi="Georgia"/>
          <w:b/>
          <w:bCs/>
          <w:color w:val="1a1a1a"/>
          <w:sz w:val="28"/>
          <w:szCs w:val="28"/>
        </w:rPr>
        <w:t xml:space="preserve">7. Death did not get rarer the way surrender did</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2,238 of the 25,990 spells end in the fund's death, of which 693 are liquidations, 1,173 mergers, and 372 exits with ambiguous codes, and classifying mergers by the acquired fund's condition, trailing performance underwater or assets halved over two years, marks 45 percent of merger exits, at the fund level, as distressed.</w:t>
      </w:r>
    </w:p>
    <w:p>
      <w:pPr>
        <w:spacing w:after="160" w:line="276"/>
      </w:pPr>
      <w:r>
        <w:rPr>
          <w:rFonts w:ascii="Georgia" w:cs="Georgia" w:eastAsia="Georgia" w:hAnsi="Georgia"/>
          <w:sz w:val="22"/>
          <w:szCs w:val="22"/>
        </w:rPr>
        <w:t xml:space="preserve">The paper's contrast survives with one refinement this draft adds rather than hides. On the strictest definition, liquidation rates for spells beginning in 1995 through 2009 versus 2010 through 2023 are 2.8 and 2.7 percent, flat (hazard ratio 0.85, marginal), across exactly the period in which capitulation's hazard fell by four fifths; if anything, liquidation was rarer still in the early 1990s, at 1.6 percent (Figure 1). Broadening death to liquidations plus distressed mergers, it did decline after 2010, by about a third (hazard ratio 0.65). So the accurate statement is graded, not absolute: the strictest form of death is flat, the distress-inclusive form fell modestly, and no definition of death comes near capitulation's fivefold collapse. The one exit that vanished is the chosen one. The depth gradient also sharpens on liquidations only (0.27 per unit of depth against 0.44 all-cause), administrative mergers diluting the all-cause signal; in raw decile terms, the deepest tenth of spells dies at 12.5 percent against 3.4 percent for the shallowest.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−2.39%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−2.43%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Matched at quarter 8,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−0.66% (t −1.0)</w:t>
            </w:r>
          </w:p>
        </w:tc>
      </w:tr>
    </w:tbl>
    <w:p>
      <w:pPr>
        <w:spacing w:after="200" w:before="60"/>
      </w:pPr>
      <w:r>
        <w:rPr>
          <w:rFonts w:ascii="Georgia" w:cs="Georgia" w:eastAsia="Georgia" w:hAnsi="Georgia"/>
          <w:i/>
          <w:iCs/>
          <w:color w:val="444444"/>
          <w:sz w:val="18"/>
          <w:szCs w:val="18"/>
        </w:rPr>
        <w:t xml:space="preserve">Table 4. Calendar-time portfolios: 496 capitulator entries and the resisters still fighting at quarter eight, entries dated at the true calendar crossing or milestone, membership deduplicated. Unmatched rows report each group over its full window; the matched row (*) reports both groups on their 278 common months, so the level difference equals the spread by construction. The matched spread's 95% confidence interval is [−1.9%, +0.6%]; milestones at quarters four and twelve give −0.6% and +0.4%. Minimum detectable spread at 80% power: about 1.5% per year unmatched, 1.8% matched. Funds dying mid-hold simply stop contributing months (no delisting return is imputed); 21.6% of folded and 15.2% of fighting entries die within the 36-month window. HAC standard errors.</w:t>
      </w:r>
    </w:p>
    <w:p>
      <w:pPr>
        <w:spacing w:after="160" w:line="276"/>
      </w:pPr>
      <w:r>
        <w:rPr>
          <w:rFonts w:ascii="Georgia" w:cs="Georgia" w:eastAsia="Georgia" w:hAnsi="Georgia"/>
          <w:sz w:val="22"/>
          <w:szCs w:val="22"/>
        </w:rPr>
        <w:t xml:space="preserve">Every ruler agrees within its precision, and the bound is the finding. The unmatched factor-adjusted spread is a few basis points with a t-statistic near zero, net and gross, and the own-benchmark ruler is an exact zero. The matched designs, the cleanest comparison, produce small negative point estimates, minus 0.6 to 0.7 percent a year at two of three milestones with confidence intervals spanning zero, so the honest statement is a bound, not a declaration: resisting neither earned nor cost more than about 1.5 to 2 percent a year, and if anything the point estimates lean toward a small, statistically indistinguishable penalty of roughly fee size. What the data rule out is the thing worth writing home about, a conviction premium. The levels are as telling as the spread. Both groups earn approximately zero gross alpha after formation (+0.2 percent a year for each) and approximately minus-fees net, and both bleed the same 2.4 percent a year against their own chosen benchmarks, so whatever information the fold-or-fight choice carried, it was not information about future returns. The fold itself is durable: capitulators’ mean Active Share sits at 0.55 to 0.58 for three years after the crossing, so a folded fund is not a fund catching its breath before re-activating, it is an index-hugger from then on.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pPr>
        <w:spacing w:after="160" w:line="276"/>
      </w:pPr>
      <w:r>
        <w:rPr>
          <w:rFonts w:ascii="Georgia" w:cs="Georgia" w:eastAsia="Georgia" w:hAnsi="Georgia"/>
          <w:sz w:val="22"/>
          <w:szCs w:val="22"/>
        </w:rPr>
        <w:t xml:space="preserve">What, then, drives the fold? It is not the risk-shifting documented by Huang, Sialm, and Zhang, which operates within a live strategy; the fold ends the strategy.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raises the odds of folding by roughly 70 percent (hazard ratio 0.59 per unit of four-quarter growth, z −4.1); last quarter's flow predicts folding on its own but carries no weight once cumulative shrinkage is in the model, so the pressure is the accumulated bleed, not the latest statement.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warning is a level, not a slide. The fold itself concentrates in the final quarter, too fast for a change-based alarm once filing lags are counted. But the state signal was informative: 48 percent of eventual capitulators had already left the active zone, Active Share below 70 percent, two quarters before the crossing, and 24 percent were within five points of the closet-indexing line. An allocator tracking holdings-based Active Share against the 70 line, which is computable from public filings, would historically have seen roughly half of impending folds standing in the doorway two quarters early, and the other half only as they happened.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average, and firing it cost nothing: funds that kept fighting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Two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shelved manager-versus-client comparison, which returns when regulatory gross-redemption data arrives. None of these touches the core descriptive facts: the fatigue gradient, the depth split, the disappearance, and now the traded nature of the fold.</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For one professional generation, roughly 1995 through 2009, a fund deep into a losing streak had three exits, and all three saw regular traffic. Today one of them is nearly boarded up, and before the closet-indexing wave it had barely opened.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 The clientele split of Section 6 says the same thing from the fund side: the sliding was always a retail-fund behavior, rare under institutional mandates that policed activeness by contract, and it ended when retail investors gained what institutions always had, a cheap way to punish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&lt;8%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(17%)</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 (round 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Frozen-only event definition, well-tracked spells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(5.1/2.3/0.6%)</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0.22→0.25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matched milestones; rf fix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null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drop is passive drift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No-trade counterfactual decomposition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Trading = ~100%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Recovery censoring informative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Three-state CIFs; multinomial competing risks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Table 1 levels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recast; hazards 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Reassignment tail in definition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crossings still active vs entry benchmark</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0.20)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Gap-bridging convention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Censor at gaps; calendar-true windows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 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(HR 0.36–0.37); depth attenuates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Code errors survive review</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Two adversarial line-by-line audits + reruns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2nd-decimal moves; depth halved; death +1pp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Distance-to-threshold confound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Entry-AS control; era HR within entry bands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Era intact (0.18–0.42); depth claim retired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Threshold vs behavior</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Within-spell ΔAS distributions, threshold-free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Behavior collapsed in step</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Duration profile shifts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Duration × era interaction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era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Attenuated (0.64), present</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Outcome precedence when endings coincide or follow closely: recovery is recorded if trailing relative performance turned non-negative before the fund stopped reporting; a capitulation crossing overrides other codings of the same spell; death is attributed only to spells that ended by censoring, so a fund that recovers and later dies contributes a recovered spell.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Reporting gaps and the clock: quarters missing from the Active Share panel are bridged, so every duration in this paper counts observed quarters, and every event is dated at its true calendar quarter (the code audit of Section 3.1 found and fixed downstream conversions that assumed the two clocks agree; they diverge for a third of spells, and one spell bridges a hole of 110 quarters). The bracketing conventions were run in full: censoring every spell at its first gap gives an era hazard ratio of 0.37, and additionally requiring four consecutive calendar quarters for the performance window gives 0.36, both at more than six standard errors, so the disappearance and the duration gradient are convention-proof, while the capitulation-depth magnitude attenuates toward insignificance under censoring and is flagged accordingly in Section 5. Benchmark approximations: before 2008, official style-index returns (growth and value variants) do not exist in the assembled series, and style-benchmarked funds are measured against their core or S&amp;P counterpart; the mismeasurement is largest around 1999 to 2002 and moves individual spells' depths, not the era contrast, which survives on a frozen four-index menu. Calendar-time portfolios deduplicate fund-month membership; expense ratios missing after within-fund filling are set to the panel median (gross legs only). In the holdings decomposition, positions without CRSP return histories, 27 percent, mostly bonds, foreign lines, and cash instruments, are held at flat prices in the no-trade counterfactual. Processing scripts, aggregate outputs, and both code-audit reports are in the replication package; licensed source data (CRSP, Notre Dame, FTSE Russell) cannot be redistributed.</w:t>
      </w:r>
    </w:p>
    <w:p>
      <w:pPr>
        <w:pStyle w:val="Heading1"/>
        <w:spacing w:after="160" w:before="320"/>
      </w:pPr>
      <w:r>
        <w:rPr>
          <w:rFonts w:ascii="Georgia" w:cs="Georgia" w:eastAsia="Georgia" w:hAnsi="Georgia"/>
          <w:b/>
          <w:bCs/>
          <w:color w:val="1a1a1a"/>
          <w:sz w:val="28"/>
          <w:szCs w:val="28"/>
        </w:rPr>
        <w:t xml:space="preserve">References</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Huang, J., C. Sialm, and H. Zhang, 2011, Risk shifting and mutual fund performance, Review of Financial Studies 24, 2575–2616. Kempf, A., S. Ruenzi, and T. Thiele, 2009, Employment risk, compensation incentives, and managerial risk taking: Evidence from the mutual fund industry, Journal of Financial Economics 92, 92–108.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Sensoy, B., 2009, Performance evaluation and self-designated benchmark indexes in the mutual fund industry, Journal of Financial Economics 92, 25–39. [All citations verified against primary sources for author, title, journal, volume, and pages for the 2009–2016 additions; the remainder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2026-08-10T22:16:31.857Z</dcterms:created>
  <dcterms:modified xsi:type="dcterms:W3CDTF">2026-08-10T22:16:31.872Z</dcterms:modified>
</cp:coreProperties>
</file>

<file path=docProps/custom.xml><?xml version="1.0" encoding="utf-8"?>
<Properties xmlns="http://schemas.openxmlformats.org/officeDocument/2006/custom-properties" xmlns:vt="http://schemas.openxmlformats.org/officeDocument/2006/docPropsVTypes"/>
</file>