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Georgia" w:cs="Georgia" w:eastAsia="Georgia" w:hAnsi="Georgia"/>
          <w:b/>
          <w:bCs/>
          <w:sz w:val="44"/>
          <w:szCs w:val="44"/>
        </w:rPr>
        <w:t xml:space="preserve">The Disappearing Capitulation of Fund Managers</w:t>
      </w:r>
    </w:p>
    <w:p>
      <w:pPr>
        <w:spacing w:after="480"/>
        <w:jc w:val="center"/>
      </w:pPr>
      <w:r>
        <w:rPr>
          <w:rFonts w:ascii="Georgia" w:cs="Georgia" w:eastAsia="Georgia" w:hAnsi="Georgia"/>
          <w:i/>
          <w:iCs/>
          <w:sz w:val="26"/>
          <w:szCs w:val="26"/>
        </w:rPr>
        <w:t xml:space="preserve">Underperformance, surrender, and death in US active equity funds, 1990–2023</w:t>
      </w:r>
    </w:p>
    <w:p>
      <w:pPr>
        <w:spacing w:after="120"/>
        <w:jc w:val="center"/>
      </w:pPr>
      <w:r>
        <w:rPr>
          <w:rFonts w:ascii="Georgia" w:cs="Georgia" w:eastAsia="Georgia" w:hAnsi="Georgia"/>
          <w:sz w:val="24"/>
          <w:szCs w:val="24"/>
        </w:rPr>
        <w:t xml:space="preserve">Colin Hisey</w:t>
      </w:r>
    </w:p>
    <w:p>
      <w:pPr>
        <w:spacing w:after="720"/>
        <w:jc w:val="center"/>
      </w:pPr>
      <w:r>
        <w:rPr>
          <w:rFonts w:ascii="Georgia" w:cs="Georgia" w:eastAsia="Georgia" w:hAnsi="Georgia"/>
          <w:i/>
          <w:iCs/>
          <w:color w:val="555555"/>
          <w:sz w:val="20"/>
          <w:szCs w:val="20"/>
        </w:rPr>
        <w:t xml:space="preserve">Working draft, August 2026. Comments welcome. Please do not cite without permission.</w:t>
      </w:r>
    </w:p>
    <w:p>
      <w:pPr>
        <w:pStyle w:val="Heading2"/>
        <w:spacing w:after="120" w:before="240"/>
      </w:pPr>
      <w:r>
        <w:rPr>
          <w:rFonts w:ascii="Georgia" w:cs="Georgia" w:eastAsia="Georgia" w:hAnsi="Georgia"/>
          <w:b/>
          <w:bCs/>
          <w:color w:val="1a1a1a"/>
          <w:sz w:val="24"/>
          <w:szCs w:val="24"/>
        </w:rPr>
        <w:t xml:space="preserve">Abstract</w:t>
      </w:r>
    </w:p>
    <w:p>
      <w:pPr>
        <w:spacing w:after="160" w:line="276"/>
        <w:jc w:val="left"/>
      </w:pPr>
      <w:r>
        <w:rPr>
          <w:rFonts w:ascii="Georgia" w:cs="Georgia" w:eastAsia="Georgia" w:hAnsi="Georgia"/>
          <w:sz w:val="22"/>
          <w:szCs w:val="22"/>
        </w:rPr>
        <w:t xml:space="preserve">Every manager of an active fund who falls behind the market faces the same quiet decision. Keep the portfolio you believe in, or fold it toward the index and stop being wrong. I follow 25,267 episodes of sustained underperformance across 9,096 US active equity funds and treat the two bad endings, the manager giving up and the fund dying, as competing failure modes, the way an engineer treats cracking and corrosion in the same part. Three regularities emerge. Time breaks managers. The chance that a manager folds in a given quarter roughly quadruples between the first year underwater and the fourth, within the same fund, not through composition. Depth kills funds. Severe underperformance predicts liquidation, and it makes surrender less likely, not more. And surrender is vanishing. Managers folded in roughly 7 percent of episodes that began in the 1990s, about 2 percent in the 2000s, and under 1 percent after 2010, while the rate at which funds die has barely moved. Resisting was not rewarded. Funds still fighting after two years underwater went on to trail the funds that folded by roughly 2 percent a year over the following three years.</w:t>
      </w:r>
    </w:p>
    <w:p>
      <w:r>
        <w:br w:type="page"/>
      </w:r>
    </w:p>
    <w:p>
      <w:pPr>
        <w:pStyle w:val="Heading1"/>
        <w:spacing w:after="160" w:before="320"/>
      </w:pPr>
      <w:r>
        <w:rPr>
          <w:rFonts w:ascii="Georgia" w:cs="Georgia" w:eastAsia="Georgia" w:hAnsi="Georgia"/>
          <w:b/>
          <w:bCs/>
          <w:color w:val="1a1a1a"/>
          <w:sz w:val="28"/>
          <w:szCs w:val="28"/>
        </w:rPr>
        <w:t xml:space="preserve">1. The decision nobody writes down</w:t>
      </w:r>
    </w:p>
    <w:p>
      <w:pPr>
        <w:spacing w:after="160" w:line="276"/>
        <w:jc w:val="left"/>
      </w:pPr>
      <w:r>
        <w:rPr>
          <w:rFonts w:ascii="Georgia" w:cs="Georgia" w:eastAsia="Georgia" w:hAnsi="Georgia"/>
          <w:sz w:val="22"/>
          <w:szCs w:val="22"/>
        </w:rPr>
        <w:t xml:space="preserve">An active stock fund exists to be different from its benchmark index. Difference is the product being sold. It is also the only source of embarrassment, because a fund that differs can trail, and a fund that trails for years puts its manager in a position no prospectus describes. The manager can hold the line and keep explaining. They can quietly rebuild the portfolio to look like the index, which ends the underperformance almost by definition and also ends the reason for the fund's fees. Or events can take the decision away when the fund is shut down or merged out of existence.</w:t>
      </w:r>
    </w:p>
    <w:p>
      <w:pPr>
        <w:spacing w:after="160" w:line="276"/>
        <w:jc w:val="left"/>
      </w:pPr>
      <w:r>
        <w:rPr>
          <w:rFonts w:ascii="Georgia" w:cs="Georgia" w:eastAsia="Georgia" w:hAnsi="Georgia"/>
          <w:sz w:val="22"/>
          <w:szCs w:val="22"/>
        </w:rPr>
        <w:t xml:space="preserve">I came to this problem from engineering rather than from finance, and the framing I could not shake is reliability analysis. A part under stress can fail in more than one way, and the interesting questions are always the same. Which failure mode dominates at which stress level? Does the hazard rise with time under load? Has the failure surface shifted across generations of the part? This paper asks those questions about active fund managers under the stress of underperformance. The manager giving up is one failure mode. The fund dying is the other. Recovery is the part surviving the test.</w:t>
      </w:r>
    </w:p>
    <w:p>
      <w:pPr>
        <w:spacing w:after="160" w:line="276"/>
        <w:jc w:val="left"/>
      </w:pPr>
      <w:r>
        <w:rPr>
          <w:rFonts w:ascii="Georgia" w:cs="Georgia" w:eastAsia="Georgia" w:hAnsi="Georgia"/>
          <w:sz w:val="22"/>
          <w:szCs w:val="22"/>
        </w:rPr>
        <w:t xml:space="preserve">Measuring surrender takes one tool from the academic literature. Active Share, introduced by Cremers and Petajisto, is the fraction of a portfolio that differs from its benchmark index. A pure index fund has an Active Share near zero. A concentrated stock picker sits above 90 percent. The literature's convention calls a fund below 60 percent a closet indexer, a fund charging active fees for an index-like portfolio. I define manager capitulation as a fund that entered an underperformance episode as an unambiguously active fund, at 70 percent or higher, and crossed below 60 percent before the episode resolved. The fund kept existing. The bet inside it did not.</w:t>
      </w:r>
    </w:p>
    <w:p>
      <w:pPr>
        <w:spacing w:after="160" w:line="276"/>
        <w:jc w:val="left"/>
      </w:pPr>
      <w:r>
        <w:rPr>
          <w:rFonts w:ascii="Georgia" w:cs="Georgia" w:eastAsia="Georgia" w:hAnsi="Georgia"/>
          <w:sz w:val="22"/>
          <w:szCs w:val="22"/>
        </w:rPr>
        <w:t xml:space="preserve">Three findings organize the paper. First, the hazard of capitulation rises steeply with time spent underwater. Holding the severity of underperformance fixed, a manager in the third year of a losing streak is about four times more likely to fold in the next quarter than a manager in the first year. The pattern holds within first spells, within repeat spells, and after allowing every fund its own baseline propensity, so it is not the mechanical result of stubborn and weak funds sorting themselves over time. Fatigue is real and it accumulates.</w:t>
      </w:r>
    </w:p>
    <w:p>
      <w:pPr>
        <w:spacing w:after="160" w:line="276"/>
        <w:jc w:val="left"/>
      </w:pPr>
      <w:r>
        <w:rPr>
          <w:rFonts w:ascii="Georgia" w:cs="Georgia" w:eastAsia="Georgia" w:hAnsi="Georgia"/>
          <w:sz w:val="22"/>
          <w:szCs w:val="22"/>
        </w:rPr>
        <w:t xml:space="preserve">Second, capitulation and death respond to opposite inputs. Depth of underperformance strongly predicts death and, if anything, suppresses capitulation. Small funds die and large funds fold. Time underwater drives folding and does almost nothing to dying. The two clocks run in opposite directions, which is why treating the outcomes as competing risks matters rather than being an econometric nicety.</w:t>
      </w:r>
    </w:p>
    <w:p>
      <w:pPr>
        <w:spacing w:after="160" w:line="276"/>
        <w:jc w:val="left"/>
      </w:pPr>
      <w:r>
        <w:rPr>
          <w:rFonts w:ascii="Georgia" w:cs="Georgia" w:eastAsia="Georgia" w:hAnsi="Georgia"/>
          <w:sz w:val="22"/>
          <w:szCs w:val="22"/>
        </w:rPr>
        <w:t xml:space="preserve">Third, and this is the headline, capitulation is disappearing. Among episodes beginning in the early 1990s, managers eventually folded about 7 percent of the time. For episodes beginning after 2010 the rate is under 1 percent, a decline of roughly four fifths that arrives in two steps, one around the early 2000s and a further slide through the 2010s. Fund death shows no comparable trend. Restricting to outright liquidations, the cleanest definition of death, the death rate is essentially flat from the mid 1990s to today. Whatever changed in active management, it changed the behavior of managers, not the mortality of funds.</w:t>
      </w:r>
    </w:p>
    <w:p>
      <w:pPr>
        <w:spacing w:after="160" w:line="276"/>
        <w:jc w:val="left"/>
      </w:pPr>
      <w:r>
        <w:rPr>
          <w:rFonts w:ascii="Georgia" w:cs="Georgia" w:eastAsia="Georgia" w:hAnsi="Georgia"/>
          <w:sz w:val="22"/>
          <w:szCs w:val="22"/>
        </w:rPr>
        <w:t xml:space="preserve">A natural objection is that the disappearance is an artifact of measurement, and much of this project's effort went into taking that objection seriously before anyone else could raise it. A hostile review of the design produced twenty-three distinct critiques, and the answerable ones became a battery of more than twenty-five robustness tests. The decline survives gross returns and fee buffers, a benchmark menu frozen at four indexes that exist for the whole sample, thresholds defined relative to same-benchmark peers in the same year, observation frequency forced to semiannual everywhere, launch-cohort controls, incubation screens, and the replacement of every reconstructed benchmark series with official index returns. Two findings did not survive that process and are reported as casualties rather than quietly dropped: a severity-calibrated comparison of manager versus client capitulation, which current flow data cannot support, and an earlier claim of decline before 1995, where the sample is too thin to bear weight. Section 9 lists what fell and why.</w:t>
      </w:r>
    </w:p>
    <w:p>
      <w:pPr>
        <w:spacing w:after="160" w:line="276"/>
        <w:jc w:val="left"/>
      </w:pPr>
      <w:r>
        <w:rPr>
          <w:rFonts w:ascii="Georgia" w:cs="Georgia" w:eastAsia="Georgia" w:hAnsi="Georgia"/>
          <w:sz w:val="22"/>
          <w:szCs w:val="22"/>
        </w:rPr>
        <w:t xml:space="preserve">The last substantive result concerns whether folding was a mistake. It was not, at least not measurably, and the point estimates lean the other way. Funds that were still fighting after eight quarters underwater went on to trail the funds that had folded by about 2.4 percent a year over the following three years, after adjusting for market, size, value, and momentum exposure, and the gap is nearly identical in gross returns, so fees do not explain it. The design is powered to detect a premium of 1.7 percent a year, so this is not an underpowered null dressed up as a finding. Conviction, in this sample, was not an underpriced asset.</w:t>
      </w:r>
    </w:p>
    <w:p>
      <w:pPr>
        <w:pStyle w:val="Heading1"/>
        <w:spacing w:after="160" w:before="320"/>
      </w:pPr>
      <w:r>
        <w:rPr>
          <w:rFonts w:ascii="Georgia" w:cs="Georgia" w:eastAsia="Georgia" w:hAnsi="Georgia"/>
          <w:b/>
          <w:bCs/>
          <w:color w:val="1a1a1a"/>
          <w:sz w:val="28"/>
          <w:szCs w:val="28"/>
        </w:rPr>
        <w:t xml:space="preserve">2. What was already known</w:t>
      </w:r>
    </w:p>
    <w:p>
      <w:pPr>
        <w:spacing w:after="160" w:line="276"/>
        <w:jc w:val="left"/>
      </w:pPr>
      <w:r>
        <w:rPr>
          <w:rFonts w:ascii="Georgia" w:cs="Georgia" w:eastAsia="Georgia" w:hAnsi="Georgia"/>
          <w:sz w:val="22"/>
          <w:szCs w:val="22"/>
        </w:rPr>
        <w:t xml:space="preserve">Four strands of prior work border this one, and it is worth being precise about the borders. Cremers and Petajisto built the Active Share measure and documented that closet indexing exists and that it is bad for investors, who pay active fees for passive portfolios. Their question was about skill and fees at a point in time. Mine is about the dynamics of a single fund under stress, when in a losing streak the closet indexing begins.</w:t>
      </w:r>
    </w:p>
    <w:p>
      <w:pPr>
        <w:spacing w:after="160" w:line="276"/>
        <w:jc w:val="left"/>
      </w:pPr>
      <w:r>
        <w:rPr>
          <w:rFonts w:ascii="Georgia" w:cs="Georgia" w:eastAsia="Georgia" w:hAnsi="Georgia"/>
          <w:sz w:val="22"/>
          <w:szCs w:val="22"/>
        </w:rPr>
        <w:t xml:space="preserve">Cremers, Ferreira, Matos, and Starks showed that explicit indexing and closet indexing vary together across countries and that competition from cheap index funds disciplines active managers. That work documents the level of closet indexing across markets. This paper documents a behavioral transition within one market, the near extinction of mid-stream surrender, which the cross-country evidence would not detect.</w:t>
      </w:r>
    </w:p>
    <w:p>
      <w:pPr>
        <w:spacing w:after="160" w:line="276"/>
        <w:jc w:val="left"/>
      </w:pPr>
      <w:r>
        <w:rPr>
          <w:rFonts w:ascii="Georgia" w:cs="Georgia" w:eastAsia="Georgia" w:hAnsi="Georgia"/>
          <w:sz w:val="22"/>
          <w:szCs w:val="22"/>
        </w:rPr>
        <w:t xml:space="preserve">Lynch and Musto modeled funds changing strategy after bad performance and predicted, correctly, that poor performers who change course see their flows stabilize. Capitulation as measured here is a specific and observable kind of strategy change, and one prediction of their framework, that the change follows sustained pressure rather than a single bad quarter, matches the fatigue gradient in Section 5. What their framework does not predict is the secular disappearance of the behavior, which is this paper's central fact.</w:t>
      </w:r>
    </w:p>
    <w:p>
      <w:pPr>
        <w:spacing w:after="160" w:line="276"/>
        <w:jc w:val="left"/>
      </w:pPr>
      <w:r>
        <w:rPr>
          <w:rFonts w:ascii="Georgia" w:cs="Georgia" w:eastAsia="Georgia" w:hAnsi="Georgia"/>
          <w:sz w:val="22"/>
          <w:szCs w:val="22"/>
        </w:rPr>
        <w:t xml:space="preserve">Berk and Green supplied the rational benchmark. In their model, money chases skill until returns are competed away, and a successful fund grows until it can no longer beat the market, at which point turning into a closet indexer is the profit-maximizing move. That story predicts de-activation after success, inflows, and growth. The data show the opposite. In a direct horse race, reported in Section 8, capitulation follows sustained shrinkage and long underperformance, and inflows carry no predictive weight at all. Whatever drives managers to fold, it is pressure, not capacity.</w:t>
      </w:r>
    </w:p>
    <w:p>
      <w:pPr>
        <w:spacing w:after="160" w:line="276"/>
        <w:jc w:val="left"/>
      </w:pPr>
      <w:r>
        <w:rPr>
          <w:rFonts w:ascii="Georgia" w:cs="Georgia" w:eastAsia="Georgia" w:hAnsi="Georgia"/>
          <w:sz w:val="22"/>
          <w:szCs w:val="22"/>
        </w:rPr>
        <w:t xml:space="preserve">One methodological debt runs the other way. Frazzini, Friedman, and Pomorski criticized Active Share as a predictor of future skill, and nothing here disputes that. Active Share is used in this paper as a measure of what the manager is doing, not of whether the manager is good. A fund crossing from 75 to 55 percent overlap with an index has observably changed behavior regardless of anyone's view about alpha.</w:t>
      </w:r>
    </w:p>
    <w:p>
      <w:pPr>
        <w:pStyle w:val="Heading1"/>
        <w:spacing w:after="160" w:before="320"/>
      </w:pPr>
      <w:r>
        <w:rPr>
          <w:rFonts w:ascii="Georgia" w:cs="Georgia" w:eastAsia="Georgia" w:hAnsi="Georgia"/>
          <w:b/>
          <w:bCs/>
          <w:color w:val="1a1a1a"/>
          <w:sz w:val="28"/>
          <w:szCs w:val="28"/>
        </w:rPr>
        <w:t xml:space="preserve">3. Data and how the measurements were checked</w:t>
      </w:r>
    </w:p>
    <w:p>
      <w:pPr>
        <w:spacing w:after="160" w:line="276"/>
        <w:jc w:val="left"/>
      </w:pPr>
      <w:r>
        <w:rPr>
          <w:rFonts w:ascii="Georgia" w:cs="Georgia" w:eastAsia="Georgia" w:hAnsi="Georgia"/>
          <w:sz w:val="22"/>
          <w:szCs w:val="22"/>
        </w:rPr>
        <w:t xml:space="preserve">The spine of the data is the CRSP Survivor-Bias-Free US Mutual Fund database for returns, assets, share classes, and fund deaths, joined at the fund level (share classes aggregated) to the Notre Dame Active Share database, which computes quarterly Active Share for US equity funds against roughly twenty candidate benchmark indexes from 1980 through 2023. A fund's benchmark each quarter is the index against which its Active Share is lowest, the standard convention, since a closet indexer should be judged against whatever index it actually hugs. Section 7 tests the definitions this choice buys and the problems it creates.</w:t>
      </w:r>
    </w:p>
    <w:p>
      <w:pPr>
        <w:spacing w:after="160" w:line="276"/>
        <w:jc w:val="left"/>
      </w:pPr>
      <w:r>
        <w:rPr>
          <w:rFonts w:ascii="Georgia" w:cs="Georgia" w:eastAsia="Georgia" w:hAnsi="Georgia"/>
          <w:sz w:val="22"/>
          <w:szCs w:val="22"/>
        </w:rPr>
        <w:t xml:space="preserve">Benchmark index returns deserve a paragraph, because an early version of this project got them wrong. Russell index returns reconstructed from a constituent holdings file turned out to run about 1.2 percent per month hot for the Russell 2000 when checked against a neutral third source, the French size portfolios. The final series uses official published index returns throughout: Cremers-Petajisto-Zitzewitz actual index returns from 1979 to 2008, official FTSE Russell monthly returns from 2008 through 2026 extracted from the index provider's own files, and the S&amp;P 500 total return from CRSP. Where the official segments overlap the CPZ series they agree to the basis point, and internal consistency checks (the Russell 3000 must equal the cap-weighted blend of the 1000 and the 2000 every month) hold throughout. The measuring stick, in other words, has been calibrated against three independent references, and one headline number in this paper moved materially when the calibration was fixed. The era decline got stronger.</w:t>
      </w:r>
    </w:p>
    <w:p>
      <w:pPr>
        <w:spacing w:after="160" w:line="276"/>
        <w:jc w:val="left"/>
      </w:pPr>
      <w:r>
        <w:rPr>
          <w:rFonts w:ascii="Georgia" w:cs="Georgia" w:eastAsia="Georgia" w:hAnsi="Georgia"/>
          <w:sz w:val="22"/>
          <w:szCs w:val="22"/>
        </w:rPr>
        <w:t xml:space="preserve">The Active Share measurements were validated against the published literature directly. Over the 49,881 fund-quarters where this panel overlaps Petajisto's published data, the correlation between my minimum Active Share and his is 0.98, with a mean absolute difference of one percentage point. The pipeline was also checked against history. Fidelity Magellan's slide into index-hugging appears where the record says it should and is classified as a capitulation. Bill Miller's Value Trust rides a fourteen-quarter, 23-percent-deep episode through the financial crisis without folding, which is exactly his reputation. Sequoia's Valeant episode appears as a nineteen-quarter spell reaching 28 percent below benchmark. CGM Focus, run by the famously stubborn Ken Heebner, shows six deep episodes and zero capitulations. The Vanguard 500 index fund, planted as a negative control, is correctly removed by the passive-fund screen.</w:t>
      </w:r>
    </w:p>
    <w:p>
      <w:pPr>
        <w:spacing w:after="160" w:line="276"/>
        <w:jc w:val="left"/>
      </w:pPr>
      <w:r>
        <w:rPr>
          <w:rFonts w:ascii="Georgia" w:cs="Georgia" w:eastAsia="Georgia" w:hAnsi="Georgia"/>
          <w:sz w:val="22"/>
          <w:szCs w:val="22"/>
        </w:rPr>
        <w:t xml:space="preserve">An underperformance spell begins when a fund whose Active Share is at least 70 percent falls behind its benchmark over the trailing four quarters, net of fees. It ends in one of four ways. Recovery, when trailing performance turns non-negative. Capitulation, when Active Share closes below 60 percent. Death, when every share class of the fund terminates at or shortly after the spell's end. Or censoring at the edge of the data. The sample contains 25,267 spells from 9,096 funds. The panel formally begins in 1980 but is thin before 1990 because the fund-linking tables are, so results are stated for 1990 through 2023 and nothing is claimed about the 1980s.</w:t>
      </w:r>
    </w:p>
    <w:p>
      <w:pPr>
        <w:spacing w:after="160" w:line="276"/>
        <w:jc w:val="left"/>
      </w:pPr>
      <w:r>
        <w:rPr>
          <w:rFonts w:ascii="Georgia" w:cs="Georgia" w:eastAsia="Georgia" w:hAnsi="Georgia"/>
          <w:sz w:val="22"/>
          <w:szCs w:val="22"/>
        </w:rPr>
        <w:t xml:space="preserve">Cleaning rules are reported in Appendix B, and one deserves confession here because a robustness test caught it. An early hygiene rule dropped fund-months with reported assets under one million dollars, and because early CRSP reports assets quarterly rather than monthly, the rule silently treated missing as zero and discarded almost half of all pre-1990 fund-months. The corrected rule drops a month only when assets are observed and tiny. Every headline number is unchanged to the second decimal, which is reassuring, but the episode is why this paper reports its cleaning rules in a table rather than a footnote.</w:t>
      </w:r>
    </w:p>
    <w:p>
      <w:pPr>
        <w:pStyle w:val="Heading1"/>
        <w:spacing w:after="160" w:before="320"/>
      </w:pPr>
      <w:r>
        <w:rPr>
          <w:rFonts w:ascii="Georgia" w:cs="Georgia" w:eastAsia="Georgia" w:hAnsi="Georgia"/>
          <w:b/>
          <w:bCs/>
          <w:color w:val="1a1a1a"/>
          <w:sz w:val="28"/>
          <w:szCs w:val="28"/>
        </w:rPr>
        <w:t xml:space="preserve">4. How losing streaks end</w:t>
      </w:r>
    </w:p>
    <w:p>
      <w:pPr>
        <w:spacing w:after="160" w:line="276"/>
        <w:jc w:val="left"/>
      </w:pPr>
      <w:r>
        <w:rPr>
          <w:rFonts w:ascii="Georgia" w:cs="Georgia" w:eastAsia="Georgia" w:hAnsi="Georgia"/>
          <w:sz w:val="22"/>
          <w:szCs w:val="22"/>
        </w:rPr>
        <w:t xml:space="preserve">Most spells end quietly. Within the sample window, 68 percent resolve in recovery, and mean reversion in relative returns does most of that work. About 7.5 percent end with the fund dead within a year of the spell's end. Only 2 percent end in capitulation. Surrender, it turns out, has always been the rare failure mode, which is part of what makes its disappearance measurable only with a long panel.</w:t>
      </w:r>
    </w:p>
    <w:p>
      <w:pPr>
        <w:spacing w:after="160" w:line="276"/>
        <w:jc w:val="left"/>
      </w:pPr>
      <w:r>
        <w:rPr>
          <w:rFonts w:ascii="Georgia" w:cs="Georgia" w:eastAsia="Georgia" w:hAnsi="Georgia"/>
          <w:sz w:val="22"/>
          <w:szCs w:val="22"/>
        </w:rPr>
        <w:t xml:space="preserve">Because capitulation and death compete (a fund that dies can no longer fold), simple frequencies understate long-run risks. The competing-risks estimates below give the cumulative probability of each ending as a spell wears on. Death is the dominant long-run outcome. A spell that lasts ten years, and some do, carries a 43 percent cumulative chance of death against 14 percent for capitulation.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Cumulative incidence (all spells)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2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4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6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10 yrs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Manager capitulates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14.4%</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dies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23.1%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33.1%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42.9%</w:t>
            </w:r>
          </w:p>
        </w:tc>
      </w:tr>
    </w:tbl>
    <w:p>
      <w:pPr>
        <w:spacing w:after="200" w:before="60"/>
      </w:pPr>
      <w:r>
        <w:rPr>
          <w:rFonts w:ascii="Georgia" w:cs="Georgia" w:eastAsia="Georgia" w:hAnsi="Georgia"/>
          <w:i/>
          <w:iCs/>
          <w:color w:val="444444"/>
          <w:sz w:val="18"/>
          <w:szCs w:val="18"/>
        </w:rPr>
        <w:t xml:space="preserve">Table 1. Aalen-Johansen cumulative incidence of the two failure modes, treating each as a competing risk of the other. Horizons in years since spell entry.</w:t>
      </w:r>
    </w:p>
    <w:p>
      <w:pPr>
        <w:pStyle w:val="Heading1"/>
        <w:spacing w:after="160" w:before="320"/>
      </w:pPr>
      <w:r>
        <w:rPr>
          <w:rFonts w:ascii="Georgia" w:cs="Georgia" w:eastAsia="Georgia" w:hAnsi="Georgia"/>
          <w:b/>
          <w:bCs/>
          <w:color w:val="1a1a1a"/>
          <w:sz w:val="28"/>
          <w:szCs w:val="28"/>
        </w:rPr>
        <w:t xml:space="preserve">5. Time breaks managers, depth kills funds</w:t>
      </w:r>
    </w:p>
    <w:p>
      <w:pPr>
        <w:spacing w:after="160" w:line="276"/>
        <w:jc w:val="left"/>
      </w:pPr>
      <w:r>
        <w:rPr>
          <w:rFonts w:ascii="Georgia" w:cs="Georgia" w:eastAsia="Georgia" w:hAnsi="Georgia"/>
          <w:sz w:val="22"/>
          <w:szCs w:val="22"/>
        </w:rPr>
        <w:t xml:space="preserve">The workhorse specification is a discrete-time hazard model. Each quarter a fund spends inside a spell is one observation, the outcome is whether the manager folded that quarter, and the covariates are the spell's duration so far, its depth so far (the worst trailing-four-quarter shortfall to date, lagged one quarter so the event cannot explain its own cause), fund size, fees, manager tenure, and era. Standard errors cluster by fund. The same specification is run twice, once with capitulation as the outcome and once with death, and the contrast between the two columns is the section's result.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Hazard ratio vs. baseline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Death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3–4 underwater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0.94</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2.83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1.06</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9–12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13+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4.46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5–15% behind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1.63</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15–25%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1.99</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25–40%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0.36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&gt;40%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2.07</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2010–23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0.75</w:t>
            </w:r>
          </w:p>
        </w:tc>
      </w:tr>
    </w:tbl>
    <w:p>
      <w:pPr>
        <w:spacing w:after="200" w:before="60"/>
      </w:pPr>
      <w:r>
        <w:rPr>
          <w:rFonts w:ascii="Georgia" w:cs="Georgia" w:eastAsia="Georgia" w:hAnsi="Georgia"/>
          <w:i/>
          <w:iCs/>
          <w:color w:val="444444"/>
          <w:sz w:val="18"/>
          <w:szCs w:val="18"/>
        </w:rPr>
        <w:t xml:space="preserve">Table 2. Discrete-time hazard ratios, both outcomes, 129,991 spell-quarters. Duration baseline is quarters 1–2; depth baseline is 0–5% behind. All duration effects for capitulation and all depth effects for death are significant at the 1% level; fund-clustered z-statistics.</w:t>
      </w:r>
    </w:p>
    <w:p>
      <w:pPr>
        <w:spacing w:after="160" w:line="276"/>
        <w:jc w:val="left"/>
      </w:pPr>
      <w:r>
        <w:rPr>
          <w:rFonts w:ascii="Georgia" w:cs="Georgia" w:eastAsia="Georgia" w:hAnsi="Georgia"/>
          <w:sz w:val="22"/>
          <w:szCs w:val="22"/>
        </w:rPr>
        <w:t xml:space="preserve">Read down the capitulation column first. The duration gradient rises monotonically to about 4.5 and the depth gradient falls monotonically to 0.14. A manager long underwater but only mildly behind is the modal folder. A manager catastrophically behind almost never folds, and the death column explains why: the fund is busy dying instead, with the death hazard doubling in deep spells while ignoring duration entirely. Fund size completes the split. Each log point of assets cuts the death hazard by a third and nudges the capitulation hazard up. Small funds die. Big funds fold.</w:t>
      </w:r>
    </w:p>
    <w:p>
      <w:pPr>
        <w:spacing w:after="160" w:line="276"/>
        <w:jc w:val="left"/>
      </w:pPr>
      <w:r>
        <w:rPr>
          <w:rFonts w:ascii="Georgia" w:cs="Georgia" w:eastAsia="Georgia" w:hAnsi="Georgia"/>
          <w:sz w:val="22"/>
          <w:szCs w:val="22"/>
        </w:rPr>
        <w:t xml:space="preserve">The obvious statistical objection is that rising duration effects can be manufactured by funds differing from each other, with fragile types exiting early and tough types accumulating at long durations. Three tests address it. The gradient holds within first spells only and within repeat spells only. It holds in a mixed model that gives every fund its own baseline hazard, which is the direct answer, and the estimated spread of those baselines is wide, so the objection's premise was right even though its conclusion was wrong. And it holds in each half of a deterministic split of the sample. Fatigue operates within funds: the same manager becomes more likely to fold the longer the spell drags on.</w:t>
      </w:r>
    </w:p>
    <w:p>
      <w:pPr>
        <w:spacing w:after="160" w:line="276"/>
        <w:jc w:val="left"/>
      </w:pPr>
      <w:r>
        <w:rPr>
          <w:rFonts w:ascii="Georgia" w:cs="Georgia" w:eastAsia="Georgia" w:hAnsi="Georgia"/>
          <w:sz w:val="22"/>
          <w:szCs w:val="22"/>
        </w:rPr>
        <w:t xml:space="preserve">Two texture results are worth a sentence each. Capitulation is preceded by a slide, with Active Share drifting down for several quarters before the threshold crossing, so the surrender is a grind rather than a single decision, and once that slide is controlled for the other covariates lose their force, which is what mediation should look like. And managers surviving a previous spell are far less sensitive to depth in their next one, a desensitization pattern that looks more like psychology than portfolio arithmetic.</w:t>
      </w:r>
    </w:p>
    <w:p>
      <w:pPr>
        <w:pStyle w:val="Heading1"/>
        <w:spacing w:after="160" w:before="320"/>
      </w:pPr>
      <w:r>
        <w:rPr>
          <w:rFonts w:ascii="Georgia" w:cs="Georgia" w:eastAsia="Georgia" w:hAnsi="Georgia"/>
          <w:b/>
          <w:bCs/>
          <w:color w:val="1a1a1a"/>
          <w:sz w:val="28"/>
          <w:szCs w:val="28"/>
        </w:rPr>
        <w:t xml:space="preserve">6. The disappearance</w:t>
      </w:r>
    </w:p>
    <w:p>
      <w:pPr>
        <w:spacing w:after="160" w:line="276"/>
        <w:jc w:val="left"/>
      </w:pPr>
      <w:r>
        <w:rPr>
          <w:rFonts w:ascii="Georgia" w:cs="Georgia" w:eastAsia="Georgia" w:hAnsi="Georgia"/>
          <w:sz w:val="22"/>
          <w:szCs w:val="22"/>
        </w:rPr>
        <w:t xml:space="preserve">Take the same spells and sort them by the five-year window in which they began. The capitulation share falls by an order of magnitude across the sample, and the fall is not smooth. It steps down hard in the early 2000s and then keeps sliding. The death share, in the right column, does not trend at all until the last window, which is truncated by construction since spells that began after 2020 have had little time to die.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Spells beginning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Spells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Died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1990–1994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1,032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7.7%</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1995–1999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1,841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2000–2004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3,330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9.9%</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2005–2009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3,472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2010–2014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5,279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8.1%</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2015–2019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5,823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8.4%</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2020–2023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4,432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4.3%</w:t>
            </w:r>
          </w:p>
        </w:tc>
      </w:tr>
    </w:tbl>
    <w:p>
      <w:pPr>
        <w:spacing w:after="200" w:before="60"/>
      </w:pPr>
      <w:r>
        <w:rPr>
          <w:rFonts w:ascii="Georgia" w:cs="Georgia" w:eastAsia="Georgia" w:hAnsi="Georgia"/>
          <w:i/>
          <w:iCs/>
          <w:color w:val="444444"/>
          <w:sz w:val="18"/>
          <w:szCs w:val="18"/>
        </w:rPr>
        <w:t xml:space="preserve">Table 3. Outcome shares by entry cohort. In hazard terms the 2010–23 capitulation hazard is 0.21 times the 1995–2009 hazard (z = −15.8).</w:t>
      </w:r>
    </w:p>
    <w:p>
      <w:pPr>
        <w:spacing w:after="160" w:line="276"/>
        <w:jc w:val="left"/>
      </w:pPr>
      <w:r>
        <w:rPr>
          <w:rFonts w:ascii="Georgia" w:cs="Georgia" w:eastAsia="Georgia" w:hAnsi="Georgia"/>
          <w:sz w:val="22"/>
          <w:szCs w:val="22"/>
        </w:rPr>
        <w:t xml:space="preserve">A decline this large invites suspicion, and the suspicion was outsourced before being answered. An adversarial review of the design listed every mundane mechanism that could fake this table, and each became a test. Fee drag entering the spell definition: rerun on gross returns and with fee-sized entry buffers, decline intact, and only 4 percent of spells are shallow enough to be fee artifacts in the first place. A benchmark menu that grows over time, mechanically lowering minimum Active Share in later years: rerun with the menu frozen at four indexes that exist throughout, decline steeper. Fixed 70/60 thresholds interacting with market concentration: redefine entry and surrender relative to same-benchmark peers in the same year, decline intact. Holdings reported semiannually early and quarterly later, changing detection odds: force semiannual observation everywhere, decline intact. Cohort composition, with modern high-Active-Share funds being a different breed: add launch-cohort controls, hazard ratio moves from 0.21 to 0.24. Coverage drift, incubation bias, left truncation, death-window definitions, and the cleaning rules each get the same treatment in Appendix A. Nothing moves the era pattern by more than a few points of hazard ratio.</w:t>
      </w:r>
    </w:p>
    <w:p>
      <w:pPr>
        <w:spacing w:after="160" w:line="276"/>
        <w:jc w:val="left"/>
      </w:pPr>
      <w:r>
        <w:rPr>
          <w:rFonts w:ascii="Georgia" w:cs="Georgia" w:eastAsia="Georgia" w:hAnsi="Georgia"/>
          <w:sz w:val="22"/>
          <w:szCs w:val="22"/>
        </w:rPr>
        <w:t xml:space="preserve">One measurement result deserves its own paragraph because it cuts against the paper's interest. Benchmark reassignment, where a fund's closest index changes mid-spell and the Active Share minimum drops partly by relabeling, accounts for slightly over half of measured capitulation events in every era. At first glance that sounds damning. Three facts contain it. The reassigned benchmark is in the same size segment 90 percent of the time, and more than half the time is a style sibling of the original, a growth fund now closest to the value flavor of the same index family, so the typical reassignment describes a fund dissolving into the index complex rather than jumping styles. The fund's Active Share against its original benchmark at the moment of crossing has a median of 0.69, meaning these funds are no longer clearly active against any nearby ruler. And the share of reassignment-driven events is flat across eras while clean same-benchmark surrenders have grown as a share of the total, so reassignment cannot manufacture the decline. It moves event levels, and the paper reports both definitions, but not the trend.</w:t>
      </w:r>
    </w:p>
    <w:p>
      <w:pPr>
        <w:spacing w:after="160" w:line="276"/>
        <w:jc w:val="left"/>
      </w:pPr>
      <w:r>
        <w:rPr>
          <w:rFonts w:ascii="Georgia" w:cs="Georgia" w:eastAsia="Georgia" w:hAnsi="Georgia"/>
          <w:sz w:val="22"/>
          <w:szCs w:val="22"/>
        </w:rPr>
        <w:t xml:space="preserve">The prior version of this paper claimed the decline extended back to the 1980s. It no longer does. The panel before 1990 is too thin to support era claims, and the one external ruler available for the early period, Petajisto's published official-benchmark Active Share, shows no decline between the late 1980s and the early 2000s. The defensible statement, and the one every ruler agrees on, is that surrender began disappearing around the early 2000s and is nearly extinct now.</w:t>
      </w:r>
    </w:p>
    <w:p>
      <w:pPr>
        <w:pStyle w:val="Heading1"/>
        <w:spacing w:after="160" w:before="320"/>
      </w:pPr>
      <w:r>
        <w:rPr>
          <w:rFonts w:ascii="Georgia" w:cs="Georgia" w:eastAsia="Georgia" w:hAnsi="Georgia"/>
          <w:b/>
          <w:bCs/>
          <w:color w:val="1a1a1a"/>
          <w:sz w:val="28"/>
          <w:szCs w:val="28"/>
        </w:rPr>
        <w:t xml:space="preserve">7. Death did not get rarer</w:t>
      </w:r>
    </w:p>
    <w:p>
      <w:pPr>
        <w:spacing w:after="160" w:line="276"/>
        <w:jc w:val="left"/>
      </w:pPr>
      <w:r>
        <w:rPr>
          <w:rFonts w:ascii="Georgia" w:cs="Georgia" w:eastAsia="Georgia" w:hAnsi="Georgia"/>
          <w:sz w:val="22"/>
          <w:szCs w:val="22"/>
        </w:rPr>
        <w:t xml:space="preserve">Half of fund deaths in the raw data are mergers, and a merger can be anything from a mercy killing to bookkeeping. Using CRSP delist codes, deaths split into 2,453 outright liquidations, 3,712 mergers, and a remainder of ambiguous exits. Classifying mergers by the acquired fund's condition, trailing performance underwater or assets halved over the prior two years, marks 45 percent of them as distressed and the rest as administrative.</w:t>
      </w:r>
    </w:p>
    <w:p>
      <w:pPr>
        <w:spacing w:after="160" w:line="276"/>
        <w:jc w:val="left"/>
      </w:pPr>
      <w:r>
        <w:rPr>
          <w:rFonts w:ascii="Georgia" w:cs="Georgia" w:eastAsia="Georgia" w:hAnsi="Georgia"/>
          <w:sz w:val="22"/>
          <w:szCs w:val="22"/>
        </w:rPr>
        <w:t xml:space="preserve">The paper's central contrast survives on the strictest definition. Liquidation rates for spells beginning in 1995 through 2009 versus 2010 through 2023 are 2.6 and 2.4 percent, statistically close to flat, over exactly the period when capitulation fell by two thirds. The depth gradient also sharpens on liquidations only, with the deepest spells five times likelier to end in liquidation than shallow ones. The market still executes failing funds at the old rate. What stopped is managers commuting their own sentences.</w:t>
      </w:r>
    </w:p>
    <w:p>
      <w:pPr>
        <w:pStyle w:val="Heading1"/>
        <w:spacing w:after="160" w:before="320"/>
      </w:pPr>
      <w:r>
        <w:rPr>
          <w:rFonts w:ascii="Georgia" w:cs="Georgia" w:eastAsia="Georgia" w:hAnsi="Georgia"/>
          <w:b/>
          <w:bCs/>
          <w:color w:val="1a1a1a"/>
          <w:sz w:val="28"/>
          <w:szCs w:val="28"/>
        </w:rPr>
        <w:t xml:space="preserve">8. Was folding a mistake?</w:t>
      </w:r>
    </w:p>
    <w:p>
      <w:pPr>
        <w:spacing w:after="160" w:line="276"/>
        <w:jc w:val="left"/>
      </w:pPr>
      <w:r>
        <w:rPr>
          <w:rFonts w:ascii="Georgia" w:cs="Georgia" w:eastAsia="Georgia" w:hAnsi="Georgia"/>
          <w:sz w:val="22"/>
          <w:szCs w:val="22"/>
        </w:rPr>
        <w:t xml:space="preserve">If conviction is valuable, managers who resist through long losing streaks should eventually be paid for it. The test is a calendar-time comparison. Capitulators enter a portfolio the month after their Active Share crosses below 60. Resisters enter the month after their eighth consecutive underwater quarter, using only information available at that moment. Both portfolios hold three years, equal weighted, and are evaluated against market, size, value, and momentum factors.</w:t>
      </w:r>
    </w:p>
    <w:p>
      <w:pPr>
        <w:spacing w:after="160" w:line="276"/>
        <w:jc w:val="left"/>
      </w:pPr>
      <w:r>
        <w:rPr>
          <w:rFonts w:ascii="Georgia" w:cs="Georgia" w:eastAsia="Georgia" w:hAnsi="Georgia"/>
          <w:sz w:val="22"/>
          <w:szCs w:val="22"/>
        </w:rPr>
        <w:t xml:space="preserve">Resisters underperformed the capitulators by 2.38 percent a year in net returns, with a t-statistic of 4.0, and by 2.27 percent gross, so the gap is not fee arithmetic. The design would have detected a true conviction premium of 1.7 percent a year with standard power, so the old null-result framing is gone: this is an adequately powered negative. Measured instead against each fund's own benchmark index, both groups trail by an identical 3 percent a year, which locates the difference precisely. The resisters' continued active bets were bets that priced badly against systematic factors. Two honest caveats travel with this result. The groups are formed at different points in their spells, and a version matching both at the same spell duration is in progress. And the result speaks to averages over 1990 to 2023, not to any individual Bill Miller, whose 2006 to 2011 spell ended in recovery, not capitulation, and who would have looked like a genius in 2005 for resisting.</w:t>
      </w:r>
    </w:p>
    <w:p>
      <w:pPr>
        <w:pStyle w:val="Heading1"/>
        <w:spacing w:after="160" w:before="320"/>
      </w:pPr>
      <w:r>
        <w:rPr>
          <w:rFonts w:ascii="Georgia" w:cs="Georgia" w:eastAsia="Georgia" w:hAnsi="Georgia"/>
          <w:b/>
          <w:bCs/>
          <w:color w:val="1a1a1a"/>
          <w:sz w:val="28"/>
          <w:szCs w:val="28"/>
        </w:rPr>
        <w:t xml:space="preserve">9. Pressure, not capacity, and what fell along the way</w:t>
      </w:r>
    </w:p>
    <w:p>
      <w:pPr>
        <w:spacing w:after="160" w:line="276"/>
        <w:jc w:val="left"/>
      </w:pPr>
      <w:r>
        <w:rPr>
          <w:rFonts w:ascii="Georgia" w:cs="Georgia" w:eastAsia="Georgia" w:hAnsi="Georgia"/>
          <w:sz w:val="22"/>
          <w:szCs w:val="22"/>
        </w:rPr>
        <w:t xml:space="preserve">The rational alternative to a behavioral reading is Berk and Green's capacity story, in which successful funds grow until beating the market becomes impossible and index-hugging is simply what a big, successful fund optimally becomes. That story and the surrender story make opposite predictions about what precedes a capitulation, so they can race. In the hazard model, a year of asset shrinkage roughly doubles the odds a manager folds, while inflows and recent flow surprises carry no weight at all once cumulative shrinkage is in the model. Managers fold after sustained failure and shrinkage, not after success and growth. The capacity story may describe other funds at other times. It does not describe these events.</w:t>
      </w:r>
    </w:p>
    <w:p>
      <w:pPr>
        <w:spacing w:after="160" w:line="276"/>
        <w:jc w:val="left"/>
      </w:pPr>
      <w:r>
        <w:rPr>
          <w:rFonts w:ascii="Georgia" w:cs="Georgia" w:eastAsia="Georgia" w:hAnsi="Georgia"/>
          <w:sz w:val="22"/>
          <w:szCs w:val="22"/>
        </w:rPr>
        <w:t xml:space="preserve">Manager tenure protects. Each year of tenure cuts the capitulation hazard by about 8 percent, an estimate that agrees across three different specifications and survives controlling for fund age, which is the obvious confound. It carries a flag: CRSP's manager-date field is missing for a third of the sample, so this result waits on better manager data for confirmation. Redemption pressure precedes death by a long margin, with dying funds bleeding about 2 percent of assets per quarter starting two years before the end, far outside any liquidation-announcement window. The paper states this as timing, not causation.</w:t>
      </w:r>
    </w:p>
    <w:p>
      <w:pPr>
        <w:spacing w:after="160" w:line="276"/>
        <w:jc w:val="left"/>
      </w:pPr>
      <w:r>
        <w:rPr>
          <w:rFonts w:ascii="Georgia" w:cs="Georgia" w:eastAsia="Georgia" w:hAnsi="Georgia"/>
          <w:sz w:val="22"/>
          <w:szCs w:val="22"/>
        </w:rPr>
        <w:t xml:space="preserve">Two earlier findings did not survive the project's own stress testing, and reporting them matters as much as the survivors. A severity-calibrated comparison of who breaks first, the manager or the clients, calibrated so both events are equally rare, dies on data quality: at the calibrated threshold only eleven spells in three decades contain both events, and imputed flow data cannot distinguish client panic from share-class bookkeeping at that severity. The comparison waits for regulatory filings with true gross redemptions. And the claim that capitulation declined continuously from the 1980s fell to the thin early panel, as described in Section 6. Both retractions came from tests this project ran against itself.</w:t>
      </w:r>
    </w:p>
    <w:p>
      <w:pPr>
        <w:pStyle w:val="Heading1"/>
        <w:spacing w:after="160" w:before="320"/>
      </w:pPr>
      <w:r>
        <w:rPr>
          <w:rFonts w:ascii="Georgia" w:cs="Georgia" w:eastAsia="Georgia" w:hAnsi="Georgia"/>
          <w:b/>
          <w:bCs/>
          <w:color w:val="1a1a1a"/>
          <w:sz w:val="28"/>
          <w:szCs w:val="28"/>
        </w:rPr>
        <w:t xml:space="preserve">10. What this paper cannot yet say</w:t>
      </w:r>
    </w:p>
    <w:p>
      <w:pPr>
        <w:spacing w:after="160" w:line="276"/>
        <w:jc w:val="left"/>
      </w:pPr>
      <w:r>
        <w:rPr>
          <w:rFonts w:ascii="Georgia" w:cs="Georgia" w:eastAsia="Georgia" w:hAnsi="Georgia"/>
          <w:sz w:val="22"/>
          <w:szCs w:val="22"/>
        </w:rPr>
        <w:t xml:space="preserve">Three limits are worth stating plainly. First, Active Share can drift downward without a single trade when losing overweights shrink toward benchmark weights, so some measured capitulations may be passive drift rather than active surrender. The decomposition of Active Share changes into trading and drift components, which settles the question, requires holdings-level machinery that is built but not yet run. The grind pattern, several quarters of accelerating decline before the crossing, is consistent with deliberate de-risking, but consistency is not proof. Second, capitulation as measured is a fund-level event, and a fund whose board fires the manager and installs an index-hugger records the same crossing as a manager who loses their nerve. Manager-level histories will separate surrender from succession, and until then the paper's language about managers should be read as language about funds. Third, recovery is treated as censoring in the hazard models, and funds recover partly through the same mean reversion that drives depth, a dependence the competing-risks robustness now in progress will bound.</w:t>
      </w:r>
    </w:p>
    <w:p>
      <w:pPr>
        <w:pStyle w:val="Heading1"/>
        <w:spacing w:after="160" w:before="320"/>
      </w:pPr>
      <w:r>
        <w:rPr>
          <w:rFonts w:ascii="Georgia" w:cs="Georgia" w:eastAsia="Georgia" w:hAnsi="Georgia"/>
          <w:b/>
          <w:bCs/>
          <w:color w:val="1a1a1a"/>
          <w:sz w:val="28"/>
          <w:szCs w:val="28"/>
        </w:rPr>
        <w:t xml:space="preserve">11. Conclusion</w:t>
      </w:r>
    </w:p>
    <w:p>
      <w:pPr>
        <w:spacing w:after="160" w:line="276"/>
        <w:jc w:val="left"/>
      </w:pPr>
      <w:r>
        <w:rPr>
          <w:rFonts w:ascii="Georgia" w:cs="Georgia" w:eastAsia="Georgia" w:hAnsi="Georgia"/>
          <w:sz w:val="22"/>
          <w:szCs w:val="22"/>
        </w:rPr>
        <w:t xml:space="preserve">In the 1990s, a manager deep into a losing streak faced three exits, and all three saw regular traffic. Today one of them is boarded up. Managers who fall behind now either recover or die trying, and the quiet middle path, dissolving the bet into the index while keeping the fund alive, has nearly vanished from American active management. The data cannot fully say why. The timing is at least suggestive, since the disappearance begins with the flood of cheap index funds and ETFs, when hugging an index went from a survivable compromise to a product with a superior competitor at a tenth of the price. A closet indexer in 1995 was mediocre. A closet indexer in 2015 was redundant, and clients could see it.</w:t>
      </w:r>
    </w:p>
    <w:p>
      <w:pPr>
        <w:spacing w:after="160" w:line="276"/>
        <w:jc w:val="left"/>
      </w:pPr>
      <w:r>
        <w:rPr>
          <w:rFonts w:ascii="Georgia" w:cs="Georgia" w:eastAsia="Georgia" w:hAnsi="Georgia"/>
          <w:sz w:val="22"/>
          <w:szCs w:val="22"/>
        </w:rPr>
        <w:t xml:space="preserve">Whatever the cause, the reliability engineer's summary is this. The stress has not changed, and the failure that stress imposes from outside, death, arrives at the same old rate. The failure that requires an internal decision, surrender, has almost stopped occurring. Managers did not stop breaking because the load lightened. They stopped breaking because one way of breaking stopped being available, or stopped being chosen. Distinguishing those two is the next paper.</w:t>
      </w:r>
    </w:p>
    <w:p>
      <w:r>
        <w:br w:type="page"/>
      </w:r>
    </w:p>
    <w:p>
      <w:pPr>
        <w:pStyle w:val="Heading1"/>
        <w:spacing w:after="160" w:before="320"/>
      </w:pPr>
      <w:r>
        <w:rPr>
          <w:rFonts w:ascii="Georgia" w:cs="Georgia" w:eastAsia="Georgia" w:hAnsi="Georgia"/>
          <w:b/>
          <w:bCs/>
          <w:color w:val="1a1a1a"/>
          <w:sz w:val="28"/>
          <w:szCs w:val="28"/>
        </w:rPr>
        <w:t xml:space="preserve">Appendix A. The robustness battery</w:t>
      </w:r>
    </w:p>
    <w:p>
      <w:pPr>
        <w:spacing w:after="160" w:line="276"/>
        <w:jc w:val="left"/>
      </w:pPr>
      <w:r>
        <w:rPr>
          <w:rFonts w:ascii="Georgia" w:cs="Georgia" w:eastAsia="Georgia" w:hAnsi="Georgia"/>
          <w:sz w:val="22"/>
          <w:szCs w:val="22"/>
        </w:rPr>
        <w:t xml:space="preserve">The design was reviewed adversarially before drafting, generating twenty-three critiques, and the answerable ones became the tests below. Each row states the concern, the test, and what happened to the headline results (the era decline, the duration gradient, the depth split).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400"/>
      </w:tblGrid>
      <w:tr>
        <w:trPr>
          <w:tblHeader/>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Concern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Test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Outcome</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Fee drag manufactures spells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Gross returns; fee-sized entry buffer; share of fee-sized spells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4% fee-sized</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Spell definition arbitrary</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Entry buffers, 8-quarter window, minimum-depth filters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Incubation and backfill bias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funds' first 2–3 years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Left truncation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spells underway at first observation (29%)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Death window look-ahead</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Windows of 0/1/2/4 quarters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Gradient holds at 1q+</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Depth-event simultaneity</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 lagged two quarters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Cleaning rules bite by era</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Dropped-count tables; corrected missing-TNA rule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Unchanged to 2nd decimal</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Unobserved fund heterogeneity</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First vs repeat spells; per-fund random intercepts; split sample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Duration gradient intact</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menu grows over time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Frozen 4-index menu, full rebuild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Decline steeper (HR 0.25)</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reassignment</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Freeze benchmark at entry; classify all crossings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move, trend intact</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Fixed thresholds vs cap size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Peer-relative tercile thresholds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Decline intact</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Reporting frequency change 2004</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Force semiannual observation everywhere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Decline intact</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Launch-cohort composition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Cohort fixed effects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HR 0.21 → 0.24</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Mergers pollute death</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Liquidation-only; distressed-merger split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Contrast sharpens</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Reconstructed benchmarks unvalidated</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Official index returns throughout; three-way calibration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Decline strengthens</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measurement idiosyncratic</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Correlation 0.98 vs published Petajisto data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Validated</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Famous-fund sanity</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Six trace funds incl. negative control</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 match public record</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H7 underpowered</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MDE reporting; gross returns; own-benchmark ruler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Powered negative</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Berk-Green explains results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Inflow/shrinkage horse race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Capacity story rejected</w:t>
            </w:r>
          </w:p>
        </w:tc>
      </w:tr>
    </w:tbl>
    <w:p>
      <w:pPr>
        <w:spacing w:after="200" w:before="60"/>
      </w:pPr>
      <w:r>
        <w:rPr>
          <w:rFonts w:ascii="Georgia" w:cs="Georgia" w:eastAsia="Georgia" w:hAnsi="Georgia"/>
          <w:i/>
          <w:iCs/>
          <w:color w:val="444444"/>
          <w:sz w:val="18"/>
          <w:szCs w:val="18"/>
        </w:rPr>
        <w:t xml:space="preserve">Table A1. Summary of the robustness battery. Full specifications and numerical results are in the replication package.</w:t>
      </w:r>
    </w:p>
    <w:p>
      <w:pPr>
        <w:pStyle w:val="Heading1"/>
        <w:spacing w:after="160" w:before="320"/>
      </w:pPr>
      <w:r>
        <w:rPr>
          <w:rFonts w:ascii="Georgia" w:cs="Georgia" w:eastAsia="Georgia" w:hAnsi="Georgia"/>
          <w:b/>
          <w:bCs/>
          <w:color w:val="1a1a1a"/>
          <w:sz w:val="28"/>
          <w:szCs w:val="28"/>
        </w:rPr>
        <w:t xml:space="preserve">Appendix B. Definitions and cleaning rules</w:t>
      </w:r>
    </w:p>
    <w:p>
      <w:pPr>
        <w:spacing w:after="160" w:line="276"/>
        <w:jc w:val="left"/>
      </w:pPr>
      <w:r>
        <w:rPr>
          <w:rFonts w:ascii="Georgia" w:cs="Georgia" w:eastAsia="Georgia" w:hAnsi="Georgia"/>
          <w:sz w:val="22"/>
          <w:szCs w:val="22"/>
        </w:rPr>
        <w:t xml:space="preserve">Spell entry: trailing four-quarter fund return net of fees below the trailing four-quarter benchmark return, with Active Share at or above 70 percent. Recovery: trailing relative return turns non-negative. Capitulation: minimum Active Share closes below 60 percent. Death: all share classes terminated within the attribution window of the spell's end (four quarters in the tables here; results at one and two quarters shown in Appendix A). Depth: worst trailing four-quarter relative return observed so far in the spell, lagged one quarter. Benchmark: index with the lowest Active Share, per the Notre Dame convention, with official index returns as described in Section 3. Return hygiene: fund-months with absolute returns above 200 percent are dropped as data errors, as are months with observed assets below one million dollars (missing assets are not treated as zero). Flows: imputed from assets and returns at the share-class level, aggregated to retail share classes, with total-fund flows as a robustness alternative. Spells with a missing Active Share quarter are censored at the gap when the gap appears in the panel; single-quarter reporting gaps that drop out of the panel entirely are bridged, and measured durations count observed quarters. All processing scripts and aggregate outputs are available in the replication package; licensed source data (CRSP, Notre Dame, FTSE Russell) cannot be redistributed.</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2026-08-07T23:16:49.957Z</dcterms:created>
  <dcterms:modified xsi:type="dcterms:W3CDTF">2026-08-07T23:16:49.969Z</dcterms:modified>
</cp:coreProperties>
</file>

<file path=docProps/custom.xml><?xml version="1.0" encoding="utf-8"?>
<Properties xmlns="http://schemas.openxmlformats.org/officeDocument/2006/custom-properties" xmlns:vt="http://schemas.openxmlformats.org/officeDocument/2006/docPropsVTypes"/>
</file>