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jc w:val="both"/>
      </w:pPr>
      <w:r>
        <w:rPr>
          <w:rFonts w:ascii="Times New Roman" w:cs="Times New Roman" w:eastAsia="Times New Roman" w:hAnsi="Times New Roman"/>
          <w:b w:val="false"/>
          <w:bCs w:val="false"/>
          <w:i w:val="false"/>
          <w:iCs w:val="false"/>
          <w:sz w:val="24"/>
          <w:szCs w:val="24"/>
        </w:rPr>
        <w:t xml:space="preserve"> </w:t>
      </w:r>
    </w:p>
    <w:p>
      <w:pPr>
        <w:spacing w:after="80" w:line="276"/>
        <w:jc w:val="center"/>
      </w:pPr>
      <w:r>
        <w:rPr>
          <w:rFonts w:ascii="Times New Roman" w:cs="Times New Roman" w:eastAsia="Times New Roman" w:hAnsi="Times New Roman"/>
          <w:b/>
          <w:bCs/>
          <w:i w:val="false"/>
          <w:iCs w:val="false"/>
          <w:sz w:val="40"/>
          <w:szCs w:val="40"/>
        </w:rPr>
        <w:t xml:space="preserve">Who Breaks First?</w:t>
      </w:r>
    </w:p>
    <w:p>
      <w:pPr>
        <w:spacing w:after="500" w:line="276"/>
        <w:jc w:val="center"/>
      </w:pPr>
      <w:r>
        <w:rPr>
          <w:rFonts w:ascii="Times New Roman" w:cs="Times New Roman" w:eastAsia="Times New Roman" w:hAnsi="Times New Roman"/>
          <w:b/>
          <w:bCs/>
          <w:i w:val="false"/>
          <w:iCs w:val="false"/>
          <w:sz w:val="30"/>
          <w:szCs w:val="30"/>
        </w:rPr>
        <w:t xml:space="preserve">The Disappearing Capitulation of Fund Managers — and the Clients Who Pull the Trigger</w:t>
      </w:r>
    </w:p>
    <w:p>
      <w:pPr>
        <w:spacing w:after="40" w:line="276"/>
        <w:jc w:val="center"/>
      </w:pPr>
      <w:r>
        <w:rPr>
          <w:rFonts w:ascii="Times New Roman" w:cs="Times New Roman" w:eastAsia="Times New Roman" w:hAnsi="Times New Roman"/>
          <w:b w:val="false"/>
          <w:bCs w:val="false"/>
          <w:i w:val="false"/>
          <w:iCs w:val="false"/>
          <w:sz w:val="26"/>
          <w:szCs w:val="26"/>
        </w:rPr>
        <w:t xml:space="preserve">Colin Hisey</w:t>
      </w:r>
    </w:p>
    <w:p>
      <w:pPr>
        <w:spacing w:after="40" w:line="276"/>
        <w:jc w:val="center"/>
      </w:pPr>
      <w:r>
        <w:rPr>
          <w:rFonts w:ascii="Times New Roman" w:cs="Times New Roman" w:eastAsia="Times New Roman" w:hAnsi="Times New Roman"/>
          <w:b w:val="false"/>
          <w:bCs w:val="false"/>
          <w:i w:val="false"/>
          <w:iCs w:val="false"/>
          <w:sz w:val="24"/>
          <w:szCs w:val="24"/>
        </w:rPr>
        <w:t xml:space="preserve">Northwestern University</w:t>
      </w:r>
    </w:p>
    <w:p>
      <w:pPr>
        <w:spacing w:after="500" w:line="276"/>
        <w:jc w:val="center"/>
      </w:pPr>
      <w:r>
        <w:rPr>
          <w:rFonts w:ascii="Times New Roman" w:cs="Times New Roman" w:eastAsia="Times New Roman" w:hAnsi="Times New Roman"/>
          <w:b w:val="false"/>
          <w:bCs w:val="false"/>
          <w:i/>
          <w:iCs/>
          <w:sz w:val="22"/>
          <w:szCs w:val="22"/>
        </w:rPr>
        <w:t xml:space="preserve">Working paper — SSRN skeleton draft, August 2026</w:t>
      </w:r>
    </w:p>
    <w:p>
      <w:pPr>
        <w:spacing w:after="300" w:line="276"/>
        <w:jc w:val="center"/>
      </w:pPr>
      <w:r>
        <w:rPr>
          <w:rFonts w:ascii="Times New Roman" w:cs="Times New Roman" w:eastAsia="Times New Roman" w:hAnsi="Times New Roman"/>
          <w:b/>
          <w:bCs/>
          <w:i w:val="false"/>
          <w:iCs w:val="false"/>
          <w:color w:val="990000"/>
          <w:sz w:val="22"/>
          <w:szCs w:val="22"/>
        </w:rPr>
        <w:t xml:space="preserve">PRELIMINARY AND INCOMPLETE — PILOT-FIDELITY RESULTS. All numbers in this draft come from a rapid pilot pipeline and are subject to the robustness program in Section 8 and Appendix A. Do not cite or circulate.</w:t>
      </w:r>
    </w:p>
    <w:p>
      <w:pPr>
        <w:spacing w:after="160" w:line="276"/>
        <w:jc w:val="center"/>
      </w:pPr>
      <w:r>
        <w:rPr>
          <w:rFonts w:ascii="Times New Roman" w:cs="Times New Roman" w:eastAsia="Times New Roman" w:hAnsi="Times New Roman"/>
          <w:b w:val="false"/>
          <w:bCs w:val="false"/>
          <w:i/>
          <w:iCs/>
          <w:sz w:val="20"/>
          <w:szCs w:val="20"/>
        </w:rPr>
        <w:t xml:space="preserve">[Working-title alternatives: “The Capitulation of Conviction”; “How Long Does Conviction Last?”]</w:t>
      </w:r>
    </w:p>
    <w:p>
      <w:r>
        <w:br w:type="page"/>
      </w:r>
    </w:p>
    <w:p>
      <w:pPr>
        <w:pStyle w:val="Heading1"/>
        <w:spacing w:after="160" w:before="320"/>
      </w:pPr>
      <w:r>
        <w:rPr>
          <w:rFonts w:ascii="Times New Roman" w:cs="Times New Roman" w:eastAsia="Times New Roman" w:hAnsi="Times New Roman"/>
          <w:b/>
          <w:bCs/>
          <w:color w:val="000000"/>
          <w:sz w:val="28"/>
          <w:szCs w:val="28"/>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When an actively managed fund underperforms its benchmark for a sustained period, someone eventually gives up. We study, at the fund level and over 1980–2023, the two capitulations attached to the same fund: the manager’s (Active Share collapsing into closet-index territory) and the clients’ (retail redemptions), together with the terminal alternative — fund death. Using survival analysis on 9,094 U.S. equity funds and 18,094 underperformance spells, we document four facts. First, the hazard of managerial capitulation rises sharply with the depth of underperformance and falls with manager tenure, consistent with career-concern channels. Second, managerial capitulation has fallen roughly 2.7-fold since the 1980s–90s — a decline that survives covariate controls and independent holdings-data pipelines — while the cumulative incidence of fund death among stressed funds has remained near 40% per decade across four decades: the death rate never changed; surrender-in-place vanished. Third, at routine severities clients capitulate far faster than managers (median two quarters versus four), but at severity-matched thresholds the race is a statistical dead heat; funds that die are preceded by client hemorrhage, while recovering funds are not. Fourth, conviction is not rewarded: funds that resist capitulation through long spells earn no higher subsequent risk-adjusted returns than funds that fold. We also show that hazard-based capitulation measurement is acutely sensitive to benchmark assignment — style-matched index returns shift estimated hazards roughly threefold relative to core-index proxies.</w:t>
      </w:r>
    </w:p>
    <w:p>
      <w:pPr>
        <w:spacing w:after="160" w:line="276"/>
        <w:jc w:val="both"/>
      </w:pPr>
      <w:r>
        <w:rPr>
          <w:rFonts w:ascii="Times New Roman" w:cs="Times New Roman" w:eastAsia="Times New Roman" w:hAnsi="Times New Roman"/>
          <w:b w:val="false"/>
          <w:bCs w:val="false"/>
          <w:i/>
          <w:iCs/>
          <w:sz w:val="24"/>
          <w:szCs w:val="24"/>
        </w:rPr>
        <w:t xml:space="preserve">JEL: G11, G23. Keywords: mutual funds, Active Share, closet indexing, survival analysis, career concerns, fund flows.</w:t>
      </w:r>
    </w:p>
    <w:p>
      <w:pPr>
        <w:pStyle w:val="Heading1"/>
        <w:spacing w:after="160" w:before="320"/>
      </w:pPr>
      <w:r>
        <w:rPr>
          <w:rFonts w:ascii="Times New Roman" w:cs="Times New Roman" w:eastAsia="Times New Roman" w:hAnsi="Times New Roman"/>
          <w:b/>
          <w:bCs/>
          <w:color w:val="000000"/>
          <w:sz w:val="28"/>
          <w:szCs w:val="28"/>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An active fund manager who trails the benchmark faces a slow referendum. The clients vote quarterly with redemptions; the board votes eventually with termination; and the manager votes privately, position by position, on whether to keep being different from the index at all. The existing literature has studied these votes separately: plan sponsors fire managers after roughly three underperforming years [Goyal and Wahal 2008]; closet indexing rises in bad times in the aggregate [Petajisto 2013]; and flows chase performance [Sirri and Tufano 1998]. What is missing is the unit-level clock: how long does conviction actually survive underperformance, who abandons it first — the manager or the clients of the same fund — and what happens to funds whose conviction outlasts everyone’s patience?</w:t>
      </w:r>
    </w:p>
    <w:p>
      <w:pPr>
        <w:spacing w:after="160" w:line="276"/>
        <w:jc w:val="both"/>
      </w:pPr>
      <w:r>
        <w:rPr>
          <w:rFonts w:ascii="Times New Roman" w:cs="Times New Roman" w:eastAsia="Times New Roman" w:hAnsi="Times New Roman"/>
          <w:b w:val="false"/>
          <w:bCs w:val="false"/>
          <w:i w:val="false"/>
          <w:iCs w:val="false"/>
          <w:sz w:val="24"/>
          <w:szCs w:val="24"/>
        </w:rPr>
        <w:t xml:space="preserve">We answer these questions with a hazard-model design borrowed from reliability engineering. A fund enters an “underperformance spell” when its trailing four-quarter return falls below its benchmark while the fund is still genuinely active (Active Share ≥ 70%). Within a spell we track three failure modes on the same clock: managerial capitulation (Active Share first crossing below Petajisto’s 60% closet-index threshold), client capitulation (a retail redemption spike), and fund death (liquidation or merger). Recovery ends the spell. This design treats the fund as a component under load, underperformance as the stress, and the outcomes as competing failure modes — which is precisely what the data show they are.</w:t>
      </w:r>
    </w:p>
    <w:p>
      <w:pPr>
        <w:spacing w:after="160" w:line="276"/>
        <w:jc w:val="both"/>
      </w:pPr>
      <w:r>
        <w:rPr>
          <w:rFonts w:ascii="Times New Roman" w:cs="Times New Roman" w:eastAsia="Times New Roman" w:hAnsi="Times New Roman"/>
          <w:b w:val="false"/>
          <w:bCs w:val="false"/>
          <w:i w:val="false"/>
          <w:iCs w:val="false"/>
          <w:sz w:val="24"/>
          <w:szCs w:val="24"/>
        </w:rPr>
        <w:t xml:space="preserve">[Findings preview — four numbered contributions, one paragraph each: (i) the capitulation hazard and its covariates (depth, tenure, size, flows); (ii) the secular decline in surrender-in-place against a constant death rate; (iii) the who-breaks-first comparison, calibrated and uncalibrated; (iv) the conviction-premium null. Then the methods contribution: benchmark-assignment sensitivity of hazard estimates.]</w:t>
      </w:r>
    </w:p>
    <w:p>
      <w:pPr>
        <w:spacing w:after="160" w:line="276"/>
        <w:jc w:val="both"/>
      </w:pPr>
      <w:r>
        <w:rPr>
          <w:rFonts w:ascii="Times New Roman" w:cs="Times New Roman" w:eastAsia="Times New Roman" w:hAnsi="Times New Roman"/>
          <w:b w:val="false"/>
          <w:bCs w:val="false"/>
          <w:i w:val="false"/>
          <w:iCs w:val="false"/>
          <w:sz w:val="24"/>
          <w:szCs w:val="24"/>
        </w:rPr>
        <w:t xml:space="preserve">[Positioning paragraph: distinguish from short-horizon tournament effects (Li, Tiwari and Tong 2022; Jin, Taffler, Eshraghi and Tosun 2020) — we find capitulation at multi-year horizons is a grind, not a gamble; from volatility-space career-concern responses (Kempf, Ruenzi and Thiele 2009); from fund-death hazards (Lunde, Timmermann and Blake 1999) — our failure event is strategy abandonment, with death as a competing risk; from holding-duration patience (Cremers and Pareek 2016) — our conviction measure is dynamic, within-fund, and conditional on being underwater; and from sophisticated-vs-retail flow comparisons (Del Guercio and Tkac 2002; Evans and Fahlenbrach 2012; Goyal, Tol and Wahal 2023) — our comparison is manager-versus-clients of the same fund over the same spell.]</w:t>
      </w:r>
    </w:p>
    <w:p>
      <w:pPr>
        <w:pStyle w:val="Heading1"/>
        <w:spacing w:after="160" w:before="320"/>
      </w:pPr>
      <w:r>
        <w:rPr>
          <w:rFonts w:ascii="Times New Roman" w:cs="Times New Roman" w:eastAsia="Times New Roman" w:hAnsi="Times New Roman"/>
          <w:b/>
          <w:bCs/>
          <w:color w:val="000000"/>
          <w:sz w:val="28"/>
          <w:szCs w:val="28"/>
        </w:rPr>
        <w:t xml:space="preserve">2. Hypotheses and Current Status</w:t>
      </w:r>
    </w:p>
    <w:p>
      <w:pPr>
        <w:spacing w:after="160" w:line="276"/>
        <w:jc w:val="both"/>
      </w:pPr>
      <w:r>
        <w:rPr>
          <w:rFonts w:ascii="Times New Roman" w:cs="Times New Roman" w:eastAsia="Times New Roman" w:hAnsi="Times New Roman"/>
          <w:b w:val="false"/>
          <w:bCs w:val="false"/>
          <w:i w:val="false"/>
          <w:iCs w:val="false"/>
          <w:sz w:val="24"/>
          <w:szCs w:val="24"/>
        </w:rPr>
        <w:t xml:space="preserve">Pre-specified hypotheses from the study design, with their standing after the pilot phase. [Each becomes a short subsection with the formal statement in the full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c>
          <w:tcPr>
            <w:tcW w:type="dxa" w:w="9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Hypothesis</w:t>
            </w:r>
          </w:p>
        </w:tc>
        <w:tc>
          <w:tcPr>
            <w:tcW w:type="dxa" w:w="506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Statement (abbreviated)</w:t>
            </w:r>
          </w:p>
        </w:tc>
        <w:tc>
          <w:tcPr>
            <w:tcW w:type="dxa" w:w="34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Pilot status</w:t>
            </w:r>
          </w:p>
        </w:tc>
      </w:tr>
      <w:tr>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H1</w:t>
            </w:r>
          </w:p>
        </w:tc>
        <w:tc>
          <w:tcPr>
            <w:tcW w:type="dxa" w:w="5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Capitulation hazard rises with duration and depth of underperformance</w:t>
            </w:r>
          </w:p>
        </w:tc>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Depth: supported (p&lt;0.0001). Duration shape: KM/AJ curves; formal duration test in real build</w:t>
            </w:r>
          </w:p>
        </w:tc>
      </w:tr>
      <w:tr>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H2</w:t>
            </w:r>
          </w:p>
        </w:tc>
        <w:tc>
          <w:tcPr>
            <w:tcW w:type="dxa" w:w="5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Outflows independently raise the hazard</w:t>
            </w:r>
          </w:p>
        </w:tc>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Directionally supported (HR 0.44 on entry flows, p=0.054); time-varying version owed</w:t>
            </w:r>
          </w:p>
        </w:tc>
      </w:tr>
      <w:tr>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H3</w:t>
            </w:r>
          </w:p>
        </w:tc>
        <w:tc>
          <w:tcPr>
            <w:tcW w:type="dxa" w:w="5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Shorter manager tenure → faster capitulation (career concerns)</w:t>
            </w:r>
          </w:p>
        </w:tc>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SUPPORTED: HR 0.942/tenure-year, p=0.0001 (CRSP tenure; Morningstar upgrade owed)</w:t>
            </w:r>
          </w:p>
        </w:tc>
      </w:tr>
      <w:tr>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H4</w:t>
            </w:r>
          </w:p>
        </w:tc>
        <w:tc>
          <w:tcPr>
            <w:tcW w:type="dxa" w:w="5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Client response more convex / regime-triggered than manager response</w:t>
            </w:r>
          </w:p>
        </w:tc>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Partially examined; median 2q vs 4q; convexity test owed</w:t>
            </w:r>
          </w:p>
        </w:tc>
      </w:tr>
      <w:tr>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H5</w:t>
            </w:r>
          </w:p>
        </w:tc>
        <w:tc>
          <w:tcPr>
            <w:tcW w:type="dxa" w:w="5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Client capitulation worse-timed (behavior gap)</w:t>
            </w:r>
          </w:p>
        </w:tc>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Not yet tested (N-SAR gross flows + timing analysis owed)</w:t>
            </w:r>
          </w:p>
        </w:tc>
      </w:tr>
      <w:tr>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H6</w:t>
            </w:r>
          </w:p>
        </w:tc>
        <w:tc>
          <w:tcPr>
            <w:tcW w:type="dxa" w:w="5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Clients break first in fast episodes; managers in slow grinds</w:t>
            </w:r>
          </w:p>
        </w:tc>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Reframed: at routine severity clients always first; at matched severity a dead heat. Episode-type interaction owed</w:t>
            </w:r>
          </w:p>
        </w:tc>
      </w:tr>
      <w:tr>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H7</w:t>
            </w:r>
          </w:p>
        </w:tc>
        <w:tc>
          <w:tcPr>
            <w:tcW w:type="dxa" w:w="5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Resisting capitulation predicts higher subsequent alpha</w:t>
            </w:r>
          </w:p>
        </w:tc>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NULL, replicated twice (spread ≈ −0.3%/yr, |t|&lt;0.9); robustness battery owed before final verdict</w:t>
            </w:r>
          </w:p>
        </w:tc>
      </w:tr>
    </w:tbl>
    <w:p>
      <w:pPr>
        <w:pStyle w:val="Heading1"/>
        <w:spacing w:after="160" w:before="320"/>
      </w:pPr>
      <w:r>
        <w:rPr>
          <w:rFonts w:ascii="Times New Roman" w:cs="Times New Roman" w:eastAsia="Times New Roman" w:hAnsi="Times New Roman"/>
          <w:b/>
          <w:bCs/>
          <w:color w:val="000000"/>
          <w:sz w:val="28"/>
          <w:szCs w:val="28"/>
        </w:rPr>
        <w:t xml:space="preserve">3. Data</w:t>
      </w:r>
    </w:p>
    <w:p>
      <w:pPr>
        <w:spacing w:after="160" w:line="276"/>
        <w:jc w:val="both"/>
      </w:pPr>
      <w:r>
        <w:rPr>
          <w:rFonts w:ascii="Times New Roman" w:cs="Times New Roman" w:eastAsia="Times New Roman" w:hAnsi="Times New Roman"/>
          <w:b w:val="false"/>
          <w:bCs w:val="false"/>
          <w:i w:val="false"/>
          <w:iCs w:val="false"/>
          <w:sz w:val="24"/>
          <w:szCs w:val="24"/>
        </w:rPr>
        <w:t xml:space="preserve">We join eight primary sources at the fund (wficn) level. [Full data appendix in the final draft; provenance manifests accompany every extraction.]</w:t>
      </w:r>
    </w:p>
    <w:p>
      <w:pPr>
        <w:pStyle w:val="ListParagraph"/>
        <w:numPr>
          <w:ilvl w:val="0"/>
          <w:numId w:val="2"/>
        </w:numPr>
        <w:spacing w:after="100" w:line="264"/>
      </w:pPr>
      <w:r>
        <w:rPr>
          <w:rFonts w:ascii="Times New Roman" w:cs="Times New Roman" w:eastAsia="Times New Roman" w:hAnsi="Times New Roman"/>
          <w:sz w:val="24"/>
          <w:szCs w:val="24"/>
        </w:rPr>
        <w:t xml:space="preserve">CRSP Survivor-Bias-Free Mutual Fund Database: share-class monthly returns, TNA, NAV (1961–); the 73-column fund summary (fees, objectives, retail/institutional flags, manager start dates, death/merger records); portfolio map; daily returns (1998–); portfolio holdings (2001–).</w:t>
      </w:r>
    </w:p>
    <w:p>
      <w:pPr>
        <w:pStyle w:val="ListParagraph"/>
        <w:numPr>
          <w:ilvl w:val="0"/>
          <w:numId w:val="2"/>
        </w:numPr>
        <w:spacing w:after="100" w:line="264"/>
      </w:pPr>
      <w:r>
        <w:rPr>
          <w:rFonts w:ascii="Times New Roman" w:cs="Times New Roman" w:eastAsia="Times New Roman" w:hAnsi="Times New Roman"/>
          <w:sz w:val="24"/>
          <w:szCs w:val="24"/>
        </w:rPr>
        <w:t xml:space="preserve">Notre Dame Active Share data (Cremers): quarterly Active Share versus 21 benchmarks, Thomson-holdings-based 1979–2019 and CRSP-holdings-based 2020–2023.</w:t>
      </w:r>
    </w:p>
    <w:p>
      <w:pPr>
        <w:pStyle w:val="ListParagraph"/>
        <w:numPr>
          <w:ilvl w:val="0"/>
          <w:numId w:val="2"/>
        </w:numPr>
        <w:spacing w:after="100" w:line="264"/>
      </w:pPr>
      <w:r>
        <w:rPr>
          <w:rFonts w:ascii="Times New Roman" w:cs="Times New Roman" w:eastAsia="Times New Roman" w:hAnsi="Times New Roman"/>
          <w:sz w:val="24"/>
          <w:szCs w:val="24"/>
        </w:rPr>
        <w:t xml:space="preserve">Petajisto Active Share data: 1980–2009 with official prospectus benchmarks, tracking error, and index-fund flags; used for validation and benchmark-assignment robustness.</w:t>
      </w:r>
    </w:p>
    <w:p>
      <w:pPr>
        <w:pStyle w:val="ListParagraph"/>
        <w:numPr>
          <w:ilvl w:val="0"/>
          <w:numId w:val="2"/>
        </w:numPr>
        <w:spacing w:after="100" w:line="264"/>
      </w:pPr>
      <w:r>
        <w:rPr>
          <w:rFonts w:ascii="Times New Roman" w:cs="Times New Roman" w:eastAsia="Times New Roman" w:hAnsi="Times New Roman"/>
          <w:sz w:val="24"/>
          <w:szCs w:val="24"/>
        </w:rPr>
        <w:t xml:space="preserve">MFLINKS (Wermers/WRDS): the CRSP–Thomson–wficn identifier bridge (49,975 share-class links).</w:t>
      </w:r>
    </w:p>
    <w:p>
      <w:pPr>
        <w:pStyle w:val="ListParagraph"/>
        <w:numPr>
          <w:ilvl w:val="0"/>
          <w:numId w:val="2"/>
        </w:numPr>
        <w:spacing w:after="100" w:line="264"/>
      </w:pPr>
      <w:r>
        <w:rPr>
          <w:rFonts w:ascii="Times New Roman" w:cs="Times New Roman" w:eastAsia="Times New Roman" w:hAnsi="Times New Roman"/>
          <w:sz w:val="24"/>
          <w:szCs w:val="24"/>
        </w:rPr>
        <w:t xml:space="preserve">Benchmark returns: twelve Russell indexes reconstructed exactly from FTSE Russell constituent weights × security returns (2002–), spliced to CPZ actual index returns (1979–2002); CRSP S&amp;P 500 value-weighted total return (1926–). Validation correlations against independent series 0.99–0.9999.</w:t>
      </w:r>
    </w:p>
    <w:p>
      <w:pPr>
        <w:pStyle w:val="ListParagraph"/>
        <w:numPr>
          <w:ilvl w:val="0"/>
          <w:numId w:val="2"/>
        </w:numPr>
        <w:spacing w:after="100" w:line="264"/>
      </w:pPr>
      <w:r>
        <w:rPr>
          <w:rFonts w:ascii="Times New Roman" w:cs="Times New Roman" w:eastAsia="Times New Roman" w:hAnsi="Times New Roman"/>
          <w:sz w:val="24"/>
          <w:szCs w:val="24"/>
        </w:rPr>
        <w:t xml:space="preserve">Factor models: Fama–French 3/5 + momentum; CPZ index-based factors; AQR factors; Pástor–Stambaugh liquidity (traded).</w:t>
      </w:r>
    </w:p>
    <w:p>
      <w:pPr>
        <w:pStyle w:val="ListParagraph"/>
        <w:numPr>
          <w:ilvl w:val="0"/>
          <w:numId w:val="2"/>
        </w:numPr>
        <w:spacing w:after="100" w:line="264"/>
      </w:pPr>
      <w:r>
        <w:rPr>
          <w:rFonts w:ascii="Times New Roman" w:cs="Times New Roman" w:eastAsia="Times New Roman" w:hAnsi="Times New Roman"/>
          <w:sz w:val="24"/>
          <w:szCs w:val="24"/>
        </w:rPr>
        <w:t xml:space="preserve">N-SAR filings (1994–2018): gross monthly sales and redemptions — the direct client-capitulation measure. [Current extract truncated; full re-pull scheduled — all client-flow results in this draft use imputed net flows.]</w:t>
      </w:r>
    </w:p>
    <w:p>
      <w:pPr>
        <w:pStyle w:val="ListParagraph"/>
        <w:numPr>
          <w:ilvl w:val="0"/>
          <w:numId w:val="2"/>
        </w:numPr>
        <w:spacing w:after="100" w:line="264"/>
      </w:pPr>
      <w:r>
        <w:rPr>
          <w:rFonts w:ascii="Times New Roman" w:cs="Times New Roman" w:eastAsia="Times New Roman" w:hAnsi="Times New Roman"/>
          <w:sz w:val="24"/>
          <w:szCs w:val="24"/>
        </w:rPr>
        <w:t xml:space="preserve">Pending: Morningstar Direct (prospectus benchmarks, manager histories, rating changes; S&amp;P 400/600 index families).</w:t>
      </w:r>
    </w:p>
    <w:p>
      <w:pPr>
        <w:pStyle w:val="Heading2"/>
        <w:spacing w:after="120" w:before="240"/>
      </w:pPr>
      <w:r>
        <w:rPr>
          <w:rFonts w:ascii="Times New Roman" w:cs="Times New Roman" w:eastAsia="Times New Roman" w:hAnsi="Times New Roman"/>
          <w:b/>
          <w:bCs/>
          <w:color w:val="000000"/>
          <w:sz w:val="25"/>
          <w:szCs w:val="25"/>
        </w:rPr>
        <w:t xml:space="preserve">3.1 Sample construction and hygiene</w:t>
      </w:r>
    </w:p>
    <w:p>
      <w:pPr>
        <w:spacing w:after="160" w:line="276"/>
        <w:jc w:val="both"/>
      </w:pPr>
      <w:r>
        <w:rPr>
          <w:rFonts w:ascii="Times New Roman" w:cs="Times New Roman" w:eastAsia="Times New Roman" w:hAnsi="Times New Roman"/>
          <w:b w:val="false"/>
          <w:bCs w:val="false"/>
          <w:i w:val="false"/>
          <w:iCs w:val="false"/>
          <w:sz w:val="24"/>
          <w:szCs w:val="24"/>
        </w:rPr>
        <w:t xml:space="preserve">Share classes aggregate to funds by lagged-TNA weights; index funds and ETFs are screened via CRSP flags; corrupt fund-months (|return| &gt; 200%) and micro-fund months (TNA &lt; $1M) are removed (74,653 fund-months). The estimation panel is 285,929 fund-quarters across 9,094 funds, 1980Q1–2023Q3, yielding 18,094 underperformance spells with 693 managerial capitulation events and 2,435 deaths-in-spell.</w:t>
      </w:r>
    </w:p>
    <w:p>
      <w:pPr>
        <w:pStyle w:val="Heading2"/>
        <w:spacing w:after="120" w:before="240"/>
      </w:pPr>
      <w:r>
        <w:rPr>
          <w:rFonts w:ascii="Times New Roman" w:cs="Times New Roman" w:eastAsia="Times New Roman" w:hAnsi="Times New Roman"/>
          <w:b/>
          <w:bCs/>
          <w:color w:val="000000"/>
          <w:sz w:val="25"/>
          <w:szCs w:val="25"/>
        </w:rPr>
        <w:t xml:space="preserve">3.2 Measurement: benchmarks move hazards threefold</w:t>
      </w:r>
    </w:p>
    <w:p>
      <w:pPr>
        <w:spacing w:after="160" w:line="276"/>
        <w:jc w:val="both"/>
      </w:pPr>
      <w:r>
        <w:rPr>
          <w:rFonts w:ascii="Times New Roman" w:cs="Times New Roman" w:eastAsia="Times New Roman" w:hAnsi="Times New Roman"/>
          <w:b w:val="false"/>
          <w:bCs w:val="false"/>
          <w:i w:val="false"/>
          <w:iCs w:val="false"/>
          <w:sz w:val="24"/>
          <w:szCs w:val="24"/>
        </w:rPr>
        <w:t xml:space="preserve">Because Active Share and relative performance are both defined against a benchmark, benchmark assignment is not a nuisance detail but a first-order measurement choice. We assign each fund its minimum-Active-Share benchmark (the index it most resembles), and measure relative performance against that index’s actual returns. Replacing style-matched benchmarks with broad core-index proxies — a common shortcut — manufactures spurious underperformance spells for style funds and depresses estimated capitulation rates roughly threefold (2.46% vs. 0.8% of spells in the modern era). This extends the benchmark-validity critique of Frazzini, Friedman and Pomorski [2016] and Cremers, Fulkerson and Riley [2022] from performance evaluation into hazard measurement. [Full sensitivity table in the robustness section.]</w:t>
      </w:r>
    </w:p>
    <w:p>
      <w:pPr>
        <w:spacing w:after="160" w:line="276"/>
        <w:jc w:val="both"/>
      </w:pPr>
      <w:r>
        <w:rPr>
          <w:rFonts w:ascii="Times New Roman" w:cs="Times New Roman" w:eastAsia="Times New Roman" w:hAnsi="Times New Roman"/>
          <w:b w:val="false"/>
          <w:bCs w:val="false"/>
          <w:i w:val="false"/>
          <w:iCs w:val="false"/>
          <w:sz w:val="24"/>
          <w:szCs w:val="24"/>
        </w:rPr>
        <w:t xml:space="preserve">A sensor-validation exercise supports the Active Share data itself: Thomson-based and CRSP-based holdings pipelines — independent data vendors — yield statistically indistinguishable modern capitulation rates (0.8% vs. 0.7% of spells), and quarter-to-quarter Active Share movement declines secularly in both, ruling out stale-holdings artifacts as the source of the era result.</w:t>
      </w:r>
    </w:p>
    <w:p>
      <w:pPr>
        <w:pStyle w:val="Heading1"/>
        <w:spacing w:after="160" w:before="320"/>
      </w:pPr>
      <w:r>
        <w:rPr>
          <w:rFonts w:ascii="Times New Roman" w:cs="Times New Roman" w:eastAsia="Times New Roman" w:hAnsi="Times New Roman"/>
          <w:b/>
          <w:bCs/>
          <w:color w:val="000000"/>
          <w:sz w:val="28"/>
          <w:szCs w:val="28"/>
        </w:rPr>
        <w:t xml:space="preserve">4. Empirical Design</w:t>
      </w:r>
    </w:p>
    <w:p>
      <w:pPr>
        <w:spacing w:after="160" w:line="276"/>
        <w:jc w:val="both"/>
      </w:pPr>
      <w:r>
        <w:rPr>
          <w:rFonts w:ascii="Times New Roman" w:cs="Times New Roman" w:eastAsia="Times New Roman" w:hAnsi="Times New Roman"/>
          <w:b w:val="false"/>
          <w:bCs w:val="false"/>
          <w:i w:val="false"/>
          <w:iCs w:val="false"/>
          <w:sz w:val="24"/>
          <w:szCs w:val="24"/>
        </w:rPr>
        <w:t xml:space="preserve">Spell definition: entry when trailing four-quarter fund return falls below the matched benchmark’s while Active Share ≥ 70%; exit on recovery (censoring), managerial capitulation (AS &lt; 60%), or death. Client events are defined on retail share-class flows within the same spell.</w:t>
      </w:r>
    </w:p>
    <w:p>
      <w:pPr>
        <w:pStyle w:val="ListParagraph"/>
        <w:numPr>
          <w:ilvl w:val="0"/>
          <w:numId w:val="2"/>
        </w:numPr>
        <w:spacing w:after="100" w:line="264"/>
      </w:pPr>
      <w:r>
        <w:rPr>
          <w:rFonts w:ascii="Times New Roman" w:cs="Times New Roman" w:eastAsia="Times New Roman" w:hAnsi="Times New Roman"/>
          <w:sz w:val="24"/>
          <w:szCs w:val="24"/>
        </w:rPr>
        <w:t xml:space="preserve">Kaplan–Meier and Aalen–Johansen estimators: the latter treats capitulation and death as competing risks, which matters — naïve outcome shares are biased by panel-edge censoring.</w:t>
      </w:r>
    </w:p>
    <w:p>
      <w:pPr>
        <w:pStyle w:val="ListParagraph"/>
        <w:numPr>
          <w:ilvl w:val="0"/>
          <w:numId w:val="2"/>
        </w:numPr>
        <w:spacing w:after="100" w:line="264"/>
      </w:pPr>
      <w:r>
        <w:rPr>
          <w:rFonts w:ascii="Times New Roman" w:cs="Times New Roman" w:eastAsia="Times New Roman" w:hAnsi="Times New Roman"/>
          <w:sz w:val="24"/>
          <w:szCs w:val="24"/>
        </w:rPr>
        <w:t xml:space="preserve">Severity calibration for the who-breaks-first comparison: the client redemption threshold is set so client events match the manager-event base rate (≈ −52% of retail assets in a quarter), making the two clocks comparable in rarity.</w:t>
      </w:r>
    </w:p>
    <w:p>
      <w:pPr>
        <w:pStyle w:val="ListParagraph"/>
        <w:numPr>
          <w:ilvl w:val="0"/>
          <w:numId w:val="2"/>
        </w:numPr>
        <w:spacing w:after="100" w:line="264"/>
      </w:pPr>
      <w:r>
        <w:rPr>
          <w:rFonts w:ascii="Times New Roman" w:cs="Times New Roman" w:eastAsia="Times New Roman" w:hAnsi="Times New Roman"/>
          <w:sz w:val="24"/>
          <w:szCs w:val="24"/>
        </w:rPr>
        <w:t xml:space="preserve">Cause-specific Cox proportional hazards with entry covariates (no look-ahead). [Real build: discrete-time complementary log-log as the primary specification — durations are inherently quarterly — with time-varying depth, flows, and ΔAS; Fine–Gray subdistribution hazards as the competing-risk alternative; stratification where proportional-hazards tests fail.]</w:t>
      </w:r>
    </w:p>
    <w:p>
      <w:pPr>
        <w:pStyle w:val="Heading1"/>
        <w:spacing w:after="160" w:before="320"/>
      </w:pPr>
      <w:r>
        <w:rPr>
          <w:rFonts w:ascii="Times New Roman" w:cs="Times New Roman" w:eastAsia="Times New Roman" w:hAnsi="Times New Roman"/>
          <w:b/>
          <w:bCs/>
          <w:color w:val="000000"/>
          <w:sz w:val="28"/>
          <w:szCs w:val="28"/>
        </w:rPr>
        <w:t xml:space="preserve">5. Results</w:t>
      </w:r>
    </w:p>
    <w:p>
      <w:pPr>
        <w:pStyle w:val="Heading2"/>
        <w:spacing w:after="120" w:before="240"/>
      </w:pPr>
      <w:r>
        <w:rPr>
          <w:rFonts w:ascii="Times New Roman" w:cs="Times New Roman" w:eastAsia="Times New Roman" w:hAnsi="Times New Roman"/>
          <w:b/>
          <w:bCs/>
          <w:color w:val="000000"/>
          <w:sz w:val="25"/>
          <w:szCs w:val="25"/>
        </w:rPr>
        <w:t xml:space="preserve">5.1 The capitulation hazard (H1)</w:t>
      </w:r>
    </w:p>
    <w:p>
      <w:pPr>
        <w:spacing w:after="160" w:line="276"/>
        <w:jc w:val="both"/>
      </w:pPr>
      <w:r>
        <w:rPr>
          <w:rFonts w:ascii="Times New Roman" w:cs="Times New Roman" w:eastAsia="Times New Roman" w:hAnsi="Times New Roman"/>
          <w:b w:val="false"/>
          <w:bCs w:val="false"/>
          <w:i w:val="false"/>
          <w:iCs w:val="false"/>
          <w:sz w:val="24"/>
          <w:szCs w:val="24"/>
        </w:rPr>
        <w:t xml:space="preserve">[F2 here.] Capitulation is rare, slow, and stress-dependent: 3.8% of spells end in managerial surrender; the hazard rises monotonically and highly significantly with spell depth (log-rank p &lt; 0.0001 across depth terciles in every measurement regime).</w:t>
      </w:r>
    </w:p>
    <w:p>
      <w:pPr>
        <w:pStyle w:val="Heading2"/>
        <w:spacing w:after="120" w:before="240"/>
      </w:pPr>
      <w:r>
        <w:rPr>
          <w:rFonts w:ascii="Times New Roman" w:cs="Times New Roman" w:eastAsia="Times New Roman" w:hAnsi="Times New Roman"/>
          <w:b/>
          <w:bCs/>
          <w:color w:val="000000"/>
          <w:sz w:val="25"/>
          <w:szCs w:val="25"/>
        </w:rPr>
        <w:t xml:space="preserve">5.2 The disappearing surrender: era results</w:t>
      </w:r>
    </w:p>
    <w:p>
      <w:pPr>
        <w:spacing w:after="160" w:line="276"/>
        <w:jc w:val="both"/>
      </w:pPr>
      <w:r>
        <w:rPr>
          <w:rFonts w:ascii="Times New Roman" w:cs="Times New Roman" w:eastAsia="Times New Roman" w:hAnsi="Times New Roman"/>
          <w:b w:val="false"/>
          <w:bCs w:val="false"/>
          <w:i w:val="false"/>
          <w:iCs w:val="false"/>
          <w:sz w:val="24"/>
          <w:szCs w:val="24"/>
        </w:rPr>
        <w:t xml:space="preserve">Table 2 reports Aalen–Johansen cumulative incidence at fixed horizons. The death rate of stressed funds is strikingly stable — roughly 40% cumulative incidence by ten underwater years in every era — while surrender-in-place collapses: among funds enduring a full decade of underperformance, 46% eventually became closet indexers in 1980–94, versus roughly 12% since 1995. At the two-year horizon the era gradient is 6.1% → 4.5% → 1.6%. The decline survives covariate controls (Cox era hazard ratios 0.44 and 0.24, both p &lt; 0.001): it is not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200"/>
        <w:gridCol w:w="1200"/>
        <w:gridCol w:w="1440"/>
        <w:gridCol w:w="1200"/>
        <w:gridCol w:w="1560"/>
      </w:tblGrid>
      <w:tr>
        <w:tc>
          <w:tcPr>
            <w:tcW w:type="dxa" w:w="12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Horizon</w:t>
            </w:r>
          </w:p>
        </w:tc>
        <w:tc>
          <w:tcPr>
            <w:tcW w:type="dxa" w:w="156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Capitulate 80–94</w:t>
            </w:r>
          </w:p>
        </w:tc>
        <w:tc>
          <w:tcPr>
            <w:tcW w:type="dxa" w:w="12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95–09</w:t>
            </w:r>
          </w:p>
        </w:tc>
        <w:tc>
          <w:tcPr>
            <w:tcW w:type="dxa" w:w="12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10–23</w:t>
            </w:r>
          </w:p>
        </w:tc>
        <w:tc>
          <w:tcPr>
            <w:tcW w:type="dxa" w:w="144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Die 80–94</w:t>
            </w:r>
          </w:p>
        </w:tc>
        <w:tc>
          <w:tcPr>
            <w:tcW w:type="dxa" w:w="12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95–09</w:t>
            </w:r>
          </w:p>
        </w:tc>
        <w:tc>
          <w:tcPr>
            <w:tcW w:type="dxa" w:w="156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10–23</w:t>
            </w:r>
          </w:p>
        </w:tc>
      </w:tr>
      <w:tr>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8q</w:t>
            </w:r>
          </w:p>
        </w:tc>
        <w:tc>
          <w:tcPr>
            <w:tcW w:type="dxa" w:w="15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6.1%</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4.5%</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1.6%</w:t>
            </w:r>
          </w:p>
        </w:tc>
        <w:tc>
          <w:tcPr>
            <w:tcW w:type="dxa" w:w="14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11.4%</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12.3%</w:t>
            </w:r>
          </w:p>
        </w:tc>
        <w:tc>
          <w:tcPr>
            <w:tcW w:type="dxa" w:w="15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10.2%</w:t>
            </w:r>
          </w:p>
        </w:tc>
      </w:tr>
      <w:tr>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16q</w:t>
            </w:r>
          </w:p>
        </w:tc>
        <w:tc>
          <w:tcPr>
            <w:tcW w:type="dxa" w:w="15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20.6%</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8.6%</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3.0%</w:t>
            </w:r>
          </w:p>
        </w:tc>
        <w:tc>
          <w:tcPr>
            <w:tcW w:type="dxa" w:w="14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19.2%</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23.0%</w:t>
            </w:r>
          </w:p>
        </w:tc>
        <w:tc>
          <w:tcPr>
            <w:tcW w:type="dxa" w:w="15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19.9%</w:t>
            </w:r>
          </w:p>
        </w:tc>
      </w:tr>
      <w:tr>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40q</w:t>
            </w:r>
          </w:p>
        </w:tc>
        <w:tc>
          <w:tcPr>
            <w:tcW w:type="dxa" w:w="15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45.8%</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12.1%</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11.9%</w:t>
            </w:r>
          </w:p>
        </w:tc>
        <w:tc>
          <w:tcPr>
            <w:tcW w:type="dxa" w:w="14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30.4%</w:t>
            </w:r>
          </w:p>
        </w:tc>
        <w:tc>
          <w:tcPr>
            <w:tcW w:type="dxa" w:w="12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41.1%</w:t>
            </w:r>
          </w:p>
        </w:tc>
        <w:tc>
          <w:tcPr>
            <w:tcW w:type="dxa" w:w="15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39.7%</w:t>
            </w:r>
          </w:p>
        </w:tc>
      </w:tr>
    </w:tbl>
    <w:p>
      <w:pPr>
        <w:spacing w:after="160" w:line="276"/>
        <w:jc w:val="both"/>
      </w:pPr>
      <w:r>
        <w:rPr>
          <w:rFonts w:ascii="Times New Roman" w:cs="Times New Roman" w:eastAsia="Times New Roman" w:hAnsi="Times New Roman"/>
          <w:b w:val="false"/>
          <w:bCs w:val="false"/>
          <w:i/>
          <w:iCs/>
          <w:sz w:val="21"/>
          <w:szCs w:val="21"/>
        </w:rPr>
        <w:t xml:space="preserve">Table 2: Aalen–Johansen cumulative incidence of capitulation and death, by era of spell entry. [PILOT: early-era long-horizon cells are thin; confidence bands and consistent-ruler subsample in the real build.]</w:t>
      </w:r>
    </w:p>
    <w:p>
      <w:pPr>
        <w:pStyle w:val="Heading2"/>
        <w:spacing w:after="120" w:before="240"/>
      </w:pPr>
      <w:r>
        <w:rPr>
          <w:rFonts w:ascii="Times New Roman" w:cs="Times New Roman" w:eastAsia="Times New Roman" w:hAnsi="Times New Roman"/>
          <w:b/>
          <w:bCs/>
          <w:color w:val="000000"/>
          <w:sz w:val="25"/>
          <w:szCs w:val="25"/>
        </w:rPr>
        <w:t xml:space="preserve">5.3 Who breaks first: the manager or the clients?</w:t>
      </w:r>
    </w:p>
    <w:p>
      <w:pPr>
        <w:spacing w:after="160" w:line="276"/>
        <w:jc w:val="both"/>
      </w:pPr>
      <w:r>
        <w:rPr>
          <w:rFonts w:ascii="Times New Roman" w:cs="Times New Roman" w:eastAsia="Times New Roman" w:hAnsi="Times New Roman"/>
          <w:b w:val="false"/>
          <w:bCs w:val="false"/>
          <w:i w:val="false"/>
          <w:iCs w:val="false"/>
          <w:sz w:val="24"/>
          <w:szCs w:val="24"/>
        </w:rPr>
        <w:t xml:space="preserve">[F1 here.] At any conventional severity the clients are the fast clock: 27–32% of spells contain a retail redemption spike of 10%+ of retail assets in a quarter (median arrival: two quarters), while managerial surrender occurs in 3.8% (median four quarters). But rarity-matched comparison changes the picture: a client event as rare as managerial capitulation requires a redemption of roughly half the fund’s retail assets in a single quarter — and at that severity, timing is a statistical dead heat (50.0% vs. 50.0% first-mover shares, stable across three measurement regimes). Routine capitulation is a client phenomenon; catastrophic capitulation is equally rare on both sides of the fund.</w:t>
      </w:r>
    </w:p>
    <w:p>
      <w:pPr>
        <w:pStyle w:val="Heading2"/>
        <w:spacing w:after="120" w:before="240"/>
      </w:pPr>
      <w:r>
        <w:rPr>
          <w:rFonts w:ascii="Times New Roman" w:cs="Times New Roman" w:eastAsia="Times New Roman" w:hAnsi="Times New Roman"/>
          <w:b/>
          <w:bCs/>
          <w:color w:val="000000"/>
          <w:sz w:val="25"/>
          <w:szCs w:val="25"/>
        </w:rPr>
        <w:t xml:space="preserve">5.4 Mechanisms</w:t>
      </w:r>
    </w:p>
    <w:p>
      <w:pPr>
        <w:pStyle w:val="ListParagraph"/>
        <w:numPr>
          <w:ilvl w:val="0"/>
          <w:numId w:val="2"/>
        </w:numPr>
        <w:spacing w:after="100" w:line="264"/>
      </w:pPr>
      <w:r>
        <w:rPr>
          <w:rFonts w:ascii="Times New Roman" w:cs="Times New Roman" w:eastAsia="Times New Roman" w:hAnsi="Times New Roman"/>
          <w:sz w:val="24"/>
          <w:szCs w:val="24"/>
        </w:rPr>
        <w:t xml:space="preserve">A grind, not a gamble: capitulators’ Active Share declines from the first quarters of the spell (mean ΔAS −0.015 to −0.033 over quarters 1–3); only a ~30% minority raises Active Share materially before folding. At multi-year horizons the career-concern grind, not tournament risk-taking, is the road to surrender.</w:t>
      </w:r>
    </w:p>
    <w:p>
      <w:pPr>
        <w:pStyle w:val="ListParagraph"/>
        <w:numPr>
          <w:ilvl w:val="0"/>
          <w:numId w:val="2"/>
        </w:numPr>
        <w:spacing w:after="100" w:line="264"/>
      </w:pPr>
      <w:r>
        <w:rPr>
          <w:rFonts w:ascii="Times New Roman" w:cs="Times New Roman" w:eastAsia="Times New Roman" w:hAnsi="Times New Roman"/>
          <w:sz w:val="24"/>
          <w:szCs w:val="24"/>
        </w:rPr>
        <w:t xml:space="preserve">Clients pull the trigger: spells ending in death show retail flows of −4.6% of assets per quarter over their final year; spells ending in recovery show +0.2%. [Causal ordering via lagged-flow death hazards in the real build.]</w:t>
      </w:r>
    </w:p>
    <w:p>
      <w:pPr>
        <w:pStyle w:val="ListParagraph"/>
        <w:numPr>
          <w:ilvl w:val="0"/>
          <w:numId w:val="2"/>
        </w:numPr>
        <w:spacing w:after="100" w:line="264"/>
      </w:pPr>
      <w:r>
        <w:rPr>
          <w:rFonts w:ascii="Times New Roman" w:cs="Times New Roman" w:eastAsia="Times New Roman" w:hAnsi="Times New Roman"/>
          <w:sz w:val="24"/>
          <w:szCs w:val="24"/>
        </w:rPr>
        <w:t xml:space="preserve">Panic, not pacification [FLAGGED — uncontrolled]: after the manager capitulates, retail flows deteriorate by a further −1.2%/quarter (t = −2.5) relative to the pre-event year; requires matched controls for the secular active-outflow trend before inclusion.</w:t>
      </w:r>
    </w:p>
    <w:p>
      <w:pPr>
        <w:pStyle w:val="Heading2"/>
        <w:spacing w:after="120" w:before="240"/>
      </w:pPr>
      <w:r>
        <w:rPr>
          <w:rFonts w:ascii="Times New Roman" w:cs="Times New Roman" w:eastAsia="Times New Roman" w:hAnsi="Times New Roman"/>
          <w:b/>
          <w:bCs/>
          <w:color w:val="000000"/>
          <w:sz w:val="25"/>
          <w:szCs w:val="25"/>
        </w:rPr>
        <w:t xml:space="preserve">5.5 The covariate hazard model (H2, 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900"/>
        <w:gridCol w:w="4060"/>
      </w:tblGrid>
      <w:tr>
        <w:tc>
          <w:tcPr>
            <w:tcW w:type="dxa" w:w="23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Covariate</w:t>
            </w:r>
          </w:p>
        </w:tc>
        <w:tc>
          <w:tcPr>
            <w:tcW w:type="dxa" w:w="21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Hazard ratio</w:t>
            </w:r>
          </w:p>
        </w:tc>
        <w:tc>
          <w:tcPr>
            <w:tcW w:type="dxa" w:w="9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w:t>
            </w:r>
          </w:p>
        </w:tc>
        <w:tc>
          <w:tcPr>
            <w:tcW w:type="dxa" w:w="406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Reading</w:t>
            </w:r>
          </w:p>
        </w:tc>
      </w:tr>
      <w:tr>
        <w:tc>
          <w:tcPr>
            <w:tcW w:type="dxa" w:w="23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Active Share at entry</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≈13% lower per point above 60%</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&lt;0.001</w:t>
            </w:r>
          </w:p>
        </w:tc>
        <w:tc>
          <w:tcPr>
            <w:tcW w:type="dxa" w:w="4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Mechanical distance-to-threshold control</w:t>
            </w:r>
          </w:p>
        </w:tc>
      </w:tr>
      <w:tr>
        <w:tc>
          <w:tcPr>
            <w:tcW w:type="dxa" w:w="23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Trailing rel. return at entry</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0.96</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0.96</w:t>
            </w:r>
          </w:p>
        </w:tc>
        <w:tc>
          <w:tcPr>
            <w:tcW w:type="dxa" w:w="4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Entry condition absorbs it; time-varying depth owed</w:t>
            </w:r>
          </w:p>
        </w:tc>
      </w:tr>
      <w:tr>
        <w:tc>
          <w:tcPr>
            <w:tcW w:type="dxa" w:w="23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Retail flow at entry</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0.44</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0.054</w:t>
            </w:r>
          </w:p>
        </w:tc>
        <w:tc>
          <w:tcPr>
            <w:tcW w:type="dxa" w:w="4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Outflows raise hazard (H2, marginal)</w:t>
            </w:r>
          </w:p>
        </w:tc>
      </w:tr>
      <w:tr>
        <w:tc>
          <w:tcPr>
            <w:tcW w:type="dxa" w:w="23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ln TNA</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1.08</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0.008</w:t>
            </w:r>
          </w:p>
        </w:tc>
        <w:tc>
          <w:tcPr>
            <w:tcW w:type="dxa" w:w="4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Larger funds capitulate more</w:t>
            </w:r>
          </w:p>
        </w:tc>
      </w:tr>
      <w:tr>
        <w:tc>
          <w:tcPr>
            <w:tcW w:type="dxa" w:w="23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Expense ratio</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[rescale]</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t>
            </w:r>
          </w:p>
        </w:tc>
        <w:tc>
          <w:tcPr>
            <w:tcW w:type="dxa" w:w="4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Scaling artifact this run</w:t>
            </w:r>
          </w:p>
        </w:tc>
      </w:tr>
      <w:tr>
        <w:tc>
          <w:tcPr>
            <w:tcW w:type="dxa" w:w="23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Manager tenure (years)</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0.942</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0.0001</w:t>
            </w:r>
          </w:p>
        </w:tc>
        <w:tc>
          <w:tcPr>
            <w:tcW w:type="dxa" w:w="4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H3: career concerns confirmed</w:t>
            </w:r>
          </w:p>
        </w:tc>
      </w:tr>
      <w:tr>
        <w:tc>
          <w:tcPr>
            <w:tcW w:type="dxa" w:w="23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Era 1995–2009</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0.44</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0.0007</w:t>
            </w:r>
          </w:p>
        </w:tc>
        <w:tc>
          <w:tcPr>
            <w:tcW w:type="dxa" w:w="4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Secular decline, controlled</w:t>
            </w:r>
          </w:p>
        </w:tc>
      </w:tr>
      <w:tr>
        <w:tc>
          <w:tcPr>
            <w:tcW w:type="dxa" w:w="23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Era 2010–23</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0.24</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&lt;0.001</w:t>
            </w:r>
          </w:p>
        </w:tc>
        <w:tc>
          <w:tcPr>
            <w:tcW w:type="dxa" w:w="406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Secular decline, controlled</w:t>
            </w:r>
          </w:p>
        </w:tc>
      </w:tr>
    </w:tbl>
    <w:p>
      <w:pPr>
        <w:spacing w:after="160" w:line="276"/>
        <w:jc w:val="both"/>
      </w:pPr>
      <w:r>
        <w:rPr>
          <w:rFonts w:ascii="Times New Roman" w:cs="Times New Roman" w:eastAsia="Times New Roman" w:hAnsi="Times New Roman"/>
          <w:b w:val="false"/>
          <w:bCs w:val="false"/>
          <w:i/>
          <w:iCs/>
          <w:sz w:val="21"/>
          <w:szCs w:val="21"/>
        </w:rPr>
        <w:t xml:space="preserve">Table 1: Cause-specific Cox estimates, capitulation hazard; 11,046 spells, 373 events; concordance 0.853. [PILOT: PH violation at p=0.016 → primary specification moves to discrete-time cloglog with stratification in the real build.]</w:t>
      </w:r>
    </w:p>
    <w:p>
      <w:pPr>
        <w:pStyle w:val="Heading2"/>
        <w:spacing w:after="120" w:before="240"/>
      </w:pPr>
      <w:r>
        <w:rPr>
          <w:rFonts w:ascii="Times New Roman" w:cs="Times New Roman" w:eastAsia="Times New Roman" w:hAnsi="Times New Roman"/>
          <w:b/>
          <w:bCs/>
          <w:color w:val="000000"/>
          <w:sz w:val="25"/>
          <w:szCs w:val="25"/>
        </w:rPr>
        <w:t xml:space="preserve">5.6 Does conviction pay? (H7)</w:t>
      </w:r>
    </w:p>
    <w:p>
      <w:pPr>
        <w:spacing w:after="160" w:line="276"/>
        <w:jc w:val="both"/>
      </w:pPr>
      <w:r>
        <w:rPr>
          <w:rFonts w:ascii="Times New Roman" w:cs="Times New Roman" w:eastAsia="Times New Roman" w:hAnsi="Times New Roman"/>
          <w:b w:val="false"/>
          <w:bCs w:val="false"/>
          <w:i w:val="false"/>
          <w:iCs w:val="false"/>
          <w:sz w:val="24"/>
          <w:szCs w:val="24"/>
        </w:rPr>
        <w:t xml:space="preserve">No — at pilot fidelity, twice-replicated. Calendar-time portfolios of “resisters” (funds two-plus years underwater with conviction intact) and “capitulators” (entering at Active Share collapse) both earn the canonical net-of-fee drag (≈1.2–1.7%/yr, t ≈ −2 to −3); their difference is economically and statistically nil (≈0.3%/yr, |t| &lt; 0.9) under CAPM, FF3, and FF3+momentum. Conditional on sustained underperformance, holding conviction neither rescued nor further damaged subsequent performance. [Robustness owed before this becomes a headline null: CPZ index-based rulers (factor-model bias is correlated with benchmark-likeness, i.e., with group membership), gross-of-fee returns, value weighting, heterogeneity cuts, Newey–West errors.]</w:t>
      </w:r>
    </w:p>
    <w:p>
      <w:pPr>
        <w:pStyle w:val="Heading1"/>
        <w:spacing w:after="160" w:before="320"/>
      </w:pPr>
      <w:r>
        <w:rPr>
          <w:rFonts w:ascii="Times New Roman" w:cs="Times New Roman" w:eastAsia="Times New Roman" w:hAnsi="Times New Roman"/>
          <w:b/>
          <w:bCs/>
          <w:color w:val="000000"/>
          <w:sz w:val="28"/>
          <w:szCs w:val="28"/>
        </w:rPr>
        <w:t xml:space="preserve">6. Robustness: Completed and Planned</w:t>
      </w:r>
    </w:p>
    <w:p>
      <w:pPr>
        <w:pStyle w:val="Heading2"/>
        <w:spacing w:after="120" w:before="240"/>
      </w:pPr>
      <w:r>
        <w:rPr>
          <w:rFonts w:ascii="Times New Roman" w:cs="Times New Roman" w:eastAsia="Times New Roman" w:hAnsi="Times New Roman"/>
          <w:b/>
          <w:bCs/>
          <w:color w:val="000000"/>
          <w:sz w:val="25"/>
          <w:szCs w:val="25"/>
        </w:rPr>
        <w:t xml:space="preserve">6.1 Completed at pilot fidelity</w:t>
      </w:r>
    </w:p>
    <w:p>
      <w:pPr>
        <w:pStyle w:val="ListParagraph"/>
        <w:numPr>
          <w:ilvl w:val="0"/>
          <w:numId w:val="2"/>
        </w:numPr>
        <w:spacing w:after="100" w:line="264"/>
      </w:pPr>
      <w:r>
        <w:rPr>
          <w:rFonts w:ascii="Times New Roman" w:cs="Times New Roman" w:eastAsia="Times New Roman" w:hAnsi="Times New Roman"/>
          <w:sz w:val="24"/>
          <w:szCs w:val="24"/>
        </w:rPr>
        <w:t xml:space="preserve">Three benchmark-measurement regimes (core proxies; style-matched actuals; actuals + return hygiene): results 1–7 of Section 5 stable across all three.</w:t>
      </w:r>
    </w:p>
    <w:p>
      <w:pPr>
        <w:pStyle w:val="ListParagraph"/>
        <w:numPr>
          <w:ilvl w:val="0"/>
          <w:numId w:val="2"/>
        </w:numPr>
        <w:spacing w:after="100" w:line="264"/>
      </w:pPr>
      <w:r>
        <w:rPr>
          <w:rFonts w:ascii="Times New Roman" w:cs="Times New Roman" w:eastAsia="Times New Roman" w:hAnsi="Times New Roman"/>
          <w:sz w:val="24"/>
          <w:szCs w:val="24"/>
        </w:rPr>
        <w:t xml:space="preserve">Independent holdings pipelines (Thomson vs. CRSP) agree on modern capitulation rates — staleness ruled out.</w:t>
      </w:r>
    </w:p>
    <w:p>
      <w:pPr>
        <w:pStyle w:val="ListParagraph"/>
        <w:numPr>
          <w:ilvl w:val="0"/>
          <w:numId w:val="2"/>
        </w:numPr>
        <w:spacing w:after="100" w:line="264"/>
      </w:pPr>
      <w:r>
        <w:rPr>
          <w:rFonts w:ascii="Times New Roman" w:cs="Times New Roman" w:eastAsia="Times New Roman" w:hAnsi="Times New Roman"/>
          <w:sz w:val="24"/>
          <w:szCs w:val="24"/>
        </w:rPr>
        <w:t xml:space="preserve">Client-event thresholds −5/−10/−15%: ordering robust; severity-calibrated version replicated three times.</w:t>
      </w:r>
    </w:p>
    <w:p>
      <w:pPr>
        <w:pStyle w:val="ListParagraph"/>
        <w:numPr>
          <w:ilvl w:val="0"/>
          <w:numId w:val="2"/>
        </w:numPr>
        <w:spacing w:after="100" w:line="264"/>
      </w:pPr>
      <w:r>
        <w:rPr>
          <w:rFonts w:ascii="Times New Roman" w:cs="Times New Roman" w:eastAsia="Times New Roman" w:hAnsi="Times New Roman"/>
          <w:sz w:val="24"/>
          <w:szCs w:val="24"/>
        </w:rPr>
        <w:t xml:space="preserve">Return hygiene: results insensitive to removal of corrupt/micro fund-months.</w:t>
      </w:r>
    </w:p>
    <w:p>
      <w:pPr>
        <w:pStyle w:val="Heading2"/>
        <w:spacing w:after="120" w:before="240"/>
      </w:pPr>
      <w:r>
        <w:rPr>
          <w:rFonts w:ascii="Times New Roman" w:cs="Times New Roman" w:eastAsia="Times New Roman" w:hAnsi="Times New Roman"/>
          <w:b/>
          <w:bCs/>
          <w:color w:val="000000"/>
          <w:sz w:val="25"/>
          <w:szCs w:val="25"/>
        </w:rPr>
        <w:t xml:space="preserve">6.2 Planned (gates to submission)</w:t>
      </w:r>
    </w:p>
    <w:p>
      <w:pPr>
        <w:pStyle w:val="ListParagraph"/>
        <w:numPr>
          <w:ilvl w:val="0"/>
          <w:numId w:val="2"/>
        </w:numPr>
        <w:spacing w:after="100" w:line="264"/>
      </w:pPr>
      <w:r>
        <w:rPr>
          <w:rFonts w:ascii="Times New Roman" w:cs="Times New Roman" w:eastAsia="Times New Roman" w:hAnsi="Times New Roman"/>
          <w:sz w:val="24"/>
          <w:szCs w:val="24"/>
        </w:rPr>
        <w:t xml:space="preserve">Discrete-time primary hazard specification; Fine–Gray; PH stratification; confidence bands on all CIFs.</w:t>
      </w:r>
    </w:p>
    <w:p>
      <w:pPr>
        <w:pStyle w:val="ListParagraph"/>
        <w:numPr>
          <w:ilvl w:val="0"/>
          <w:numId w:val="2"/>
        </w:numPr>
        <w:spacing w:after="100" w:line="264"/>
      </w:pPr>
      <w:r>
        <w:rPr>
          <w:rFonts w:ascii="Times New Roman" w:cs="Times New Roman" w:eastAsia="Times New Roman" w:hAnsi="Times New Roman"/>
          <w:sz w:val="24"/>
          <w:szCs w:val="24"/>
        </w:rPr>
        <w:t xml:space="preserve">Era comparison on consistent-ruler subsample (pre/post-2002 regime break).</w:t>
      </w:r>
    </w:p>
    <w:p>
      <w:pPr>
        <w:pStyle w:val="ListParagraph"/>
        <w:numPr>
          <w:ilvl w:val="0"/>
          <w:numId w:val="2"/>
        </w:numPr>
        <w:spacing w:after="100" w:line="264"/>
      </w:pPr>
      <w:r>
        <w:rPr>
          <w:rFonts w:ascii="Times New Roman" w:cs="Times New Roman" w:eastAsia="Times New Roman" w:hAnsi="Times New Roman"/>
          <w:sz w:val="24"/>
          <w:szCs w:val="24"/>
        </w:rPr>
        <w:t xml:space="preserve">Official-prospectus-benchmark event definitions (Morningstar) vs. min-AS convention; fund-relative AS-drop events as co-primary.</w:t>
      </w:r>
    </w:p>
    <w:p>
      <w:pPr>
        <w:pStyle w:val="ListParagraph"/>
        <w:numPr>
          <w:ilvl w:val="0"/>
          <w:numId w:val="2"/>
        </w:numPr>
        <w:spacing w:after="100" w:line="264"/>
      </w:pPr>
      <w:r>
        <w:rPr>
          <w:rFonts w:ascii="Times New Roman" w:cs="Times New Roman" w:eastAsia="Times New Roman" w:hAnsi="Times New Roman"/>
          <w:sz w:val="24"/>
          <w:szCs w:val="24"/>
        </w:rPr>
        <w:t xml:space="preserve">N-SAR gross redemptions replacing imputed net flows in the client arm; behavior-gap timing (H5).</w:t>
      </w:r>
    </w:p>
    <w:p>
      <w:pPr>
        <w:pStyle w:val="ListParagraph"/>
        <w:numPr>
          <w:ilvl w:val="0"/>
          <w:numId w:val="2"/>
        </w:numPr>
        <w:spacing w:after="100" w:line="264"/>
      </w:pPr>
      <w:r>
        <w:rPr>
          <w:rFonts w:ascii="Times New Roman" w:cs="Times New Roman" w:eastAsia="Times New Roman" w:hAnsi="Times New Roman"/>
          <w:sz w:val="24"/>
          <w:szCs w:val="24"/>
        </w:rPr>
        <w:t xml:space="preserve">H7 battery (Section 5.6); death decomposition into liquidation vs. merger via delist codes; paired who-first inference.</w:t>
      </w:r>
    </w:p>
    <w:p>
      <w:pPr>
        <w:pStyle w:val="ListParagraph"/>
        <w:numPr>
          <w:ilvl w:val="0"/>
          <w:numId w:val="2"/>
        </w:numPr>
        <w:spacing w:after="100" w:line="264"/>
      </w:pPr>
      <w:r>
        <w:rPr>
          <w:rFonts w:ascii="Times New Roman" w:cs="Times New Roman" w:eastAsia="Times New Roman" w:hAnsi="Times New Roman"/>
          <w:sz w:val="24"/>
          <w:szCs w:val="24"/>
        </w:rPr>
        <w:t xml:space="preserve">Reverse-causality design: lagged pre-capitulation underperformance; peer-flow instruments for own flows.</w:t>
      </w:r>
    </w:p>
    <w:p>
      <w:pPr>
        <w:pStyle w:val="Heading1"/>
        <w:spacing w:after="160" w:before="320"/>
      </w:pPr>
      <w:r>
        <w:rPr>
          <w:rFonts w:ascii="Times New Roman" w:cs="Times New Roman" w:eastAsia="Times New Roman" w:hAnsi="Times New Roman"/>
          <w:b/>
          <w:bCs/>
          <w:color w:val="000000"/>
          <w:sz w:val="28"/>
          <w:szCs w:val="28"/>
        </w:rPr>
        <w:t xml:space="preserve">7. Discussion and Implications</w:t>
      </w:r>
    </w:p>
    <w:p>
      <w:pPr>
        <w:spacing w:after="160" w:line="276"/>
        <w:jc w:val="both"/>
      </w:pPr>
      <w:r>
        <w:rPr>
          <w:rFonts w:ascii="Times New Roman" w:cs="Times New Roman" w:eastAsia="Times New Roman" w:hAnsi="Times New Roman"/>
          <w:b w:val="false"/>
          <w:bCs w:val="false"/>
          <w:i w:val="false"/>
          <w:iCs w:val="false"/>
          <w:sz w:val="24"/>
          <w:szCs w:val="24"/>
        </w:rPr>
        <w:t xml:space="preserve">[To draft. Planned threads: (i) For allocators — the 3-year firing clock interacts with a manager population that no longer surrenders in place; monitoring Active Share trajectories within underperformance spells is informative (the grind begins immediately). (ii) For the active-passive debate — the modern industry does not decay into expensive index-hugging; it exits. Fee-for-activeness misrepresentation is a shrinking problem; fund mortality is the live one. (iii) For fund boards — tenure and scale effects suggest where conviction is fragile. (iv) The conviction-premium null cautions against “stay the course” as a manager-selection principle, complementing rather than contradicting the static Active Share literature.]</w:t>
      </w:r>
    </w:p>
    <w:p>
      <w:pPr>
        <w:pStyle w:val="Heading1"/>
        <w:spacing w:after="160" w:before="320"/>
      </w:pPr>
      <w:r>
        <w:rPr>
          <w:rFonts w:ascii="Times New Roman" w:cs="Times New Roman" w:eastAsia="Times New Roman" w:hAnsi="Times New Roman"/>
          <w:b/>
          <w:bCs/>
          <w:color w:val="000000"/>
          <w:sz w:val="28"/>
          <w:szCs w:val="28"/>
        </w:rPr>
        <w:t xml:space="preserve">8.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[To draft after robustness program.]</w:t>
      </w:r>
    </w:p>
    <w:p>
      <w:pPr>
        <w:pStyle w:val="Heading1"/>
        <w:spacing w:after="160" w:before="320"/>
      </w:pPr>
      <w:r>
        <w:rPr>
          <w:rFonts w:ascii="Times New Roman" w:cs="Times New Roman" w:eastAsia="Times New Roman" w:hAnsi="Times New Roman"/>
          <w:b/>
          <w:bCs/>
          <w:color w:val="000000"/>
          <w:sz w:val="28"/>
          <w:szCs w:val="28"/>
        </w:rPr>
        <w:t xml:space="preserve">Figures and Tables Register</w:t>
      </w:r>
    </w:p>
    <w:p>
      <w:pPr>
        <w:pStyle w:val="ListParagraph"/>
        <w:numPr>
          <w:ilvl w:val="0"/>
          <w:numId w:val="2"/>
        </w:numPr>
        <w:spacing w:after="100" w:line="264"/>
      </w:pPr>
      <w:r>
        <w:rPr>
          <w:rFonts w:ascii="Times New Roman" w:cs="Times New Roman" w:eastAsia="Times New Roman" w:hAnsi="Times New Roman"/>
          <w:sz w:val="24"/>
          <w:szCs w:val="24"/>
        </w:rPr>
        <w:t xml:space="preserve">F1 Who breaks first (calibrated + routine severity) — draft: who_breaks_first.png</w:t>
      </w:r>
    </w:p>
    <w:p>
      <w:pPr>
        <w:pStyle w:val="ListParagraph"/>
        <w:numPr>
          <w:ilvl w:val="0"/>
          <w:numId w:val="2"/>
        </w:numPr>
        <w:spacing w:after="100" w:line="264"/>
      </w:pPr>
      <w:r>
        <w:rPr>
          <w:rFonts w:ascii="Times New Roman" w:cs="Times New Roman" w:eastAsia="Times New Roman" w:hAnsi="Times New Roman"/>
          <w:sz w:val="24"/>
          <w:szCs w:val="24"/>
        </w:rPr>
        <w:t xml:space="preserve">F2 Capitulation survival/hazard by era — draft: km_full_v3.png; CIF version: cif_by_era.png</w:t>
      </w:r>
    </w:p>
    <w:p>
      <w:pPr>
        <w:pStyle w:val="ListParagraph"/>
        <w:numPr>
          <w:ilvl w:val="0"/>
          <w:numId w:val="2"/>
        </w:numPr>
        <w:spacing w:after="100" w:line="264"/>
      </w:pPr>
      <w:r>
        <w:rPr>
          <w:rFonts w:ascii="Times New Roman" w:cs="Times New Roman" w:eastAsia="Times New Roman" w:hAnsi="Times New Roman"/>
          <w:sz w:val="24"/>
          <w:szCs w:val="24"/>
        </w:rPr>
        <w:t xml:space="preserve">F3 Closet-indexing share 1980–2023 (Petajisto F3 replication + extension) — draft: f3_closet_share.png [re-run with index screen]</w:t>
      </w:r>
    </w:p>
    <w:p>
      <w:pPr>
        <w:pStyle w:val="ListParagraph"/>
        <w:numPr>
          <w:ilvl w:val="0"/>
          <w:numId w:val="2"/>
        </w:numPr>
        <w:spacing w:after="100" w:line="264"/>
      </w:pPr>
      <w:r>
        <w:rPr>
          <w:rFonts w:ascii="Times New Roman" w:cs="Times New Roman" w:eastAsia="Times New Roman" w:hAnsi="Times New Roman"/>
          <w:sz w:val="24"/>
          <w:szCs w:val="24"/>
        </w:rPr>
        <w:t xml:space="preserve">F4 Within-spell Active Share trajectories (grind vs. gamble) — draft: gamble_then_fold.png</w:t>
      </w:r>
    </w:p>
    <w:p>
      <w:pPr>
        <w:pStyle w:val="ListParagraph"/>
        <w:numPr>
          <w:ilvl w:val="0"/>
          <w:numId w:val="2"/>
        </w:numPr>
        <w:spacing w:after="100" w:line="264"/>
      </w:pPr>
      <w:r>
        <w:rPr>
          <w:rFonts w:ascii="Times New Roman" w:cs="Times New Roman" w:eastAsia="Times New Roman" w:hAnsi="Times New Roman"/>
          <w:sz w:val="24"/>
          <w:szCs w:val="24"/>
        </w:rPr>
        <w:t xml:space="preserve">F5 Flows into death vs. recovery — draft: flows_before_death.png</w:t>
      </w:r>
    </w:p>
    <w:p>
      <w:pPr>
        <w:pStyle w:val="ListParagraph"/>
        <w:numPr>
          <w:ilvl w:val="0"/>
          <w:numId w:val="2"/>
        </w:numPr>
        <w:spacing w:after="100" w:line="264"/>
      </w:pPr>
      <w:r>
        <w:rPr>
          <w:rFonts w:ascii="Times New Roman" w:cs="Times New Roman" w:eastAsia="Times New Roman" w:hAnsi="Times New Roman"/>
          <w:sz w:val="24"/>
          <w:szCs w:val="24"/>
        </w:rPr>
        <w:t xml:space="preserve">F6 Post-classification performance (H7) — draft: h7_cumulative.png</w:t>
      </w:r>
    </w:p>
    <w:p>
      <w:pPr>
        <w:pStyle w:val="ListParagraph"/>
        <w:numPr>
          <w:ilvl w:val="0"/>
          <w:numId w:val="2"/>
        </w:numPr>
        <w:spacing w:after="100" w:line="264"/>
      </w:pPr>
      <w:r>
        <w:rPr>
          <w:rFonts w:ascii="Times New Roman" w:cs="Times New Roman" w:eastAsia="Times New Roman" w:hAnsi="Times New Roman"/>
          <w:sz w:val="24"/>
          <w:szCs w:val="24"/>
        </w:rPr>
        <w:t xml:space="preserve">F7 [planned] Hazard-by-benchmark-regime sensitivity (the 3× methods figure)</w:t>
      </w:r>
    </w:p>
    <w:p>
      <w:pPr>
        <w:pStyle w:val="ListParagraph"/>
        <w:numPr>
          <w:ilvl w:val="0"/>
          <w:numId w:val="2"/>
        </w:numPr>
        <w:spacing w:after="100" w:line="264"/>
      </w:pPr>
      <w:r>
        <w:rPr>
          <w:rFonts w:ascii="Times New Roman" w:cs="Times New Roman" w:eastAsia="Times New Roman" w:hAnsi="Times New Roman"/>
          <w:sz w:val="24"/>
          <w:szCs w:val="24"/>
        </w:rPr>
        <w:t xml:space="preserve">T1 Covariate hazard model (drafted, Section 5.5) · T2 AJ cumulative incidence (drafted, 5.2) · T3 robustness grid [planned]</w:t>
      </w:r>
    </w:p>
    <w:p>
      <w:pPr>
        <w:spacing w:after="160" w:line="276"/>
        <w:jc w:val="both"/>
      </w:pPr>
      <w:r>
        <w:rPr>
          <w:rFonts w:ascii="Times New Roman" w:cs="Times New Roman" w:eastAsia="Times New Roman" w:hAnsi="Times New Roman"/>
          <w:i/>
          <w:iCs/>
          <w:color w:val="8A5A00"/>
          <w:sz w:val="22"/>
          <w:szCs w:val="22"/>
        </w:rPr>
        <w:t xml:space="preserve">All current figures are pilot-grade matplotlib; publication versions to be rebuilt in GraphPad Prism from the exported survival tables.</w:t>
      </w:r>
    </w:p>
    <w:p>
      <w:pPr>
        <w:pStyle w:val="Heading1"/>
        <w:spacing w:after="160" w:before="320"/>
      </w:pPr>
      <w:r>
        <w:rPr>
          <w:rFonts w:ascii="Times New Roman" w:cs="Times New Roman" w:eastAsia="Times New Roman" w:hAnsi="Times New Roman"/>
          <w:b/>
          <w:bCs/>
          <w:color w:val="000000"/>
          <w:sz w:val="28"/>
          <w:szCs w:val="28"/>
        </w:rPr>
        <w:t xml:space="preserve">References (verified against primary sources)</w:t>
      </w:r>
    </w:p>
    <w:p>
      <w:pPr>
        <w:spacing w:after="160" w:line="276"/>
        <w:jc w:val="both"/>
      </w:pPr>
      <w:r>
        <w:rPr>
          <w:rFonts w:ascii="Times New Roman" w:cs="Times New Roman" w:eastAsia="Times New Roman" w:hAnsi="Times New Roman"/>
          <w:b w:val="false"/>
          <w:bCs w:val="false"/>
          <w:i w:val="false"/>
          <w:iCs w:val="false"/>
          <w:sz w:val="22"/>
          <w:szCs w:val="22"/>
        </w:rPr>
        <w:t xml:space="preserve">Barber, B. M., and T. Odean. 2000. “Trading Is Hazardous to Your Wealth: The Common Stock Investment Performance of Individual Investors.” Journal of Finance 55(2): 773–806.</w:t>
      </w:r>
    </w:p>
    <w:p>
      <w:pPr>
        <w:spacing w:after="160" w:line="276"/>
        <w:jc w:val="both"/>
      </w:pPr>
      <w:r>
        <w:rPr>
          <w:rFonts w:ascii="Times New Roman" w:cs="Times New Roman" w:eastAsia="Times New Roman" w:hAnsi="Times New Roman"/>
          <w:b w:val="false"/>
          <w:bCs w:val="false"/>
          <w:i w:val="false"/>
          <w:iCs w:val="false"/>
          <w:sz w:val="22"/>
          <w:szCs w:val="22"/>
        </w:rPr>
        <w:t xml:space="preserve">Chevalier, J., and G. Ellison. 1997. “Risk Taking by Mutual Funds as a Response to Incentives.” Journal of Political Economy 105(6): 1167–1200.</w:t>
      </w:r>
    </w:p>
    <w:p>
      <w:pPr>
        <w:spacing w:after="160" w:line="276"/>
        <w:jc w:val="both"/>
      </w:pPr>
      <w:r>
        <w:rPr>
          <w:rFonts w:ascii="Times New Roman" w:cs="Times New Roman" w:eastAsia="Times New Roman" w:hAnsi="Times New Roman"/>
          <w:b w:val="false"/>
          <w:bCs w:val="false"/>
          <w:i w:val="false"/>
          <w:iCs w:val="false"/>
          <w:sz w:val="22"/>
          <w:szCs w:val="22"/>
        </w:rPr>
        <w:t xml:space="preserve">Chevalier, J., and G. Ellison. 1999. “Career Concerns of Mutual Fund Managers.” Quarterly Journal of Economics 114(2): 389–432.</w:t>
      </w:r>
    </w:p>
    <w:p>
      <w:pPr>
        <w:spacing w:after="160" w:line="276"/>
        <w:jc w:val="both"/>
      </w:pPr>
      <w:r>
        <w:rPr>
          <w:rFonts w:ascii="Times New Roman" w:cs="Times New Roman" w:eastAsia="Times New Roman" w:hAnsi="Times New Roman"/>
          <w:b w:val="false"/>
          <w:bCs w:val="false"/>
          <w:i w:val="false"/>
          <w:iCs w:val="false"/>
          <w:sz w:val="22"/>
          <w:szCs w:val="22"/>
        </w:rPr>
        <w:t xml:space="preserve">Cremers, K. J. M., and A. Petajisto. 2009. “How Active Is Your Fund Manager? A New Measure That Predicts Performance.” Review of Financial Studies 22(9): 3329–3365.</w:t>
      </w:r>
    </w:p>
    <w:p>
      <w:pPr>
        <w:spacing w:after="160" w:line="276"/>
        <w:jc w:val="both"/>
      </w:pPr>
      <w:r>
        <w:rPr>
          <w:rFonts w:ascii="Times New Roman" w:cs="Times New Roman" w:eastAsia="Times New Roman" w:hAnsi="Times New Roman"/>
          <w:b w:val="false"/>
          <w:bCs w:val="false"/>
          <w:i w:val="false"/>
          <w:iCs w:val="false"/>
          <w:sz w:val="22"/>
          <w:szCs w:val="22"/>
        </w:rPr>
        <w:t xml:space="preserve">Frazzini, A., and O. A. Lamont. 2008. “Dumb money: Mutual fund flows and the cross-section of stock returns.” Journal of Financial Economics 88(2): 299–322.</w:t>
      </w:r>
    </w:p>
    <w:p>
      <w:pPr>
        <w:spacing w:after="160" w:line="276"/>
        <w:jc w:val="both"/>
      </w:pPr>
      <w:r>
        <w:rPr>
          <w:rFonts w:ascii="Times New Roman" w:cs="Times New Roman" w:eastAsia="Times New Roman" w:hAnsi="Times New Roman"/>
          <w:b w:val="false"/>
          <w:bCs w:val="false"/>
          <w:i w:val="false"/>
          <w:iCs w:val="false"/>
          <w:sz w:val="22"/>
          <w:szCs w:val="22"/>
        </w:rPr>
        <w:t xml:space="preserve">Goyal, A., and S. Wahal. 2008. “The Selection and Termination of Investment Management Firms by Plan Sponsors.” Journal of Finance 63(4): 1805–1847.</w:t>
      </w:r>
    </w:p>
    <w:p>
      <w:pPr>
        <w:spacing w:after="160" w:line="276"/>
        <w:jc w:val="both"/>
      </w:pPr>
      <w:r>
        <w:rPr>
          <w:rFonts w:ascii="Times New Roman" w:cs="Times New Roman" w:eastAsia="Times New Roman" w:hAnsi="Times New Roman"/>
          <w:b w:val="false"/>
          <w:bCs w:val="false"/>
          <w:i w:val="false"/>
          <w:iCs w:val="false"/>
          <w:sz w:val="22"/>
          <w:szCs w:val="22"/>
        </w:rPr>
        <w:t xml:space="preserve">Petajisto, A. 2013. “Active Share and Mutual Fund Performance.” Financial Analysts Journal 69(4): 73–93.</w:t>
      </w:r>
    </w:p>
    <w:p>
      <w:pPr>
        <w:spacing w:after="160" w:line="276"/>
        <w:jc w:val="both"/>
      </w:pPr>
      <w:r>
        <w:rPr>
          <w:rFonts w:ascii="Times New Roman" w:cs="Times New Roman" w:eastAsia="Times New Roman" w:hAnsi="Times New Roman"/>
          <w:b w:val="false"/>
          <w:bCs w:val="false"/>
          <w:i w:val="false"/>
          <w:iCs w:val="false"/>
          <w:sz w:val="22"/>
          <w:szCs w:val="22"/>
        </w:rPr>
        <w:t xml:space="preserve">Sirri, E. R., and P. Tufano. 1998. “Costly Search and Mutual Fund Flows.” Journal of Finance 53(5): 1589–1622.</w:t>
      </w:r>
    </w:p>
    <w:p>
      <w:pPr>
        <w:spacing w:after="160" w:line="276"/>
        <w:jc w:val="both"/>
      </w:pPr>
      <w:r>
        <w:rPr>
          <w:rFonts w:ascii="Times New Roman" w:cs="Times New Roman" w:eastAsia="Times New Roman" w:hAnsi="Times New Roman"/>
          <w:i/>
          <w:iCs/>
          <w:color w:val="8A5A00"/>
          <w:sz w:val="22"/>
          <w:szCs w:val="22"/>
        </w:rPr>
        <w:t xml:space="preserve">To verify before submission (full details in project lit-scan doc): Cremers &amp; Pareek 2016 JFE; Li, Tiwari &amp; Tong 2022 JFS; Jin, Taffler, Eshraghi &amp; Tosun 2020 IRFA; Kempf, Ruenzi &amp; Thiele 2009 JFE; Lunde, Timmermann &amp; Blake 1999 JEF; Del Guercio &amp; Tkac 2002 JFQA; Evans &amp; Fahlenbrach 2012 RFS; Goyal, Tol &amp; Wahal 2023 FAJ; Frazzini, Friedman &amp; Pomorski 2016 FAJ; Cremers, Fulkerson &amp; Riley 2022 JFQA; Cremers, Petajisto &amp; Zitzewitz 2013 CFR; Fulkerson, Jordan, Riley &amp; Yan 2026 FAJ.</w:t>
      </w:r>
    </w:p>
    <w:p>
      <w:r>
        <w:br w:type="page"/>
      </w:r>
    </w:p>
    <w:p>
      <w:pPr>
        <w:pStyle w:val="Heading1"/>
        <w:spacing w:after="160" w:before="320"/>
      </w:pPr>
      <w:r>
        <w:rPr>
          <w:rFonts w:ascii="Times New Roman" w:cs="Times New Roman" w:eastAsia="Times New Roman" w:hAnsi="Times New Roman"/>
          <w:b/>
          <w:bCs/>
          <w:color w:val="000000"/>
          <w:sz w:val="28"/>
          <w:szCs w:val="28"/>
        </w:rPr>
        <w:t xml:space="preserve">Appendix A. Pilot-to-Publication Gate Register</w:t>
      </w:r>
    </w:p>
    <w:p>
      <w:pPr>
        <w:spacing w:after="160" w:line="276"/>
        <w:jc w:val="both"/>
      </w:pPr>
      <w:r>
        <w:rPr>
          <w:rFonts w:ascii="Times New Roman" w:cs="Times New Roman" w:eastAsia="Times New Roman" w:hAnsi="Times New Roman"/>
          <w:b w:val="false"/>
          <w:bCs w:val="false"/>
          <w:i w:val="false"/>
          <w:iCs w:val="false"/>
          <w:sz w:val="24"/>
          <w:szCs w:val="24"/>
        </w:rPr>
        <w:t xml:space="preserve">Each result’s promotion path from pilot fidelity to submission grade. [This register is the working to-do list; items move to Section 6.1 as they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00"/>
        <w:gridCol w:w="4420"/>
      </w:tblGrid>
      <w:tr>
        <w:tc>
          <w:tcPr>
            <w:tcW w:type="dxa" w:w="234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Result</w:t>
            </w:r>
          </w:p>
        </w:tc>
        <w:tc>
          <w:tcPr>
            <w:tcW w:type="dxa" w:w="260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Pilot status</w:t>
            </w:r>
          </w:p>
        </w:tc>
        <w:tc>
          <w:tcPr>
            <w:tcW w:type="dxa" w:w="4420"/>
            <w:shd w:fill="EFEFEF" w:val="clear"/>
            <w:tcMar>
              <w:top w:type="dxa" w:w="60"/>
              <w:left w:type="dxa" w:w="100"/>
              <w:bottom w:type="dxa" w:w="60"/>
              <w:right w:type="dxa" w:w="100"/>
            </w:tcMar>
          </w:tcPr>
          <w:p>
            <w:pPr>
              <w:spacing w:after="0"/>
            </w:pPr>
            <w:r>
              <w:rPr>
                <w:rFonts w:ascii="Times New Roman" w:cs="Times New Roman" w:eastAsia="Times New Roman" w:hAnsi="Times New Roman"/>
                <w:b/>
                <w:bCs/>
                <w:sz w:val="21"/>
                <w:szCs w:val="21"/>
              </w:rPr>
              <w:t xml:space="preserve">Gates to submission</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Depth gradient (H1)</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 replicated</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Discrete-time model; duration–depth horse race (line vi)</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Era decline</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 replicated; covariate-robust; AJ horizons</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Consistent-ruler subsample; CIF bands; official-benchmark events</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Death constancy</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AJ estimates</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Liquidation/merger split; CIF bands</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Who-first dead heat</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 replicated</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Paired inference; N-SAR gross redemptions; episode-type interaction (H6)</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Grind-not-gamble</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 replicated</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Formal trajectory test; leading-indicator (ΔAS) hazard</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Clients-kill-the-fund</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 replicated</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Lagged-flow death hazard (causal ordering)</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H7 null</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2× replicated</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Full battery (5.6); only then a claim</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Panic effect</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suggestive (t=−2.5)</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Matched controls; do not cite until then</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3× benchmark sensitivity</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documented</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Formal sensitivity table (F7/T3)</w:t>
            </w:r>
          </w:p>
        </w:tc>
      </w:tr>
      <w:tr>
        <w:tc>
          <w:tcPr>
            <w:tcW w:type="dxa" w:w="234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H3 tenure effect</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1× (CRSP tenure)</w:t>
            </w:r>
          </w:p>
        </w:tc>
        <w:tc>
          <w:tcPr>
            <w:tcW w:type="dxa" w:w="4420"/>
            <w:tcMar>
              <w:top w:type="dxa" w:w="60"/>
              <w:left w:type="dxa" w:w="100"/>
              <w:bottom w:type="dxa" w:w="60"/>
              <w:right w:type="dxa" w:w="100"/>
            </w:tcMar>
          </w:tcPr>
          <w:p>
            <w:pPr>
              <w:spacing w:after="0"/>
            </w:pPr>
            <w:r>
              <w:rPr>
                <w:rFonts w:ascii="Times New Roman" w:cs="Times New Roman" w:eastAsia="Times New Roman" w:hAnsi="Times New Roman"/>
                <w:b w:val="false"/>
                <w:bCs w:val="false"/>
                <w:sz w:val="21"/>
                <w:szCs w:val="21"/>
              </w:rPr>
              <w:t xml:space="preserve">Morningstar manager histories; solo/team split (line vii)</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2026-08-06T19:02:08.791Z</dcterms:created>
  <dcterms:modified xsi:type="dcterms:W3CDTF">2026-08-06T19:02:08.804Z</dcterms:modified>
</cp:coreProperties>
</file>

<file path=docProps/custom.xml><?xml version="1.0" encoding="utf-8"?>
<Properties xmlns="http://schemas.openxmlformats.org/officeDocument/2006/custom-properties" xmlns:vt="http://schemas.openxmlformats.org/officeDocument/2006/docPropsVTypes"/>
</file>