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Reports using SQLDeveloper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57150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Step 1: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Master</w:t>
      </w:r>
      <w:r>
        <w:rPr/>
        <w:t xml:space="preserve"> Report (Independent)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Create a new User Defined Reports -&gt; </w:t>
      </w:r>
      <w:bookmarkStart w:id="0" w:name="__DdeLink__4_1089216252"/>
      <w:bookmarkEnd w:id="0"/>
      <w:r>
        <w:rPr/>
        <w:t>ClientOrderOverview</w:t>
      </w:r>
    </w:p>
    <w:p>
      <w:pPr>
        <w:pStyle w:val="style0"/>
        <w:rPr/>
      </w:pPr>
      <w:r>
        <w:rPr/>
      </w:r>
    </w:p>
    <w:p>
      <w:pPr>
        <w:pStyle w:val="style0"/>
        <w:rPr/>
      </w:pPr>
      <w:bookmarkStart w:id="1" w:name="__DdeLink__2_1089216252"/>
      <w:bookmarkEnd w:id="1"/>
      <w:r>
        <w:rPr/>
        <w:t>Select Style: Table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select client_no, name, count(s_order_no) from client_master natural join sales_order group by client_no,name;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Save and run the report to see the results.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91846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Step2: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Sub Report </w:t>
      </w:r>
      <w:r>
        <w:rPr/>
        <w:t>(with bind variable)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Create a new User Defined Reports -&gt; </w:t>
      </w:r>
      <w:r>
        <w:rPr/>
        <w:t>ClientOrdersDetails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Select Style: Table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select * from sales_order where client_no=:CLIENT_NO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Note: Using column, we are creating a bind variable. When query will be run, input is expected from user for this :CLIENT_NO.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Verify “</w:t>
      </w:r>
      <w:r>
        <w:rPr/>
        <w:t>Binds” tab to have entry of CLIENT_NO bind variable. This is happening because of having a bind varible in the query.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403860</wp:posOffset>
            </wp:positionH>
            <wp:positionV relativeFrom="paragraph">
              <wp:posOffset>0</wp:posOffset>
            </wp:positionV>
            <wp:extent cx="5524500" cy="407670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Step 3: Drill Down support in </w:t>
      </w:r>
      <w:r>
        <w:rPr/>
        <w:t>master</w:t>
      </w:r>
      <w:r>
        <w:rPr/>
        <w:t xml:space="preserve"> report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““”</w:t>
      </w:r>
    </w:p>
    <w:p>
      <w:pPr>
        <w:pStyle w:val="style0"/>
        <w:rPr/>
      </w:pPr>
      <w:r>
        <w:rPr/>
        <w:t>Drill Down means lets say you are seeing population count country wise, then when you click on a chosen country if you expect that it shall show you all state wise population for that country then this is exmple of drill down.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The chosen country id is passed as a value to bind variable of a query written for sub report. </w:t>
      </w:r>
    </w:p>
    <w:p>
      <w:pPr>
        <w:pStyle w:val="style0"/>
        <w:rPr/>
      </w:pPr>
      <w:r>
        <w:rPr/>
        <w:t>“””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Right click and edit the ClientOrderOverview </w:t>
      </w:r>
      <w:r>
        <w:rPr/>
        <w:t>Report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Choose “DrillDown” tab, name and select the subreport here.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Click the drop down under “Report” and choose “ClientOrderDetails” from UserDefinedReports category.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Save the report.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16611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Step 4: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Execute Master Report “</w:t>
      </w:r>
      <w:r>
        <w:rPr/>
        <w:t>ClientOrderOverview</w:t>
      </w:r>
      <w:r>
        <w:rPr/>
        <w:t xml:space="preserve">” and once it shows the result.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96418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Select a row, right click and select the sub report to be executed “</w:t>
      </w:r>
      <w:r>
        <w:rPr/>
        <w:t>Order Details for Individual Client</w:t>
      </w:r>
      <w:r>
        <w:rPr/>
        <w:t>”.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409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47625</wp:posOffset>
            </wp:positionH>
            <wp:positionV relativeFrom="paragraph">
              <wp:posOffset>420370</wp:posOffset>
            </wp:positionV>
            <wp:extent cx="6332220" cy="168973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You may also use, green back arrow to go back to master report, etc.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Also, try </w:t>
      </w:r>
      <w:r>
        <w:rPr/>
        <w:t>changing the report sytle to graph, etc.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This way report generation is important for User Interface Development. </w:t>
      </w:r>
      <w:r>
        <w:rPr/>
        <w:t>The way we represent data to user decides the level of user satisfaction. If the information is represented graphically then it is many times easier to process and present.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Other reporting tools include Informatica, Crystal Reports, Jasper</w:t>
      </w:r>
      <w:r>
        <w:rPr/>
        <w:t>Soft</w:t>
      </w:r>
      <w:r>
        <w:rPr/>
        <w:t xml:space="preserve"> Reports, Google Charts, </w:t>
      </w:r>
      <w:r>
        <w:rPr/>
        <w:t>Motion Charts, etc.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2988</TotalTime>
  <Application>LibreOffice/4.1.6.2$Linux_x86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2016-10-01T10:16:11Z</dcterms:created>
  <dcterms:modified xsi:type="dcterms:W3CDTF">2016-10-03T15:10:58Z</dcterms:modified>
  <cp:revision>55</cp:revision>
</cp:coreProperties>
</file>