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 Antiqua" w:cs="Book Antiqua" w:eastAsia="Book Antiqua" w:hAnsi="Book Antiqua"/>
          <w:b w:val="1"/>
          <w:sz w:val="24"/>
          <w:szCs w:val="24"/>
          <w:u w:val="single"/>
        </w:rPr>
      </w:pPr>
      <w:r w:rsidDel="00000000" w:rsidR="00000000" w:rsidRPr="00000000">
        <w:rPr>
          <w:rFonts w:ascii="Book Antiqua" w:cs="Book Antiqua" w:eastAsia="Book Antiqua" w:hAnsi="Book Antiqua"/>
          <w:b w:val="1"/>
          <w:sz w:val="24"/>
          <w:szCs w:val="24"/>
          <w:u w:val="single"/>
          <w:rtl w:val="0"/>
        </w:rPr>
        <w:t xml:space="preserve">ABSTRACTS GUIDELINES</w:t>
      </w:r>
    </w:p>
    <w:p w:rsidR="00000000" w:rsidDel="00000000" w:rsidP="00000000" w:rsidRDefault="00000000" w:rsidRPr="00000000" w14:paraId="00000002">
      <w:pPr>
        <w:spacing w:after="280" w:before="28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We require authors/editors to supply abstracts of all chapters. Abstracts are not included in the printed book but they become part of the electronic book’s metadata. They will make your book more visible to online searches, especially by library users. </w:t>
      </w:r>
      <w:r w:rsidDel="00000000" w:rsidR="00000000" w:rsidRPr="00000000">
        <w:rPr>
          <w:rFonts w:ascii="Book Antiqua" w:cs="Book Antiqua" w:eastAsia="Book Antiqua" w:hAnsi="Book Antiqua"/>
          <w:b w:val="1"/>
          <w:sz w:val="24"/>
          <w:szCs w:val="24"/>
          <w:u w:val="single"/>
          <w:rtl w:val="0"/>
        </w:rPr>
        <w:t xml:space="preserve">If you do not provide chapter abstracts, abstracting services will use the first few paragraphs of each chapter.</w:t>
      </w:r>
      <w:r w:rsidDel="00000000" w:rsidR="00000000" w:rsidRPr="00000000">
        <w:rPr>
          <w:rtl w:val="0"/>
        </w:rPr>
      </w:r>
    </w:p>
    <w:p w:rsidR="00000000" w:rsidDel="00000000" w:rsidP="00000000" w:rsidRDefault="00000000" w:rsidRPr="00000000" w14:paraId="00000003">
      <w:pPr>
        <w:spacing w:after="280" w:before="28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Each chapter abstract should be 150–200 words. Include the chapter title and, if an edited book, the names of the contributors. Use an impersonal voice, e.g., “this chapter discusses” rather than “we discuss.” Do not include key words. Submit all abstracts as one Word or text file.</w:t>
      </w:r>
    </w:p>
    <w:p w:rsidR="00000000" w:rsidDel="00000000" w:rsidP="00000000" w:rsidRDefault="00000000" w:rsidRPr="00000000" w14:paraId="00000004">
      <w:pPr>
        <w:spacing w:after="280" w:before="28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 </w:t>
      </w:r>
    </w:p>
    <w:p w:rsidR="00000000" w:rsidDel="00000000" w:rsidP="00000000" w:rsidRDefault="00000000" w:rsidRPr="00000000" w14:paraId="00000005">
      <w:pPr>
        <w:spacing w:after="280" w:before="28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 sample abstract:</w:t>
      </w:r>
    </w:p>
    <w:p w:rsidR="00000000" w:rsidDel="00000000" w:rsidP="00000000" w:rsidRDefault="00000000" w:rsidRPr="00000000" w14:paraId="00000006">
      <w:pPr>
        <w:spacing w:after="280" w:before="280" w:line="240" w:lineRule="auto"/>
        <w:jc w:val="both"/>
        <w:rPr>
          <w:rFonts w:ascii="Book Antiqua" w:cs="Book Antiqua" w:eastAsia="Book Antiqua" w:hAnsi="Book Antiqua"/>
          <w:sz w:val="24"/>
          <w:szCs w:val="24"/>
        </w:rPr>
      </w:pPr>
      <w:bookmarkStart w:colFirst="0" w:colLast="0" w:name="_8vazrwbnbvby" w:id="0"/>
      <w:bookmarkEnd w:id="0"/>
      <w:r w:rsidDel="00000000" w:rsidR="00000000" w:rsidRPr="00000000">
        <w:rPr>
          <w:rFonts w:ascii="Book Antiqua" w:cs="Book Antiqua" w:eastAsia="Book Antiqua" w:hAnsi="Book Antiqua"/>
          <w:sz w:val="24"/>
          <w:szCs w:val="24"/>
          <w:rtl w:val="0"/>
        </w:rPr>
        <w:t xml:space="preserve">In recent years, development of combination therapy has been in the forefront of drug research and development. Researchers have increasingly become interested in identifying agents that act synergistically when combined. Such synergy is usually characterized through either Bliss independence or Loewe additivity. As previously discussed, various statistical methods have been developed to assess drug synergy. The methods in general estimate synergistic effect, using pooled data from compounds administered individually and in combination. Although pooling data may, in many situations, lend one the ability to more accurately estimate model parameters, it has diminished return in drug synergy assessment when monotherapy and combination data are pooled. </w:t>
      </w:r>
    </w:p>
    <w:p w:rsidR="00000000" w:rsidDel="00000000" w:rsidP="00000000" w:rsidRDefault="00000000" w:rsidRPr="00000000" w14:paraId="00000007">
      <w:pPr>
        <w:spacing w:after="280" w:before="280" w:line="240" w:lineRule="auto"/>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This chapter discusses an emerging two-stage response surface method to maximize the use of information from data collected from both monotherapy and combination studies and provides more accurate estimation of drug synergy. The theoretical development of the method is elucidated in detail and further illustrated through a numerical example. Several nonlinear model fitting methods are also explained.</w:t>
      </w:r>
    </w:p>
    <w:p w:rsidR="00000000" w:rsidDel="00000000" w:rsidP="00000000" w:rsidRDefault="00000000" w:rsidRPr="00000000" w14:paraId="00000008">
      <w:pPr>
        <w:jc w:val="both"/>
        <w:rPr>
          <w:rFonts w:ascii="Book Antiqua" w:cs="Book Antiqua" w:eastAsia="Book Antiqua" w:hAnsi="Book Antiqua"/>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ook Antiqu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