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Heading1"/>
      </w:pPr>
      <w:r>
        <w:t>11. Identidade visual e diretrizes de marca do Textopia_</w:t>
      </w:r>
    </w:p>
    <w:p>
      <w:r>
        <w:t>Manual de marca e design system — versão 1.0</w:t>
      </w:r>
    </w:p>
    <w:p>
      <w:pPr>
        <w:jc w:val="center"/>
      </w:pPr>
      <w:r>
        <w:drawing>
          <wp:inline>
            <wp:extent cx="4937760" cy="1297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9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11.1 Papel e posicionamento da identidade</w:t>
      </w:r>
    </w:p>
    <w:p>
      <w:r>
        <w:t>A identidade do Textopia_ expressa uma plataforma acadêmica que combina rigor, clareza e acolhimento para apoiar processos de escrita sem substituir a autoria humana. A marca deve parecer formativa, confiável, contemporânea e sóbria; não deve parecer punitiva, infantilizada, burocrática ou tecnologicamente intimidante.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009"/>
        <w:gridCol w:w="3009"/>
        <w:gridCol w:w="3009"/>
      </w:tblGrid>
      <w:tr>
        <w:tc>
          <w:tcPr>
            <w:tcW w:type="dxa" w:w="1800"/>
            <w:shd w:fill="E8ECEF"/>
          </w:tcPr>
          <w:p>
            <w:pPr>
              <w:jc w:val="left"/>
            </w:pPr>
            <w:r>
              <w:rPr>
                <w:b/>
              </w:rPr>
              <w:t>Princípio</w:t>
            </w:r>
          </w:p>
        </w:tc>
        <w:tc>
          <w:tcPr>
            <w:tcW w:type="dxa" w:w="3816"/>
            <w:shd w:fill="E8ECEF"/>
          </w:tcPr>
          <w:p>
            <w:pPr>
              <w:jc w:val="left"/>
            </w:pPr>
            <w:r>
              <w:rPr>
                <w:b/>
              </w:rPr>
              <w:t>Expressão visual</w:t>
            </w:r>
          </w:p>
        </w:tc>
        <w:tc>
          <w:tcPr>
            <w:tcW w:type="dxa" w:w="3744"/>
            <w:shd w:fill="E8ECEF"/>
          </w:tcPr>
          <w:p>
            <w:pPr>
              <w:jc w:val="left"/>
            </w:pPr>
            <w:r>
              <w:rPr>
                <w:b/>
              </w:rPr>
              <w:t>Evitar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t>Clareza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hierarquia nítida, textos legíveis, poucos elementos simultâneos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t>ornamento sem função e densidade excessiva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t>Acolhimento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espaço respirável, linguagem respeitosa e cantos moderados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t>tom acusatório, cores agressivas e infantilização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t>Rigor acadêmico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alinhamento, consistência, evidências e estados explícitos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t>aparência improvisada ou ambígua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t>Agência humana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>
              <w:t>ações reversíveis quando possível e decisões claramente atribuídas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>
              <w:t>automação que pareça decidir pelo estudante ou professor</w:t>
            </w:r>
          </w:p>
        </w:tc>
      </w:tr>
    </w:tbl>
    <w:p>
      <w:r>
        <w:t>Públicos principais: estudantes, professores, equipes pedagógicas, administradores institucionais e equipes técnicas. A identidade institucional regula reconhecimento e comunicação; o design system regula interfaces; o projeto editorial regula o livro e documentos. Os três sistemas compartilham tokens e princípios, mas possuem regras próprias.</w:t>
      </w:r>
    </w:p>
    <w:p>
      <w:pPr>
        <w:pStyle w:val="Heading2"/>
      </w:pPr>
      <w:r>
        <w:t>11.2 Nome, grafia e voz</w:t>
      </w:r>
    </w:p>
    <w:p>
      <w:r>
        <w:t>A forma canônica em texto é Textopia_, com T maiúsculo, demais letras minúsculas e sublinhado final. A assinatura gráfica oficial emprega a estilização em caixa alta TEXTOPIA_, conforme o arquivo mestre, e constitui exceção deliberada. A forma preferencial nos títulos, interfaces e textos novos é Textopia_.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880"/>
            <w:shd w:fill="E8ECEF"/>
          </w:tcPr>
          <w:p>
            <w:pPr>
              <w:jc w:val="left"/>
            </w:pPr>
            <w:r>
              <w:rPr>
                <w:b/>
              </w:rPr>
              <w:t>Contexto</w:t>
            </w:r>
          </w:p>
        </w:tc>
        <w:tc>
          <w:tcPr>
            <w:tcW w:type="dxa" w:w="6480"/>
            <w:shd w:fill="E8ECEF"/>
          </w:tcPr>
          <w:p>
            <w:pPr>
              <w:jc w:val="left"/>
            </w:pPr>
            <w:r>
              <w:rPr>
                <w:b/>
              </w:rPr>
              <w:t>Forma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t>Texto e interface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t>Textopia_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t>Nome acessível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t>Textopia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t>Pronúncia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t>tecs-TÓ-pi-a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t>URL e domínio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t>forma registrada pelo serviço, sem simular o sublinhado quando não permitido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t>Código e pacote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>
              <w:t>convenção técnica do ambiente, documentada sem redefinir a marca</w:t>
            </w:r>
          </w:p>
        </w:tc>
      </w:tr>
    </w:tbl>
    <w:p>
      <w:r>
        <w:t>O sublinhado integra a assinatura visual, mas não deve produzir ruído em leitores de tela. Componentes visuais usam nome acessível “Textopia”, e a descrição longa pode informar que a marca possui sublinhado final. A voz é clara, específica, respeitosa, não acusatória e orientada à ação. Mensagens não culpabilizam, não presumem deficiência e distinguem sistema, professor e estudante.</w:t>
      </w:r>
    </w:p>
    <w:p>
      <w:pPr>
        <w:pStyle w:val="Heading2"/>
      </w:pPr>
      <w:r>
        <w:t>11.3 Sistema de assinatura visual</w:t>
      </w:r>
    </w:p>
    <w:p>
      <w:pPr>
        <w:pStyle w:val="Heading3"/>
      </w:pPr>
      <w:r>
        <w:t>11.3.1 Assinatura principal</w:t>
      </w:r>
    </w:p>
    <w:p>
      <w:r>
        <w:t>A assinatura principal é a composição horizontal apresentada na abertura: símbolo à esquerda, palavra TEXTOPIA_ em azul-marinho e verde-água e sublinhado amarelo. O sublinhado funciona como sinal de continuidade e espaço para a próxima decisão do autor. A assinatura não deve ser redigitada em peças finais; devem ser usados os arquivos mestres.</w:t>
      </w:r>
    </w:p>
    <w:p>
      <w:pPr>
        <w:pStyle w:val="Heading3"/>
      </w:pPr>
      <w:r>
        <w:t>11.3.2 Símbolo</w:t>
      </w:r>
    </w:p>
    <w:p>
      <w:r>
        <w:t>O símbolo corresponde ao módulo situado à esquerda da assinatura: inicial T enquadrada por marcas de foco, arco verde-água e sublinhado amarelo. É reservado a favicon, ícone de aplicativo, avatar e áreas em que a assinatura completa seja ilegível. Sempre que houver espaço, a primeira ocorrência em uma peça deve usar a assinatura completa.</w:t>
      </w:r>
    </w:p>
    <w:p>
      <w:pPr>
        <w:pStyle w:val="Heading3"/>
      </w:pPr>
      <w:r>
        <w:t>11.3.3 Versões e fundos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3168"/>
            <w:shd w:fill="E8ECEF"/>
          </w:tcPr>
          <w:p>
            <w:pPr>
              <w:jc w:val="left"/>
            </w:pPr>
            <w:r>
              <w:rPr>
                <w:b/>
              </w:rPr>
              <w:t>Versão</w:t>
            </w:r>
          </w:p>
        </w:tc>
        <w:tc>
          <w:tcPr>
            <w:tcW w:type="dxa" w:w="6192"/>
            <w:shd w:fill="E8ECEF"/>
          </w:tcPr>
          <w:p>
            <w:pPr>
              <w:jc w:val="left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t>Principal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t>grafite e verde sobre branco ou fundo suave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t>Negativa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t>branco com sublinhado claro sobre verde escuro ou grafite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t>Monocromática positiva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t>grafite ou preto em impressão de uma cor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t>Monocromática negativa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t>branco em fundos escuros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t>Símbolo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t>áreas quadradas e reduzidas</w:t>
            </w:r>
          </w:p>
        </w:tc>
      </w:tr>
    </w:tbl>
    <w:p>
      <w:pPr>
        <w:pStyle w:val="Heading3"/>
      </w:pPr>
      <w:r>
        <w:t>11.3.4 Proteção e tamanho mínimo</w:t>
      </w:r>
    </w:p>
    <w:p>
      <w:r>
        <w:t>A unidade x corresponde à altura do sublinhado da assinatura. A área livre mínima é 4x em todos os lados. Nenhum texto, borda ou imagem deve entrar nessa área. A assinatura horizontal mede no mínimo 120 CSS pixels em tela e 30 mm em impressão; o símbolo mede no mínimo 24 CSS pixels ou 8 mm. Em telas de alta densidade, o ativo rasterizado deve ser fornecido em 2× ou 3×, sem alterar o tamanho CSS.</w:t>
      </w:r>
    </w:p>
    <w:p>
      <w:pPr>
        <w:pStyle w:val="Heading3"/>
      </w:pPr>
      <w:r>
        <w:t>11.3.5 Usos proibidos</w:t>
      </w:r>
    </w:p>
    <w:p>
      <w:pPr>
        <w:ind w:left="360" w:hanging="240"/>
      </w:pPr>
      <w:r>
        <w:t xml:space="preserve">• </w:t>
      </w:r>
      <w:r>
        <w:t>não distorcer, inclinar, rotacionar ou recompor;</w:t>
      </w:r>
    </w:p>
    <w:p>
      <w:pPr>
        <w:ind w:left="360" w:hanging="240"/>
      </w:pPr>
      <w:r>
        <w:t xml:space="preserve">• </w:t>
      </w:r>
      <w:r>
        <w:t>não alterar tipografia, proporções ou posição do sublinhado;</w:t>
      </w:r>
    </w:p>
    <w:p>
      <w:pPr>
        <w:ind w:left="360" w:hanging="240"/>
      </w:pPr>
      <w:r>
        <w:t xml:space="preserve">• </w:t>
      </w:r>
      <w:r>
        <w:t>não aplicar sombra, contorno, gradiente ou transparência;</w:t>
      </w:r>
    </w:p>
    <w:p>
      <w:pPr>
        <w:ind w:left="360" w:hanging="240"/>
      </w:pPr>
      <w:r>
        <w:t xml:space="preserve">• </w:t>
      </w:r>
      <w:r>
        <w:t>não usar sobre fundo sem contraste ou imagem complexa sem área de respiro;</w:t>
      </w:r>
    </w:p>
    <w:p>
      <w:pPr>
        <w:ind w:left="360" w:hanging="240"/>
      </w:pPr>
      <w:r>
        <w:t xml:space="preserve">• </w:t>
      </w:r>
      <w:r>
        <w:t>não substituir o verde ou o grafite por cores não aprovadas;</w:t>
      </w:r>
    </w:p>
    <w:p>
      <w:pPr>
        <w:ind w:left="360" w:hanging="240"/>
      </w:pPr>
      <w:r>
        <w:t xml:space="preserve">• </w:t>
      </w:r>
      <w:r>
        <w:t>não usar o símbolo isolado como primeira identificação quando houver espaço para a assinatura.</w:t>
      </w:r>
    </w:p>
    <w:p>
      <w:pPr>
        <w:pStyle w:val="Heading2"/>
      </w:pPr>
      <w:r>
        <w:t>11.4 Arquivos mestres e nomenclatura</w:t>
      </w:r>
    </w:p>
    <w:p>
      <w:r>
        <w:t>Os mestres vetoriais usam SVG para produtos digitais e PDF vetorial para impressão. PNG transparente é derivado de distribuição. Cada arquivo contém versão, variante, espaço de cor e tamanho quando rasterizado.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Padrão</w:t>
            </w:r>
          </w:p>
        </w:tc>
        <w:tc>
          <w:tcPr>
            <w:tcW w:type="dxa" w:w="7200"/>
            <w:shd w:fill="E8ECEF"/>
          </w:tcPr>
          <w:p>
            <w:pPr>
              <w:jc w:val="left"/>
            </w:pPr>
            <w:r>
              <w:rPr>
                <w:b/>
              </w:rPr>
              <w:t>Exemplo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Nome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textopia_&lt;ativo&gt;_&lt;variante&gt;_&lt;versao&gt;.&lt;ext&gt;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Assinatura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textopia_wordmark_principal_v1.0.svg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Símbolo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textopia_symbol_principal_v1.0.svg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Raster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textopia_wordmark_principal_v1.0_2x.png</w:t>
            </w:r>
          </w:p>
        </w:tc>
      </w:tr>
    </w:tbl>
    <w:p>
      <w:r>
        <w:t>O repositório oficial mantém manifesto com SHA-256, licença, responsável, estado e data de publicação. Arquivos publicados são imutáveis; correções recebem nova versão. Ativos descontinuados permanecem identificados, mas não são oferecidos como padrão.</w:t>
      </w:r>
    </w:p>
    <w:p>
      <w:pPr>
        <w:pStyle w:val="Heading2"/>
      </w:pPr>
      <w:r>
        <w:t>11.5 Paleta cromática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009"/>
        <w:gridCol w:w="3009"/>
        <w:gridCol w:w="3009"/>
      </w:tblGrid>
      <w:tr>
        <w:tc>
          <w:tcPr>
            <w:tcW w:type="dxa" w:w="2016"/>
            <w:shd w:fill="E8ECEF"/>
          </w:tcPr>
          <w:p>
            <w:pPr>
              <w:jc w:val="left"/>
            </w:pPr>
            <w:r>
              <w:rPr>
                <w:b/>
              </w:rPr>
              <w:t>Cor</w:t>
            </w:r>
          </w:p>
        </w:tc>
        <w:tc>
          <w:tcPr>
            <w:tcW w:type="dxa" w:w="1728"/>
            <w:shd w:fill="E8ECEF"/>
          </w:tcPr>
          <w:p>
            <w:pPr>
              <w:jc w:val="left"/>
            </w:pPr>
            <w:r>
              <w:rPr>
                <w:b/>
              </w:rPr>
              <w:t>Valor</w:t>
            </w:r>
          </w:p>
        </w:tc>
        <w:tc>
          <w:tcPr>
            <w:tcW w:type="dxa" w:w="5616"/>
            <w:shd w:fill="E8ECEF"/>
          </w:tcPr>
          <w:p>
            <w:pPr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016"/>
            <w:vAlign w:val="center"/>
            <w:shd w:fill="0D1B3D"/>
          </w:tcPr>
          <w:p>
            <w:pPr>
              <w:jc w:val="left"/>
            </w:pPr>
            <w:r>
              <w:rPr>
                <w:color w:val="FFFFFF"/>
              </w:rPr>
              <w:t>Azul-marinho 900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#0D1B3D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assinatura, títulos e superfícies institucionais</w:t>
            </w:r>
          </w:p>
        </w:tc>
      </w:tr>
      <w:tr>
        <w:tc>
          <w:tcPr>
            <w:tcW w:type="dxa" w:w="2016"/>
            <w:vAlign w:val="center"/>
            <w:shd w:fill="176B63"/>
          </w:tcPr>
          <w:p>
            <w:pPr>
              <w:jc w:val="left"/>
            </w:pPr>
            <w:r>
              <w:rPr>
                <w:color w:val="FFFFFF"/>
              </w:rPr>
              <w:t>Verde 700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#176B63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ação primária acessível e foco sobre fundo claro</w:t>
            </w:r>
          </w:p>
        </w:tc>
      </w:tr>
      <w:tr>
        <w:tc>
          <w:tcPr>
            <w:tcW w:type="dxa" w:w="2016"/>
            <w:vAlign w:val="center"/>
            <w:shd w:fill="4AA39A"/>
          </w:tcPr>
          <w:p>
            <w:pPr>
              <w:jc w:val="left"/>
            </w:pPr>
            <w:r>
              <w:rPr>
                <w:color w:val="FFFFFF"/>
              </w:rPr>
              <w:t>Verde-água 500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#4AA39A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marca, acentos, gráficos e superfícies; não usar como texto normal sobre branco</w:t>
            </w:r>
          </w:p>
        </w:tc>
      </w:tr>
      <w:tr>
        <w:tc>
          <w:tcPr>
            <w:tcW w:type="dxa" w:w="2016"/>
            <w:vAlign w:val="center"/>
            <w:shd w:fill="F4B400"/>
          </w:tcPr>
          <w:p>
            <w:pPr>
              <w:jc w:val="left"/>
            </w:pPr>
            <w:r>
              <w:rPr>
                <w:color w:val="1F2933"/>
              </w:rPr>
              <w:t>Amarelo 500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#F4B400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destaque e atenção com texto grafite; nunca texto normal sobre branco</w:t>
            </w:r>
          </w:p>
        </w:tc>
      </w:tr>
      <w:tr>
        <w:tc>
          <w:tcPr>
            <w:tcW w:type="dxa" w:w="2016"/>
            <w:vAlign w:val="center"/>
            <w:shd w:fill="1F2933"/>
          </w:tcPr>
          <w:p>
            <w:pPr>
              <w:jc w:val="left"/>
            </w:pPr>
            <w:r>
              <w:rPr>
                <w:color w:val="FFFFFF"/>
              </w:rPr>
              <w:t>Grafite 900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#1F2933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texto principal e assinatura</w:t>
            </w:r>
          </w:p>
        </w:tc>
      </w:tr>
      <w:tr>
        <w:tc>
          <w:tcPr>
            <w:tcW w:type="dxa" w:w="2016"/>
            <w:vAlign w:val="center"/>
            <w:shd w:fill="52606D"/>
          </w:tcPr>
          <w:p>
            <w:pPr>
              <w:jc w:val="left"/>
            </w:pPr>
            <w:r>
              <w:rPr>
                <w:color w:val="FFFFFF"/>
              </w:rPr>
              <w:t>Cinza 700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#52606D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texto secundário</w:t>
            </w:r>
          </w:p>
        </w:tc>
      </w:tr>
      <w:tr>
        <w:tc>
          <w:tcPr>
            <w:tcW w:type="dxa" w:w="2016"/>
            <w:vAlign w:val="center"/>
            <w:shd w:fill="F5F7FA"/>
          </w:tcPr>
          <w:p>
            <w:pPr>
              <w:jc w:val="left"/>
            </w:pPr>
            <w:r>
              <w:rPr>
                <w:color w:val="1F2933"/>
              </w:rPr>
              <w:t>Cinza 100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#F5F7FA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fundo suave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>
              <w:rPr>
                <w:color w:val="1F2933"/>
              </w:rPr>
              <w:t>Branco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#FFFFFF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fundo principal e texto sobre verde 700</w:t>
            </w:r>
          </w:p>
        </w:tc>
      </w:tr>
      <w:tr>
        <w:tc>
          <w:tcPr>
            <w:tcW w:type="dxa" w:w="2016"/>
            <w:vAlign w:val="center"/>
            <w:shd w:fill="B42318"/>
          </w:tcPr>
          <w:p>
            <w:pPr>
              <w:jc w:val="left"/>
            </w:pPr>
            <w:r>
              <w:rPr>
                <w:color w:val="FFFFFF"/>
              </w:rPr>
              <w:t>Vermelho 700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#B42318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erro e ação destrutiva</w:t>
            </w:r>
          </w:p>
        </w:tc>
      </w:tr>
      <w:tr>
        <w:tc>
          <w:tcPr>
            <w:tcW w:type="dxa" w:w="2016"/>
            <w:vAlign w:val="center"/>
            <w:shd w:fill="175CD3"/>
          </w:tcPr>
          <w:p>
            <w:pPr>
              <w:jc w:val="left"/>
            </w:pPr>
            <w:r>
              <w:rPr>
                <w:color w:val="FFFFFF"/>
              </w:rPr>
              <w:t>Azul 700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>
              <w:t>#175CD3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informação e links</w:t>
            </w:r>
          </w:p>
        </w:tc>
      </w:tr>
    </w:tbl>
    <w:p>
      <w:pPr>
        <w:pStyle w:val="Heading3"/>
      </w:pPr>
      <w:r>
        <w:t>11.5.1 Contraste aprovado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009"/>
        <w:gridCol w:w="3009"/>
        <w:gridCol w:w="3009"/>
      </w:tblGrid>
      <w:tr>
        <w:tc>
          <w:tcPr>
            <w:tcW w:type="dxa" w:w="3744"/>
            <w:shd w:fill="E8ECEF"/>
          </w:tcPr>
          <w:p>
            <w:pPr>
              <w:jc w:val="left"/>
            </w:pPr>
            <w:r>
              <w:rPr>
                <w:b/>
              </w:rPr>
              <w:t>Combinação</w:t>
            </w:r>
          </w:p>
        </w:tc>
        <w:tc>
          <w:tcPr>
            <w:tcW w:type="dxa" w:w="2016"/>
            <w:shd w:fill="E8ECEF"/>
          </w:tcPr>
          <w:p>
            <w:pPr>
              <w:jc w:val="left"/>
            </w:pPr>
            <w:r>
              <w:rPr>
                <w:b/>
              </w:rPr>
              <w:t>Razão aproximada</w:t>
            </w:r>
          </w:p>
        </w:tc>
        <w:tc>
          <w:tcPr>
            <w:tcW w:type="dxa" w:w="3600"/>
            <w:shd w:fill="E8ECEF"/>
          </w:tcPr>
          <w:p>
            <w:pPr>
              <w:jc w:val="left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Grafite 900 / branco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14,76:1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texto normal e títulos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Cinza 700 / branco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6,46:1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texto secundário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Branco / verde 700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6,33:1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texto e ícones essenciais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Grafite 900 / amarelo 500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7,99:1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alerta de atenção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Verde 500 / branco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3,00:1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gráficos e componentes; não texto normal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t>Amarelo 500 / branco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t>1,85:1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t>combinação proibida para informação</w:t>
            </w:r>
          </w:p>
        </w:tc>
      </w:tr>
    </w:tbl>
    <w:p>
      <w:r>
        <w:t>Texto normal exige pelo menos 4,5:1; texto grande, componentes, bordas essenciais e foco exigem 3:1. Texto grande significa pelo menos 24 CSS pixels em peso normal ou aproximadamente 18,66 CSS pixels em negrito. Estados combinam cor, texto e ícone. As mesmas verificações devem ser repetidas para modo escuro e qualquer nova cor.</w:t>
      </w:r>
    </w:p>
    <w:p>
      <w:pPr>
        <w:pStyle w:val="Heading2"/>
      </w:pPr>
      <w:r>
        <w:t>11.6 Tipografia</w:t>
      </w:r>
    </w:p>
    <w:p>
      <w:r>
        <w:t>Inter é a família principal das interfaces. A pilha é Inter, Arial, sans-serif; deve ser hospedada segundo licença e política de privacidade aplicáveis. Arial é a família editorial e alternativa de sistema para assegurar compatibilidade nos documentos. Código, JSON e identificadores usam ui-monospace, SFMono-Regular, Consolas, Liberation Mono, monospace.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Token</w:t>
            </w:r>
          </w:p>
        </w:tc>
        <w:tc>
          <w:tcPr>
            <w:tcW w:type="dxa" w:w="2448"/>
            <w:shd w:fill="E8ECEF"/>
          </w:tcPr>
          <w:p>
            <w:pPr>
              <w:jc w:val="left"/>
            </w:pPr>
            <w:r>
              <w:rPr>
                <w:b/>
              </w:rPr>
              <w:t>Tamanho/entrelinha</w:t>
            </w:r>
          </w:p>
        </w:tc>
        <w:tc>
          <w:tcPr>
            <w:tcW w:type="dxa" w:w="1440"/>
            <w:shd w:fill="E8ECEF"/>
          </w:tcPr>
          <w:p>
            <w:pPr>
              <w:jc w:val="left"/>
            </w:pPr>
            <w:r>
              <w:rPr>
                <w:b/>
              </w:rPr>
              <w:t>Peso</w:t>
            </w:r>
          </w:p>
        </w:tc>
        <w:tc>
          <w:tcPr>
            <w:tcW w:type="dxa" w:w="3312"/>
            <w:shd w:fill="E8ECEF"/>
          </w:tcPr>
          <w:p>
            <w:pPr>
              <w:jc w:val="left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display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40/48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700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aberturas excepcionais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heading-1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32/40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700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título de página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heading-2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24/32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600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seção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heading-3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20/28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600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subseção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body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16/24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400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texto de interface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body-strong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16/24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600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ênfase funcional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14/20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400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metadados não essenciais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label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14/20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600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rótulos e controles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code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t>14/20 px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t>400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t>código e JSON</w:t>
            </w:r>
          </w:p>
        </w:tc>
      </w:tr>
    </w:tbl>
    <w:p>
      <w:r>
        <w:t>Tamanhos de interface são implementados em rem, preservando preferências do usuário. Caixa alta é reservada a siglas. Sublinhado fica reservado a links ou à própria assinatura. Não se usa peso como único indicador de estado. Em impressão, o corpo editorial parte de 11 pt com entrelinha de aproximadamente 1,35, ajustada após prova de leitura.</w:t>
      </w:r>
    </w:p>
    <w:p>
      <w:pPr>
        <w:pStyle w:val="Heading2"/>
      </w:pPr>
      <w:r>
        <w:t>11.7 Tokens do design system</w:t>
      </w:r>
    </w:p>
    <w:p>
      <w:r>
        <w:t>A fonte canônica dos tokens é um registro versionado compartilhado pelo código e pela biblioteca de design. Tokens primitivos guardam valores; tokens semânticos exprimem função. Nomes seguem a estrutura categoria.papel.estado.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Categoria</w:t>
            </w:r>
          </w:p>
        </w:tc>
        <w:tc>
          <w:tcPr>
            <w:tcW w:type="dxa" w:w="7200"/>
            <w:shd w:fill="E8ECEF"/>
          </w:tcPr>
          <w:p>
            <w:pPr>
              <w:jc w:val="left"/>
            </w:pPr>
            <w:r>
              <w:rPr>
                <w:b/>
              </w:rPr>
              <w:t>Exemplos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Cor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color.text.primary, color.action.primary, color.feedback.warning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Espaço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space.0, space.1=4px, space.2=8px, space.3=12px, space.4=16px, space.6=24px, space.8=32px, space.12=48px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Raio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radius.none=0, radius.field=4px, radius.card=8px, radius.pill=999px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Borda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border.default=1px, border.focus=2px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Elevação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elevation.1 e elevation.2, somente para hierarquia funcional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Movimento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motion.fast=120ms, motion.normal=200ms, motion.slow=320ms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Layout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content.max=1200px e breakpoints definidos no pacote do produto</w:t>
            </w:r>
          </w:p>
        </w:tc>
      </w:tr>
    </w:tbl>
    <w:p>
      <w:r>
        <w:t>O pacote é publicado em JSON e transformado automaticamente em CSS e formatos das plataformas usadas. Nenhum valor manual deve substituir um token existente. Alterações recebem versão, changelog, testes de contraste e validação visual.</w:t>
      </w:r>
    </w:p>
    <w:p>
      <w:pPr>
        <w:pStyle w:val="Heading2"/>
      </w:pPr>
      <w:r>
        <w:t>11.8 Layout e responsividade</w:t>
      </w:r>
    </w:p>
    <w:p>
      <w:r>
        <w:t>A interface usa grade fluida de 4 colunas em telas estreitas, 8 em telas médias e 12 em telas largas. Margens mínimas são 16, 24 e 32 pixels, respectivamente; o conteúdo principal possui largura máxima de 1200 pixels. A ordem de leitura e de foco acompanha a ordem visual e não depende de reposicionamento apenas por CSS.</w:t>
      </w:r>
    </w:p>
    <w:p>
      <w:r>
        <w:t>Em ampliação e telas estreitas, painéis se tornam fluxo vertical; ações essenciais permanecem próximas ao objeto; tabelas usam cartões, rolagem identificada ou colunas prioritárias; nomes longos quebram sem truncar informação essencial. A localização deve admitir expansão textual de pelo menos 30%.</w:t>
      </w:r>
    </w:p>
    <w:p>
      <w:pPr>
        <w:pStyle w:val="Heading2"/>
      </w:pPr>
      <w:r>
        <w:t>11.9 Componentes e estados</w:t>
      </w:r>
    </w:p>
    <w:p>
      <w:r>
        <w:t>Botões, campos, seletores, tabelas, cartões, abas, menus, diálogos, alertas e notificações possuem estados default, hover, focus-visible, active, selected, disabled, loading, success e error quando aplicáveis. Cada estado combina forma, texto, ícone e cor. Áreas interativas têm pelo menos 44 × 44 CSS pixels, salvo controles compactos com alvo equivalente.</w:t>
      </w:r>
    </w:p>
    <w:p>
      <w:r>
        <w:t>Campos conservam rótulo visível, instrução associada e mensagem de erro que identifica problema e ação. Diálogos movem o foco para o título, contêm descrição e ações claras e devolvem o foco ao acionador. Ações destrutivas informam objeto, consequência e possibilidade de recuperação antes da confirmação.</w:t>
      </w:r>
    </w:p>
    <w:p>
      <w:pPr>
        <w:pStyle w:val="Heading3"/>
      </w:pPr>
      <w:r>
        <w:t>11.9.1 Estados do sistema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Estado</w:t>
            </w:r>
          </w:p>
        </w:tc>
        <w:tc>
          <w:tcPr>
            <w:tcW w:type="dxa" w:w="7200"/>
            <w:shd w:fill="E8ECEF"/>
          </w:tcPr>
          <w:p>
            <w:pPr>
              <w:jc w:val="left"/>
            </w:pPr>
            <w:r>
              <w:rPr>
                <w:b/>
              </w:rPr>
              <w:t>Representação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Em processamento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rótulo textual, progresso quando mensurável e cancelamento quando seguro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Retido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motivo, responsável pela próxima ação e ausência de prazo falso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Abstenção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indicação de que não houve conclusão sustentada e encaminhamento disponível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Falha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problema, preservação dos dados e ação possível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Sem achados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confirmação de conclusão, sem sugerir perfeição absoluta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t>Indisponível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t>razão comunicável e alternativa ou tentativa posterior</w:t>
            </w:r>
          </w:p>
        </w:tc>
      </w:tr>
    </w:tbl>
    <w:p>
      <w:pPr>
        <w:pStyle w:val="Heading2"/>
      </w:pPr>
      <w:r>
        <w:t>11.10 Padrões da revisão pedagógica</w:t>
      </w:r>
    </w:p>
    <w:p>
      <w:r>
        <w:t>A interface representa separadamente intervenção sentencial, achado global estruturado e feedback global sintetizador. Evidência, diagnóstico e orientação não são fundidos. O texto original permanece identificável e não é alterado automaticamente.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304"/>
            <w:shd w:fill="E8ECEF"/>
          </w:tcPr>
          <w:p>
            <w:pPr>
              <w:jc w:val="left"/>
            </w:pPr>
            <w:r>
              <w:rPr>
                <w:b/>
              </w:rPr>
              <w:t>Unidade</w:t>
            </w:r>
          </w:p>
        </w:tc>
        <w:tc>
          <w:tcPr>
            <w:tcW w:type="dxa" w:w="7056"/>
            <w:shd w:fill="E8ECEF"/>
          </w:tcPr>
          <w:p>
            <w:pPr>
              <w:jc w:val="left"/>
            </w:pPr>
            <w:r>
              <w:rPr>
                <w:b/>
              </w:rPr>
              <w:t>Elementos visuais obrigatórios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Intervenção sentencial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trecho literal, critério, categoria, diagnóstico, orientação, prioridade, estado de validação e decisões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Achado global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diagnóstico suprassentencial, sentenças relacionadas, orientação, prioridade e estado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Feedback global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pontos fortes, prioridades referenciadas, comentário e limitações; sem diagnósticos novos</w:t>
            </w:r>
          </w:p>
        </w:tc>
      </w:tr>
    </w:tbl>
    <w:p>
      <w:r>
        <w:t>Prioridade usa rótulo e ordem, não somente cor. Confiança aparece como “confiança do processamento”, acompanhada de explicação e política aplicada, nunca como julgamento do estudante. Evidências positivas têm presença visual equivalente às limitações, sem transformar revisão em inventário de falhas.</w:t>
      </w:r>
    </w:p>
    <w:p>
      <w:r>
        <w:t>As decisões aceitar, adaptar, rejeitar e contestar usam verbos claros e explicam seus efeitos. Aceitar uma orientação não altera o texto. Comparações entre versões oferecem visão linear acessível além da marcação visual de inserções e exclusões. Padrões recorrentes são agrupados com expansão controlada.</w:t>
      </w:r>
    </w:p>
    <w:p>
      <w:pPr>
        <w:pStyle w:val="Heading2"/>
      </w:pPr>
      <w:r>
        <w:t>11.11 Avaliação, nota e integridade acadêmica</w:t>
      </w:r>
    </w:p>
    <w:p>
      <w:r>
        <w:t>Revisão, validação, avaliação, cálculo, decisão docente e nota publicada possuem títulos e estados distintos. Uma proposta calculada nunca recebe o mesmo tratamento visual da nota publicada. Alterações e retificações preservam o histórico e informam responsável e data.</w:t>
      </w:r>
    </w:p>
    <w:p>
      <w:r>
        <w:t>Indícios de integridade acadêmica usam linguagem cautelosa, neutra e não acusatória, ícone informativo e indicação de análise humana necessária. Não se usa vermelho de erro para acusar o estudante, nem linguagem de certeza para inferências automatizadas.</w:t>
      </w:r>
    </w:p>
    <w:p>
      <w:pPr>
        <w:pStyle w:val="Heading2"/>
      </w:pPr>
      <w:r>
        <w:t>11.12 Iconografia, imagens e visualização de dados</w:t>
      </w:r>
    </w:p>
    <w:p>
      <w:r>
        <w:t>Ícones usam desenho linear de 2 pixels em grade de 24 pixels, terminais arredondados e proporções consistentes. Ícones interativos possuem nome acessível; ícone nunca substitui sozinho o rótulo de uma ação crítica. Símbolos de alerta, erro, sucesso e informação mantêm significados estáveis.</w:t>
      </w:r>
    </w:p>
    <w:p>
      <w:r>
        <w:t>Fotografias e ilustrações representam diversidade sem estereótipos e devem possuir finalidade informativa. Imagens decorativas recebem alternativa vazia; imagens informativas recebem texto alternativo que comunica função. Diagramas usam formas e rótulos além de cor.</w:t>
      </w:r>
    </w:p>
    <w:p>
      <w:r>
        <w:t>Gráficos incluem título, unidade, legenda, valores recuperáveis e alternativa tabular ou textual. Paletas são testadas para diferenças de percepção cromática. Não se usam gráficos para inferir aprendizagem exclusivamente por nota, quantidade de erros ou cliques.</w:t>
      </w:r>
    </w:p>
    <w:p>
      <w:pPr>
        <w:pStyle w:val="Heading2"/>
      </w:pPr>
      <w:r>
        <w:t>11.13 Movimento</w:t>
      </w:r>
    </w:p>
    <w:p>
      <w:r>
        <w:t>Movimento confirma causalidade, continuidade ou mudança de estado; nunca é meramente decorativo em fluxos acadêmicos. Transições usam os tokens de 120 a 320 ms. O sistema respeita prefers-reduced-motion, remove deslocamentos não essenciais e conserva feedback textual. Não há flashes ou animações repetitivas que prejudiquem leitura e atenção.</w:t>
      </w:r>
    </w:p>
    <w:p>
      <w:pPr>
        <w:pStyle w:val="Heading2"/>
      </w:pPr>
      <w:r>
        <w:t>11.14 Projeto editorial do livro</w:t>
      </w:r>
    </w:p>
    <w:p>
      <w:r>
        <w:t>O livro usa página Carta ou A4 conforme a edição, margens de aproximadamente 25 mm, Arial 11 pt no corpo e hierarquia numerada consistente. Títulos não ficam órfãos; blocos de código podem continuar em outra página somente com identificação; tabelas repetem cabeçalho e não usam linhas de altura fixa.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513"/>
        <w:gridCol w:w="4513"/>
      </w:tblGrid>
      <w:tr>
        <w:tc>
          <w:tcPr>
            <w:tcW w:type="dxa" w:w="2304"/>
            <w:shd w:fill="E8ECEF"/>
          </w:tcPr>
          <w:p>
            <w:pPr>
              <w:jc w:val="left"/>
            </w:pPr>
            <w:r>
              <w:rPr>
                <w:b/>
              </w:rPr>
              <w:t>Elemento</w:t>
            </w:r>
          </w:p>
        </w:tc>
        <w:tc>
          <w:tcPr>
            <w:tcW w:type="dxa" w:w="7056"/>
            <w:shd w:fill="E8ECEF"/>
          </w:tcPr>
          <w:p>
            <w:pPr>
              <w:jc w:val="left"/>
            </w:pPr>
            <w:r>
              <w:rPr>
                <w:b/>
              </w:rPr>
              <w:t>Padrão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Título do capítulo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Arial 23–26 pt, preto, alinhamento consistente, sem regra decorativa automática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Seção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Arial 16–18 pt, negrito, numeração hierárquica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Subseção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Arial 13–15 pt, negrito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Corpo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Arial 11 pt, entrelinha aproximada 1,35, espaçamento posterior consistente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Código e JSON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fonte monoespaçada 8,5–9,5 pt, fundo suave, continuação identificada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Tabela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cabeçalho destacado, contraste adequado, largura explícita e repetição em nova página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>
              <w:t>Figura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número, título informativo, texto alternativo e fonte ou autoria</w:t>
            </w:r>
          </w:p>
        </w:tc>
      </w:tr>
    </w:tbl>
    <w:p>
      <w:r>
        <w:t>Sumário, referências cruzadas e numeração de figuras e tabelas são gerados, não digitados manualmente. Diagramas entidade-relacionamento e máquinas de estados possuem legenda e alternativa textual. O projeto editorial evita páginas compostas apenas por fragmentos de schema sem título de continuação.</w:t>
      </w:r>
    </w:p>
    <w:p>
      <w:pPr>
        <w:pStyle w:val="Heading2"/>
      </w:pPr>
      <w:r>
        <w:t>11.15 Acessibilidade e inclusão</w:t>
      </w:r>
    </w:p>
    <w:p>
      <w:pPr>
        <w:ind w:left="360" w:hanging="240"/>
      </w:pPr>
      <w:r>
        <w:t xml:space="preserve">• </w:t>
      </w:r>
      <w:r>
        <w:t>Semântica correta de títulos, regiões, listas, tabelas e controles.</w:t>
      </w:r>
    </w:p>
    <w:p>
      <w:pPr>
        <w:ind w:left="360" w:hanging="240"/>
      </w:pPr>
      <w:r>
        <w:t xml:space="preserve">• </w:t>
      </w:r>
      <w:r>
        <w:t>Navegação completa por teclado, foco visível e retorno previsível do foco.</w:t>
      </w:r>
    </w:p>
    <w:p>
      <w:pPr>
        <w:ind w:left="360" w:hanging="240"/>
      </w:pPr>
      <w:r>
        <w:t xml:space="preserve">• </w:t>
      </w:r>
      <w:r>
        <w:t>Redimensionamento de texto e ampliação até 400% sem perda de conteúdo ou funcionalidade essencial.</w:t>
      </w:r>
    </w:p>
    <w:p>
      <w:pPr>
        <w:ind w:left="360" w:hanging="240"/>
      </w:pPr>
      <w:r>
        <w:t xml:space="preserve">• </w:t>
      </w:r>
      <w:r>
        <w:t>Contraste verificado em todos os estados, inclusive disabled quando ainda informativo.</w:t>
      </w:r>
    </w:p>
    <w:p>
      <w:pPr>
        <w:ind w:left="360" w:hanging="240"/>
      </w:pPr>
      <w:r>
        <w:t xml:space="preserve">• </w:t>
      </w:r>
      <w:r>
        <w:t>Alternativas não visuais para imagens, diagramas, gráficos, comparação e estado.</w:t>
      </w:r>
    </w:p>
    <w:p>
      <w:pPr>
        <w:ind w:left="360" w:hanging="240"/>
      </w:pPr>
      <w:r>
        <w:t xml:space="preserve">• </w:t>
      </w:r>
      <w:r>
        <w:t>Legendas e transcrições para mídia temporal.</w:t>
      </w:r>
    </w:p>
    <w:p>
      <w:pPr>
        <w:ind w:left="360" w:hanging="240"/>
      </w:pPr>
      <w:r>
        <w:t xml:space="preserve">• </w:t>
      </w:r>
      <w:r>
        <w:t>Linguagem clara, mensagens específicas e ausência de pressupostos capacitistas.</w:t>
      </w:r>
    </w:p>
    <w:p>
      <w:pPr>
        <w:ind w:left="360" w:hanging="240"/>
      </w:pPr>
      <w:r>
        <w:t xml:space="preserve">• </w:t>
      </w:r>
      <w:r>
        <w:t>Testes automatizados combinados com avaliação manual por pessoas e tecnologias assistivas.</w:t>
      </w:r>
    </w:p>
    <w:p>
      <w:pPr>
        <w:pStyle w:val="Heading2"/>
      </w:pPr>
      <w:r>
        <w:t>11.16 Templates e artefatos</w:t>
      </w:r>
    </w:p>
    <w:p>
      <w:r>
        <w:t>A identidade deve distribuir: assinaturas SVG e PNG; símbolo e favicon; manifesto de ativos; biblioteca de cores e tipografia; pacote versionado de tokens; biblioteca de componentes; templates de documento, apresentação e relatório; padrões de e-mail e redes; modelos de diagramas e gráficos; checklist de contraste; e exemplos de usos corretos e incorretos.</w:t>
      </w:r>
    </w:p>
    <w:p>
      <w:pPr>
        <w:pStyle w:val="Heading2"/>
      </w:pPr>
      <w:r>
        <w:t>11.17 Governança da marca e do design system</w:t>
      </w:r>
    </w:p>
    <w:p>
      <w:r>
        <w:t>O responsável pela identidade mantém estratégia e ativos; o responsável por acessibilidade homologa fluxos; design e frontend mantêm componentes e tokens; comunicação mantém templates; pedagogia e linguística revisam padrões que afetam feedback e avaliação. Criação, aprovação e publicação de ativos sensíveis seguem segregação de funções.</w:t>
      </w:r>
    </w:p>
    <w:p>
      <w:r>
        <w:t>Ativos e tokens usam estados draft, in_review, approved, published, deprecated e archived. Exceções registram solicitante, finalidade, escopo, justificativa, aprovador e data de expiração. Mudanças publicadas recebem versão, data de vigência, changelog, testes, plano de migração e comunicação.</w:t>
      </w:r>
    </w:p>
    <w:p>
      <w:r>
        <w:t>A revisão da identidade ocorre ao menos a cada ciclo maior do produto ou quando métricas, acessibilidade, nova plataforma ou mudança institucional justificarem. Ativos antigos são descontinuados sem apagar o histórico. Licenças de fontes, imagens e ícones são registradas no manifesto.</w:t>
      </w:r>
    </w:p>
    <w:p>
      <w:pPr>
        <w:pStyle w:val="Heading2"/>
      </w:pPr>
      <w:r>
        <w:t>11.18 Critérios de aceitação</w:t>
      </w:r>
    </w:p>
    <w:p>
      <w:pPr>
        <w:ind w:left="360" w:hanging="240"/>
      </w:pPr>
      <w:r>
        <w:t xml:space="preserve">• </w:t>
      </w:r>
      <w:r>
        <w:t>Toda aplicação usa ativo oficial, versão e proporções corretas.</w:t>
      </w:r>
    </w:p>
    <w:p>
      <w:pPr>
        <w:ind w:left="360" w:hanging="240"/>
      </w:pPr>
      <w:r>
        <w:t xml:space="preserve">• </w:t>
      </w:r>
      <w:r>
        <w:t>Combinações de cor atendem aos contrastes definidos e nunca comunicam estado apenas por cor.</w:t>
      </w:r>
    </w:p>
    <w:p>
      <w:pPr>
        <w:ind w:left="360" w:hanging="240"/>
      </w:pPr>
      <w:r>
        <w:t xml:space="preserve">• </w:t>
      </w:r>
      <w:r>
        <w:t>Componentes usam tokens publicados e possuem estados, teclado e nomes acessíveis.</w:t>
      </w:r>
    </w:p>
    <w:p>
      <w:pPr>
        <w:ind w:left="360" w:hanging="240"/>
      </w:pPr>
      <w:r>
        <w:t xml:space="preserve">• </w:t>
      </w:r>
      <w:r>
        <w:t>Revisão, achados globais, feedback global, avaliação e nota permanecem visualmente distintos.</w:t>
      </w:r>
    </w:p>
    <w:p>
      <w:pPr>
        <w:ind w:left="360" w:hanging="240"/>
      </w:pPr>
      <w:r>
        <w:t xml:space="preserve">• </w:t>
      </w:r>
      <w:r>
        <w:t>A interface comunica autoria, responsável pela próxima ação e limitações do sistema.</w:t>
      </w:r>
    </w:p>
    <w:p>
      <w:pPr>
        <w:ind w:left="360" w:hanging="240"/>
      </w:pPr>
      <w:r>
        <w:t xml:space="preserve">• </w:t>
      </w:r>
      <w:r>
        <w:t>Documentos seguem hierarquia, tipografia, tabelas, figuras e blocos técnicos acessíveis.</w:t>
      </w:r>
    </w:p>
    <w:p>
      <w:pPr>
        <w:ind w:left="360" w:hanging="240"/>
      </w:pPr>
      <w:r>
        <w:t xml:space="preserve">• </w:t>
      </w:r>
      <w:r>
        <w:t>Mudanças de marca ou design passam por revisão, testes, aprovação e publicação versionada.</w:t>
      </w:r>
    </w:p>
    <w:p>
      <w:pPr>
        <w:pStyle w:val="Heading2"/>
      </w:pPr>
      <w:r>
        <w:t>11.19 Relação com a documentação canônica</w:t>
      </w:r>
    </w:p>
    <w:p>
      <w:r>
        <w:t>Este capítulo rege identidade visual, design system e aplicação editorial. Não redefine contratos pedagógicos ou técnicos. Quando uma decisão visual afetar significado, estado, autoria, privacidade, avaliação ou acessibilidade, prevalecem os capítulos especializados e os anexos canônicos vigentes. Conflitos não resolvidos bloqueiam a publicação do componente ou do material.</w:t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-104774</wp:posOffset>
          </wp:positionV>
          <wp:extent cx="1338263" cy="34939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8263" cy="3493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1338263" cy="34939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8263" cy="3493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before="200" w:line="360" w:lineRule="auto"/>
        <w:ind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  <w:ind w:firstLine="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300" w:before="500" w:lineRule="auto"/>
      <w:ind w:firstLine="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