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pPr>
      <w:r>
        <w:rPr>
          <w:rFonts w:ascii="Arial" w:hAnsi="Arial"/>
          <w:b/>
          <w:color w:val="000000"/>
          <w:sz w:val="46"/>
        </w:rPr>
        <w:t>4. Arquitetura técnica do sistema Textopia_</w:t>
      </w:r>
    </w:p>
    <w:p>
      <w:pPr>
        <w:pStyle w:val="Heading1"/>
        <w:keepNext/>
      </w:pPr>
      <w:r>
        <w:t>4.1 Finalidade, escopo e caráter normativo</w:t>
      </w:r>
    </w:p>
    <w:p>
      <w:pPr/>
      <w:r>
        <w:t>Este capítulo especifica a arquitetura técnica necessária para implementar o Textopia_ de forma rastreável, segura, acessível, econômica e coerente com os fundamentos pedagógicos. Os capítulos 1 e 2 regem a interpretação pedagógica; o capítulo 3 apresenta a visão funcional; este capítulo define componentes, fronteiras, fluxos e requisitos operacionais.</w:t>
      </w:r>
    </w:p>
    <w:p>
      <w:pPr/>
      <w:r>
        <w:t>Os anexos técnicos canônicos vigentes são as fontes normativas dos prompts, taxonomias, gêneros, rubricas, cálculo da nota, modelo de domínio, persistência, segmentação e máquinas de estados. O capítulo 9 contém apenas reproduções geradas automaticamente durante a publicação, com verificação de version e hash. Em conflito, aplica-se a precedência: princípios pedagógicos e proteção da autoria; anexos canônicos vigentes; configuração publicada da atividade; instruções docentes compatíveis; e escolhas do mecanismo automatizado. Conflitos não resolvidos produzem abstenção e registro da limitação.</w:t>
      </w:r>
    </w:p>
    <w:p>
      <w:pPr>
        <w:pStyle w:val="Heading1"/>
        <w:keepNext/>
      </w:pPr>
      <w:r>
        <w:t>4.2 Princípios arquiteturais</w:t>
      </w:r>
    </w:p>
    <w:p>
      <w:pPr/>
      <w:r>
        <w:t>A arquitetura adota os seguintes princípios:</w:t>
      </w:r>
    </w:p>
    <w:p>
      <w:pPr>
        <w:pStyle w:val="ListBullet"/>
      </w:pPr>
      <w:r>
        <w:t>Agência humana: o estudante permanece autor; o professor decide sobre avaliação e nota; a IA não é autoridade final.</w:t>
      </w:r>
    </w:p>
    <w:p>
      <w:pPr>
        <w:pStyle w:val="ListBullet"/>
      </w:pPr>
      <w:r>
        <w:t>Separação de operações: revisão, validação, avaliação rubricada, cálculo da nota, decisão docente e publicação possuem contratos, estados e registros próprios.</w:t>
      </w:r>
    </w:p>
    <w:p>
      <w:pPr>
        <w:pStyle w:val="ListBullet"/>
      </w:pPr>
      <w:r>
        <w:t>Imutabilidade e rastreabilidade: versões textuais, saídas originais, decisões e eventos não são sobrescritos.</w:t>
      </w:r>
    </w:p>
    <w:p>
      <w:pPr>
        <w:pStyle w:val="ListBullet"/>
      </w:pPr>
      <w:r>
        <w:t>Contratos antes de texto livre: toda integração automatizada utiliza esquemas versionados e validação sintática, contratual e semântica.</w:t>
      </w:r>
    </w:p>
    <w:p>
      <w:pPr>
        <w:pStyle w:val="ListBullet"/>
      </w:pPr>
      <w:r>
        <w:t>Menor privilégio e minimização: cada componente recebe apenas os dados e poderes necessários à sua função.</w:t>
      </w:r>
    </w:p>
    <w:p>
      <w:pPr>
        <w:pStyle w:val="ListBullet"/>
      </w:pPr>
      <w:r>
        <w:t>Compatibilidade explícita: nenhuma capacidade é habilitada sem versões compatíveis de configuração, prompt, contrato, taxonomia, rubrica, backend e interface.</w:t>
      </w:r>
    </w:p>
    <w:p>
      <w:pPr>
        <w:pStyle w:val="ListBullet"/>
      </w:pPr>
      <w:r>
        <w:t>Eficiência proporcional: técnicas, serviços e chamadas a modelos são adotados somente quando produzem benefício verificável, sem duplicação desnecessária de processamento ou persistência.</w:t>
      </w:r>
    </w:p>
    <w:p>
      <w:pPr>
        <w:pStyle w:val="ListBullet"/>
      </w:pPr>
      <w:r>
        <w:t>Falha segura: incerteza, incompatibilidade ou conflito geram abstenção, retenção ou decisão humana, nunca improvisação.</w:t>
      </w:r>
    </w:p>
    <w:p>
      <w:pPr>
        <w:pStyle w:val="Heading1"/>
        <w:keepNext/>
      </w:pPr>
      <w:r>
        <w:t>4.3 Camadas lógicas e dependências</w:t>
      </w:r>
    </w:p>
    <w:p>
      <w:pPr/>
      <w:r>
        <w:t>A arquitetura possui cinco camadas, com dependências direcionadas para o domínio:</w:t>
      </w:r>
    </w:p>
    <w:p>
      <w:pPr>
        <w:pStyle w:val="ListBullet"/>
      </w:pPr>
      <w:r>
        <w:t>Apresentação: ambientes do estudante, professor, curadoria e administração. Consome casos de uso e não acessa bancos ou provedores de modelo diretamente.</w:t>
      </w:r>
    </w:p>
    <w:p>
      <w:pPr>
        <w:pStyle w:val="ListBullet"/>
      </w:pPr>
      <w:r>
        <w:t>Aplicação: autenticação contextual, autorização, casos de uso, transações, idempotência e orquestração de atividades, submissões, revisões, validações, avaliações e notas.</w:t>
      </w:r>
    </w:p>
    <w:p>
      <w:pPr>
        <w:pStyle w:val="ListBullet"/>
      </w:pPr>
      <w:r>
        <w:t>Domínio: entidades, invariantes, políticas, eventos e máquinas de estados, independentes de interface, banco de dados e provedor de IA.</w:t>
      </w:r>
    </w:p>
    <w:p>
      <w:pPr>
        <w:pStyle w:val="ListBullet"/>
      </w:pPr>
      <w:r>
        <w:t>Análise e automação: segmentação, composição de prompts, adaptadores de modelos, validação de saídas e cálculo determinístico. Não decide pedagogia nem altera o texto do estudante.</w:t>
      </w:r>
    </w:p>
    <w:p>
      <w:pPr>
        <w:pStyle w:val="ListBullet"/>
      </w:pPr>
      <w:r>
        <w:t>Persistência e infraestrutura: repositórios, armazenamento de objetos, filas, cache controlado, auditoria, observabilidade, backup, provedores externos e integrações institucionais.</w:t>
      </w:r>
    </w:p>
    <w:p>
      <w:pPr/>
      <w:r>
        <w:t>Cada componente implantável pertence a uma camada principal e expõe interfaces explícitas. Dependências inversas são mediadas por portas do domínio ou da aplicação; não são admitidos acessos laterais não documentados entre bancos ou serviços.</w:t>
      </w:r>
    </w:p>
    <w:p>
      <w:pPr>
        <w:pStyle w:val="Heading1"/>
        <w:keepNext/>
      </w:pPr>
      <w:r>
        <w:t>4.4 Modelo canônico do domínio</w:t>
      </w:r>
    </w:p>
    <w:p>
      <w:pPr/>
      <w:r>
        <w:t>O modelo canônico é definido no Anexo técnico E. Esta visão arquitetural utiliza, no mínimo, as seguintes entidades e relações:</w:t>
      </w:r>
    </w:p>
    <w:p>
      <w:pPr>
        <w:pStyle w:val="ListBullet"/>
      </w:pPr>
      <w:r>
        <w:t>Institution, User, RoleAssignment e AccessPolicy para identidade, vínculo institucional e autorização contextual.</w:t>
      </w:r>
    </w:p>
    <w:p>
      <w:pPr>
        <w:pStyle w:val="ListBullet"/>
      </w:pPr>
      <w:r>
        <w:t>Activity, ActivityConfiguration e ActivityPublication para planejamento, configuração versionada e publicação.</w:t>
      </w:r>
    </w:p>
    <w:p>
      <w:pPr>
        <w:pStyle w:val="ListBullet"/>
      </w:pPr>
      <w:r>
        <w:t>TextSubmission e TextVersion para submissão e versões imutáveis do texto.</w:t>
      </w:r>
    </w:p>
    <w:p>
      <w:pPr>
        <w:pStyle w:val="ListBullet"/>
      </w:pPr>
      <w:r>
        <w:t>ParagraphSegment e SentenceSegment para a segmentação canônica vinculada ao hash da versão textual.</w:t>
      </w:r>
    </w:p>
    <w:p>
      <w:pPr>
        <w:pStyle w:val="ListBullet"/>
      </w:pPr>
      <w:r>
        <w:t>ReviewExecution, Review, SentenceIntervention, GlobalFinding e GlobalFeedback para execução, revisão e as três unidades da devolutiva.</w:t>
      </w:r>
    </w:p>
    <w:p>
      <w:pPr>
        <w:pStyle w:val="ListBullet"/>
      </w:pPr>
      <w:r>
        <w:t>ReviewValidation e ValidationDecision para validação técnica e decisão humana, quando habilitada.</w:t>
      </w:r>
    </w:p>
    <w:p>
      <w:pPr>
        <w:pStyle w:val="ListBullet"/>
      </w:pPr>
      <w:r>
        <w:t>StudentDecision e ContestRequest para aceitação, adaptação, rejeição, contestação e análise humana.</w:t>
      </w:r>
    </w:p>
    <w:p>
      <w:pPr>
        <w:pStyle w:val="ListBullet"/>
      </w:pPr>
      <w:r>
        <w:t>EvaluationExecution, RubricAssessment e CriterionLevel para a avaliação rubricada independente.</w:t>
      </w:r>
    </w:p>
    <w:p>
      <w:pPr>
        <w:pStyle w:val="ListBullet"/>
      </w:pPr>
      <w:r>
        <w:t>CalculatedScore, TeacherScoreDecision e PublishedScore para cálculo determinístico, decisão docente e publicação.</w:t>
      </w:r>
    </w:p>
    <w:p>
      <w:pPr>
        <w:pStyle w:val="ListBullet"/>
      </w:pPr>
      <w:r>
        <w:t>CanonicalArtifact, CompatibilityMatrix e ArtifactPublication para prompts, contratos, taxonomias, gêneros, critérios, categorias, rubricas e versões publicadas.</w:t>
      </w:r>
    </w:p>
    <w:p>
      <w:pPr>
        <w:pStyle w:val="ListBullet"/>
      </w:pPr>
      <w:r>
        <w:t>DomainEvent, StateTransition, AuditEvent e ProcessingAttempt para histórico, transições, auditoria e tentativas técnicas.</w:t>
      </w:r>
    </w:p>
    <w:p>
      <w:pPr/>
      <w:r>
        <w:t>Identificadores são opacos, estáveis e únicos dentro do escopo definido. Relações com versões, execuções e artefatos canônicos são obrigatórias; dados derivados não substituem as fontes imutáveis.</w:t>
      </w:r>
    </w:p>
    <w:p>
      <w:pPr>
        <w:pStyle w:val="Heading1"/>
        <w:keepNext/>
      </w:pPr>
      <w:r>
        <w:t>4.5 Componentes implantáveis e fronteiras</w:t>
      </w:r>
    </w:p>
    <w:p>
      <w:pPr/>
      <w:r>
        <w:t>A implantação pode começar como monólito modular com processadores assíncronos e bancos compartilhados por esquema, preservando fronteiras internas. Serviços independentes somente são extraídos quando escala, segurança, disponibilidade ou cadência de mudança justificarem o custo operacional.</w:t>
      </w:r>
    </w:p>
    <w:p>
      <w:pPr/>
      <w:r>
        <w:t>Os componentes lógicos são:</w:t>
      </w:r>
    </w:p>
    <w:p>
      <w:pPr>
        <w:pStyle w:val="ListBullet"/>
      </w:pPr>
      <w:r>
        <w:t>aplicação web responsiva e acessível;</w:t>
      </w:r>
    </w:p>
    <w:p>
      <w:pPr>
        <w:pStyle w:val="ListBullet"/>
      </w:pPr>
      <w:r>
        <w:t>API de aplicação e módulo de identidade e autorização;</w:t>
      </w:r>
    </w:p>
    <w:p>
      <w:pPr>
        <w:pStyle w:val="ListBullet"/>
      </w:pPr>
      <w:r>
        <w:t>módulo de atividades e configuração pedagógica;</w:t>
      </w:r>
    </w:p>
    <w:p>
      <w:pPr>
        <w:pStyle w:val="ListBullet"/>
      </w:pPr>
      <w:r>
        <w:t>módulo de submissão, versionamento e segmentação;</w:t>
      </w:r>
    </w:p>
    <w:p>
      <w:pPr>
        <w:pStyle w:val="ListBullet"/>
      </w:pPr>
      <w:r>
        <w:t>orquestrador de revisão e validação;</w:t>
      </w:r>
    </w:p>
    <w:p>
      <w:pPr>
        <w:pStyle w:val="ListBullet"/>
      </w:pPr>
      <w:r>
        <w:t>registro e compositor de prompts;</w:t>
      </w:r>
    </w:p>
    <w:p>
      <w:pPr>
        <w:pStyle w:val="ListBullet"/>
      </w:pPr>
      <w:r>
        <w:t>gateway de modelos de linguagem;</w:t>
      </w:r>
    </w:p>
    <w:p>
      <w:pPr>
        <w:pStyle w:val="ListBullet"/>
      </w:pPr>
      <w:r>
        <w:t>validador sintático, contratual e semântico;</w:t>
      </w:r>
    </w:p>
    <w:p>
      <w:pPr>
        <w:pStyle w:val="ListBullet"/>
      </w:pPr>
      <w:r>
        <w:t>módulo de decisões autorais e contestações;</w:t>
      </w:r>
    </w:p>
    <w:p>
      <w:pPr>
        <w:pStyle w:val="ListBullet"/>
      </w:pPr>
      <w:r>
        <w:t>orquestrador de avaliação rubricada;</w:t>
      </w:r>
    </w:p>
    <w:p>
      <w:pPr>
        <w:pStyle w:val="ListBullet"/>
      </w:pPr>
      <w:r>
        <w:t>motor determinístico de cálculo da nota;</w:t>
      </w:r>
    </w:p>
    <w:p>
      <w:pPr>
        <w:pStyle w:val="ListBullet"/>
      </w:pPr>
      <w:r>
        <w:t>módulo de decisão docente e publicação;</w:t>
      </w:r>
    </w:p>
    <w:p>
      <w:pPr>
        <w:pStyle w:val="ListBullet"/>
      </w:pPr>
      <w:r>
        <w:t>registro de artefatos canônicos e matriz de compatibilidade;</w:t>
      </w:r>
    </w:p>
    <w:p>
      <w:pPr>
        <w:pStyle w:val="ListBullet"/>
      </w:pPr>
      <w:r>
        <w:t>fila, processadores, agendador e fila de mensagens não processáveis;</w:t>
      </w:r>
    </w:p>
    <w:p>
      <w:pPr>
        <w:pStyle w:val="ListBullet"/>
      </w:pPr>
      <w:r>
        <w:t>repositórios transacionais, armazenamento de objetos e trilha de auditoria;</w:t>
      </w:r>
    </w:p>
    <w:p>
      <w:pPr>
        <w:pStyle w:val="ListBullet"/>
      </w:pPr>
      <w:r>
        <w:t>observabilidade, métricas, alertas e relatórios operacionais.</w:t>
      </w:r>
    </w:p>
    <w:p>
      <w:pPr/>
      <w:r>
        <w:t>A avaliação rubricada e o cálculo da nota não compartilham responsabilidade: o modelo propõe níveis; o backend valida a rubrica e calcula o valor por função determinística.</w:t>
      </w:r>
    </w:p>
    <w:p>
      <w:pPr>
        <w:pStyle w:val="Heading1"/>
        <w:keepNext/>
      </w:pPr>
      <w:r>
        <w:t>4.6 Artefatos canônicos, versões e compatibilidade</w:t>
      </w:r>
    </w:p>
    <w:p>
      <w:pPr/>
      <w:r>
        <w:t>Todo artefato executável possui artifactId, artifactType, version, hash, status, createdAt, publishedAt, createdBy e conteúdo ou localização imutável. version é obrigatória em todas as ocorrências dos contratos JSON. Alterar conteúdo exige nova versão; um hash divergente para a mesma versão é erro de integridade.</w:t>
      </w:r>
    </w:p>
    <w:p>
      <w:pPr/>
      <w:r>
        <w:t>O Anexo A é a fonte canônica do prompt de revisão; o Anexo B, do prompt de avaliação; o Anexo C, das taxonomias, critérios, categorias e gêneros; o Anexo D, das rubricas, níveis, pesos e cálculo; e o Anexo E, do domínio, persistência, estados e segmentação. Exemplos são executáveis somente quando declarados como compatíveis com a versão canônica; exemplos hipotéticos são marcados como não executáveis.</w:t>
      </w:r>
    </w:p>
    <w:p>
      <w:pPr/>
      <w:r>
        <w:t>A CompatibilityMatrix relaciona versões de configuração, prompts, contratos, taxonomias, rubricas, backend, modelo de domínio e interface. A publicação da atividade e cada execução falham antes da chamada ao modelo quando faltar combinação compatível. Migrações não alteram registros históricos; leitores mantêm compatibilidade documentada ou executam conversão versionada e auditável.</w:t>
      </w:r>
    </w:p>
    <w:p>
      <w:pPr>
        <w:pStyle w:val="Heading1"/>
        <w:keepNext/>
      </w:pPr>
      <w:r>
        <w:t>4.7 Configuração publicada da atividade</w:t>
      </w:r>
    </w:p>
    <w:p>
      <w:pPr/>
      <w:r>
        <w:t>ActivityConfiguration registra gênero, objetivos, instruções, interlocutores, contextualConfiguration, learningStage, fluxo de validação, confidenceThreshold, abstentionPolicy, examplePolicy, interventionPolicy, versões canônicas e limites econômicos.</w:t>
      </w:r>
    </w:p>
    <w:p>
      <w:pPr/>
      <w:r>
        <w:t>enabledCriterionCodes e, quando necessário, disabledCriterionCodes são obrigatoriamente resolvidos pelo backend. O conjunto efetivo é a interseção entre os critérios autorizados para o gênero e a seleção docente, descontadas as desativações válidas. A resolução gera effectiveCriterionCodes, acompanhada das versões do gênero e da taxonomia; o modelo recebe somente esse conjunto e não cria códigos.</w:t>
      </w:r>
    </w:p>
    <w:p>
      <w:pPr/>
      <w:r>
        <w:t>A configuração publicada é imutável. Alterações posteriores geram nova publicação e não modificam execuções já iniciadas.</w:t>
      </w:r>
    </w:p>
    <w:p>
      <w:pPr>
        <w:pStyle w:val="Heading1"/>
        <w:keepNext/>
      </w:pPr>
      <w:r>
        <w:t>4.8 Submissão, segmentação e integridade textual</w:t>
      </w:r>
    </w:p>
    <w:p>
      <w:pPr/>
      <w:r>
        <w:t>A submissão cria TextSubmission e TextVersion em transação. Cada TextVersion registra textVersionId, conteúdo literal, hash criptográfico, tamanho, codificação, autor, data e versão da política de tratamento. Nova versão não sobrescreve a anterior.</w:t>
      </w:r>
    </w:p>
    <w:p>
      <w:pPr/>
      <w:r>
        <w:t>A segmentação obedece ao contrato do Anexo E. Cada ParagraphSegment e SentenceSegment contém paragraphId, sentenceId quando aplicável, offsets de início e fim, conteúdo literal e hash da versão textual. Os offsets usam uma unidade canônica declarada; nenhuma normalização pode alterar a correspondência com o texto persistido.</w:t>
      </w:r>
    </w:p>
    <w:p>
      <w:pPr/>
      <w:r>
        <w:t>Uma intervenção sentencial referencia exatamente um sentenceId existente e reproduz seu conteúdo literal. Um GlobalFinding referencia um ou mais sentenceIds. Divergência entre hash, offsets e conteúdo bloqueia a execução ou invalida o item, preservando a tentativa para auditoria.</w:t>
      </w:r>
    </w:p>
    <w:p>
      <w:pPr>
        <w:pStyle w:val="Heading1"/>
        <w:keepNext/>
      </w:pPr>
      <w:r>
        <w:t>4.9 Arquitetura de prompts e modelos</w:t>
      </w:r>
    </w:p>
    <w:p>
      <w:pPr/>
      <w:r>
        <w:t>O compositor resolve deterministicamente o prompt, as variáveis, os artefatos e as políticas autorizadas. O texto do estudante é dado não confiável: instruções nele contidas não podem modificar a função, o prompt, o contrato, a taxonomia, a rubrica ou as regras do sistema.</w:t>
      </w:r>
    </w:p>
    <w:p>
      <w:pPr/>
      <w:r>
        <w:t>Cada ModelExecution registra executionId, purpose, promptArtifactId, promptVersion, promptHash, contractVersion, taxonomyVersion, rubricVersion quando aplicável, activityPublicationId, textVersionId, provider, model, modelRevision quando disponível, parâmetros de geração, limites de tokens, timeout, region, attemptNumber, timestamps, consumo, custo estimado, resposta bruta cifrada ou referência protegida e resultado da validação.</w:t>
      </w:r>
    </w:p>
    <w:p>
      <w:pPr/>
      <w:r>
        <w:t>O gateway aplica lista autorizada de provedores e modelos, timeout, rate limit, circuit breaker, orçamento, política de fallback e requisitos de retenção e localização. Fallback somente ocorre entre combinações previamente avaliadas e registradas na matriz de compatibilidade; nunca muda silenciosamente prompt, contrato ou critérios.</w:t>
      </w:r>
    </w:p>
    <w:p>
      <w:pPr/>
      <w:r>
        <w:t>A resposta deve usar saída estruturada. Reparos automáticos limitam-se a transformações sintáticas determinísticas que não criem conteúdo semântico. Nova chamada ao modelo gera outra tentativa. Após o limite configurado, a execução é retida, abstida ou encaminhada à decisão humana.</w:t>
      </w:r>
    </w:p>
    <w:p>
      <w:pPr>
        <w:pStyle w:val="Heading1"/>
        <w:keepNext/>
      </w:pPr>
      <w:r>
        <w:t>4.10 Fluxo de revisão e validação</w:t>
      </w:r>
    </w:p>
    <w:p>
      <w:pPr/>
      <w:r>
        <w:t>O fluxo de revisão é:</w:t>
      </w:r>
    </w:p>
    <w:p>
      <w:pPr>
        <w:pStyle w:val="ListBullet"/>
      </w:pPr>
      <w:r>
        <w:t>autorizar a solicitação e resolver a publicação imutável da atividade;</w:t>
      </w:r>
    </w:p>
    <w:p>
      <w:pPr>
        <w:pStyle w:val="ListBullet"/>
      </w:pPr>
      <w:r>
        <w:t>validar versões e compatibilidade antes de qualquer cobrança externa;</w:t>
      </w:r>
    </w:p>
    <w:p>
      <w:pPr>
        <w:pStyle w:val="ListBullet"/>
      </w:pPr>
      <w:r>
        <w:t>carregar a TextVersion e confirmar seu hash;</w:t>
      </w:r>
    </w:p>
    <w:p>
      <w:pPr>
        <w:pStyle w:val="ListBullet"/>
      </w:pPr>
      <w:r>
        <w:t>produzir ou recuperar a segmentação canônica;</w:t>
      </w:r>
    </w:p>
    <w:p>
      <w:pPr>
        <w:pStyle w:val="ListBullet"/>
      </w:pPr>
      <w:r>
        <w:t>resolver effectiveCriterionCodes e políticas;</w:t>
      </w:r>
    </w:p>
    <w:p>
      <w:pPr>
        <w:pStyle w:val="ListBullet"/>
      </w:pPr>
      <w:r>
        <w:t>criar ReviewExecution e publicar a tarefa de forma transacional;</w:t>
      </w:r>
    </w:p>
    <w:p>
      <w:pPr>
        <w:pStyle w:val="ListBullet"/>
      </w:pPr>
      <w:r>
        <w:t>compor o prompt e executar o gateway do modelo;</w:t>
      </w:r>
    </w:p>
    <w:p>
      <w:pPr>
        <w:pStyle w:val="ListBullet"/>
      </w:pPr>
      <w:r>
        <w:t>preservar a resposta bruta e os metadados da tentativa;</w:t>
      </w:r>
    </w:p>
    <w:p>
      <w:pPr>
        <w:pStyle w:val="ListBullet"/>
      </w:pPr>
      <w:r>
        <w:t>validar sintaxe, contrato e semântica;</w:t>
      </w:r>
    </w:p>
    <w:p>
      <w:pPr>
        <w:pStyle w:val="ListBullet"/>
      </w:pPr>
      <w:r>
        <w:t>aplicar confiança, limiar, prioridade, agrupamento e política de abstenção;</w:t>
      </w:r>
    </w:p>
    <w:p>
      <w:pPr>
        <w:pStyle w:val="ListBullet"/>
      </w:pPr>
      <w:r>
        <w:t>persistir Review, SentenceIntervention, GlobalFinding, GlobalFeedback, evidências positivas e limitações;</w:t>
      </w:r>
    </w:p>
    <w:p>
      <w:pPr>
        <w:pStyle w:val="ListBullet"/>
      </w:pPr>
      <w:r>
        <w:t>encaminhar à validação docente ou disponibilizar ao estudante, conforme a atividade.</w:t>
      </w:r>
    </w:p>
    <w:p>
      <w:pPr/>
      <w:r>
        <w:t>Saídas inválidas não integram a revisão apresentada, mas a execução original, a resposta protegida e os erros permanecem auditáveis. A validação docente pode aprovar, editar, rejeitar, reter ou solicitar nova análise; a saída original não é sobrescrita.</w:t>
      </w:r>
    </w:p>
    <w:p>
      <w:pPr>
        <w:pStyle w:val="Heading1"/>
        <w:keepNext/>
      </w:pPr>
      <w:r>
        <w:t>4.11 Avaliação, cálculo, decisão e publicação</w:t>
      </w:r>
    </w:p>
    <w:p>
      <w:pPr/>
      <w:r>
        <w:t>A avaliação é executada por prompt, contrato e máquina de estados independentes. Seus insumos autorizados incluem o texto completo, a rubrica publicada, evidências positivas, achados validados, recorrência, abrangência e limitações. A quantidade de problemas não se converte mecanicamente em desconto.</w:t>
      </w:r>
    </w:p>
    <w:p>
      <w:pPr/>
      <w:r>
        <w:t>O prompt produz níveis e justificativas por critério, sem nota numérica final. O validador confirma códigos, níveis, evidências e compatibilidade com a rubrica. O motor de cálculo lê somente a avaliação validada e o registro do Anexo D, aplica pesos, regras, limites e arredondamento e produz CalculatedScore de forma determinística.</w:t>
      </w:r>
    </w:p>
    <w:p>
      <w:pPr/>
      <w:r>
        <w:t>TeacherScoreDecision registra confirmação, modificação ou rejeição, autoria, data e justificativa exigida. PublishedScore somente é criado após decisão válida e após resolução de contestações capazes de afetar o resultado. Revisão, validação, avaliação, cálculo, decisão e publicação conservam identidades e históricos próprios.</w:t>
      </w:r>
    </w:p>
    <w:p>
      <w:pPr>
        <w:pStyle w:val="Heading1"/>
        <w:keepNext/>
      </w:pPr>
      <w:r>
        <w:t>4.12 Máquinas de estados, eventos e concorrência</w:t>
      </w:r>
    </w:p>
    <w:p>
      <w:pPr/>
      <w:r>
        <w:t>As máquinas de estados de atividade, submissão, revisão, validação, avaliação e nota são separadas e relacionadas conforme o Anexo E. Toda transição valida estado anterior, ator, autorização, pré-condições e evento causador; registra transitionId, entityType, entityId, fromState, toState, actorId, reason, occurredAt e correlationId.</w:t>
      </w:r>
    </w:p>
    <w:p>
      <w:pPr/>
      <w:r>
        <w:t>A interface pode exibir rótulos simplificados, mas não substitui os códigos internos nem mistura entidades. Um estado geral como “concluído” não encerra implicitamente revisão, avaliação ou nota.</w:t>
      </w:r>
    </w:p>
    <w:p>
      <w:pPr/>
      <w:r>
        <w:t>Concorrência é controlada por versão otimista e restrições de unicidade. Nova TextVersion não cancela silenciosamente execuções anteriores. A política da atividade determina se uma execução em andamento termina, é cancelada de modo registrado ou se torna não publicável. Eventos atrasados não podem alterar uma versão ou estado mais recente sem validação explícita.</w:t>
      </w:r>
    </w:p>
    <w:p>
      <w:pPr>
        <w:pStyle w:val="Heading1"/>
        <w:keepNext/>
      </w:pPr>
      <w:r>
        <w:t>4.13 Persistência, transações e mensageria</w:t>
      </w:r>
    </w:p>
    <w:p>
      <w:pPr/>
      <w:r>
        <w:t>Dados transacionais e relações de domínio usam banco relacional; textos, respostas brutas e artefatos grandes usam armazenamento de objetos cifrado; busca e relatórios utilizam projeções derivadas reconstruíveis. Cache não é fonte de verdade e possui chave com escopo institucional, versão e expiração.</w:t>
      </w:r>
    </w:p>
    <w:p>
      <w:pPr/>
      <w:r>
        <w:t>As fronteiras transacionais mínimas são: criação da submissão e versão; publicação da atividade; persistência da execução e evento de fila; persistência da revisão e mudança de estado; avaliação validada e cálculo; decisão docente e publicação. O padrão transactional outbox impede que uma alteração seja confirmada sem o evento correspondente. Consumidores são idempotentes e registram eventId processado.</w:t>
      </w:r>
    </w:p>
    <w:p>
      <w:pPr/>
      <w:r>
        <w:t>Tarefas possuem idempotencyKey, correlationId, causationId, attemptNumber, notBefore e deadline. Repetições usam backoff com variação e limites por classe de erro. Erros permanentes seguem para fila de mensagens não processáveis, preservando payload protegido, causa e ação requerida. Backpressure limita admissões quando filas, provedores ou bancos atingem limiares definidos.</w:t>
      </w:r>
    </w:p>
    <w:p>
      <w:pPr/>
      <w:r>
        <w:t>Backups são cifrados, testados por restauração e vinculados à política de retenção. Exclusões autorizadas propagam-se para objetos, índices, caches e provedores; backups seguem política documentada de expiração e restauração controlada.</w:t>
      </w:r>
    </w:p>
    <w:p>
      <w:pPr>
        <w:pStyle w:val="Heading1"/>
        <w:keepNext/>
      </w:pPr>
      <w:r>
        <w:t>4.14 APIs, contratos e erros</w:t>
      </w:r>
    </w:p>
    <w:p>
      <w:pPr/>
      <w:r>
        <w:t>APIs utilizam identificadores opacos, autenticação explícita, autorização contextual, versionamento, paginação estável e respostas de erro estruturadas. Toda mensagem JSON contém version no nível canônico aplicável.</w:t>
      </w:r>
    </w:p>
    <w:p>
      <w:pPr/>
      <w:r>
        <w:t>Operações com efeito repetível exigem Idempotency-Key. A chave é vinculada a instituição, ator, operação e hash da requisição; repetição compatível devolve o resultado original, e reutilização com conteúdo divergente gera erro. O prazo de retenção é superior à janela máxima de repetição dos clientes e processadores.</w:t>
      </w:r>
    </w:p>
    <w:p>
      <w:pPr/>
      <w:r>
        <w:t>Erros possuem code, message localizada, correlationId, retryable, details seguros e referência de suporte. Códigos distinguem autenticação, autorização, validação, conflito de estado, incompatibilidade de versão, limite, indisponibilidade, timeout e falha interna. Informações sensíveis e respostas brutas não são expostas ao cliente.</w:t>
      </w:r>
    </w:p>
    <w:p>
      <w:pPr/>
      <w:r>
        <w:t>Mudanças incompatíveis exigem nova versão principal. Descontinuação registra data, consumidores afetados, migração e telemetria de uso; nenhuma versão é removida enquanto houver registros históricos sem leitor compatível.</w:t>
      </w:r>
    </w:p>
    <w:p>
      <w:pPr>
        <w:pStyle w:val="Heading1"/>
        <w:keepNext/>
      </w:pPr>
      <w:r>
        <w:t>4.15 Segurança, privacidade e integridade</w:t>
      </w:r>
    </w:p>
    <w:p>
      <w:pPr/>
      <w:r>
        <w:t>O sistema adota isolamento por instituição em todas as consultas, chaves de cache, objetos, eventos e métricas. Autorizações combinam papel, instituição, propriedade, atividade, estado e finalidade. Testes automatizados verificam acesso cruzado e enumeração de identificadores.</w:t>
      </w:r>
    </w:p>
    <w:p>
      <w:pPr/>
      <w:r>
        <w:t>Dados são cifrados em trânsito e em repouso. Segredos e chaves ficam em serviço próprio, com menor privilégio, rotação, revogação, separação por ambiente e auditoria. Logs utilizam lista permitida de campos; texto integral, prompts preenchidos, respostas brutas, tokens, segredos e dados pessoais não são registrados em texto aberto.</w:t>
      </w:r>
    </w:p>
    <w:p>
      <w:pPr/>
      <w:r>
        <w:t>Cada tratamento registra finalidade, base institucional aplicável, ciência ou consentimento quando pertinente, política de retenção e destinatários. Consentimento não é presumido como única base. Integrações externas registram região, retenção, uso para treinamento, suboperadores, exclusão e garantias contratuais.</w:t>
      </w:r>
    </w:p>
    <w:p>
      <w:pPr/>
      <w:r>
        <w:t>O modelo de ameaças contempla injeção de prompt, exfiltração, abuso de privilégios, manipulação de estados, repetição de requisições, envenenamento de artefatos, acesso entre instituições e vazamento por observabilidade. Indícios de integridade acadêmica são tratados com linguagem não acusatória e decisão humana.</w:t>
      </w:r>
    </w:p>
    <w:p>
      <w:pPr/>
      <w:r>
        <w:t>AuditEvent é imutável e registra acesso, alteração de configuração, publicação de artefato, execução, validação, decisão e exportação. Mecanismos de integridade detectam remoção ou alteração indevida sem expor o conteúdo do estudante.</w:t>
      </w:r>
    </w:p>
    <w:p>
      <w:pPr>
        <w:pStyle w:val="Heading1"/>
        <w:keepNext/>
      </w:pPr>
      <w:r>
        <w:t>4.16 Governança de modelos, técnicas e custos</w:t>
      </w:r>
    </w:p>
    <w:p>
      <w:pPr/>
      <w:r>
        <w:t>Modelos e técnicas linguísticas entram em produção somente após avaliação para os critérios autorizados. Tokenização, análise sintática, representações vetoriais e recuperação são meios opcionais; não constituem requisitos por si mesmas. Cada adoção registra finalidade, hipótese, conjunto de avaliação, qualidade, custo, latência, riscos e critério de retirada.</w:t>
      </w:r>
    </w:p>
    <w:p>
      <w:pPr/>
      <w:r>
        <w:t>O sistema evita chamadas redundantes por idempotência, detecção de duplicidade, reutilização segura de segmentação e cache apenas de resultados autorizados e imutáveis. Cache de saída de modelo é permitido somente quando instituição, atividade, versão textual, artefatos, parâmetros e política forem idênticos.</w:t>
      </w:r>
    </w:p>
    <w:p>
      <w:pPr/>
      <w:r>
        <w:t>ActivityConfiguration pode definir limites de tokens, tentativas, custo por execução e volume por período. O gateway interrompe ou retém a solicitação antes de exceder o orçamento. Painéis exibem consumo por instituição, atividade, finalidade, modelo e versão.</w:t>
      </w:r>
    </w:p>
    <w:p>
      <w:pPr>
        <w:pStyle w:val="Heading1"/>
        <w:keepNext/>
      </w:pPr>
      <w:r>
        <w:t>4.17 Requisitos não funcionais e metas iniciais</w:t>
      </w:r>
    </w:p>
    <w:p>
      <w:pPr/>
      <w:r>
        <w:t>As metas são versionadas por ambiente. Para produção inicial, até publicação de metas institucionais mais exigentes, adotam-se:</w:t>
      </w:r>
    </w:p>
    <w:p>
      <w:pPr>
        <w:pStyle w:val="ListBullet"/>
      </w:pPr>
      <w:r>
        <w:t>disponibilidade mensal de 99,5% para submissão, consulta de versões e decisões autorais;</w:t>
      </w:r>
    </w:p>
    <w:p>
      <w:pPr>
        <w:pStyle w:val="ListBullet"/>
      </w:pPr>
      <w:r>
        <w:t>latência p95 inferior a 500 ms para operações síncronas de leitura e escrita, excluídos upload e processamento automatizado;</w:t>
      </w:r>
    </w:p>
    <w:p>
      <w:pPr>
        <w:pStyle w:val="ListBullet"/>
      </w:pPr>
      <w:r>
        <w:t>início p95 de tarefas de revisão em até 2 minutos sob carga nominal e conclusão p95 em até 5 minutos, sem garantia de provedor além do timeout publicado;</w:t>
      </w:r>
    </w:p>
    <w:p>
      <w:pPr>
        <w:pStyle w:val="ListBullet"/>
      </w:pPr>
      <w:r>
        <w:t>RPO máximo de 15 minutos para metadados transacionais e RTO máximo de 4 horas para restauração do serviço essencial;</w:t>
      </w:r>
    </w:p>
    <w:p>
      <w:pPr>
        <w:pStyle w:val="ListBullet"/>
      </w:pPr>
      <w:r>
        <w:t>nenhuma perda admissível de TextVersion confirmada, decisão autoral ou nota publicada;</w:t>
      </w:r>
    </w:p>
    <w:p>
      <w:pPr>
        <w:pStyle w:val="ListBullet"/>
      </w:pPr>
      <w:r>
        <w:t>compatibilidade integral com navegação por teclado, foco visível, leitura por tecnologia assistiva e alternativas não visuais nos fluxos essenciais;</w:t>
      </w:r>
    </w:p>
    <w:p>
      <w:pPr>
        <w:pStyle w:val="ListBullet"/>
      </w:pPr>
      <w:r>
        <w:t>erro não tratado inferior a 0,1% das requisições e 100% das falhas assíncronas com correlationId e estado recuperável.</w:t>
      </w:r>
    </w:p>
    <w:p>
      <w:pPr/>
      <w:r>
        <w:t>As metas são medidas por janela e percentil declarados. Exceções, manutenção e dependências externas são classificadas de forma explícita; não são removidas silenciosamente dos relatórios.</w:t>
      </w:r>
    </w:p>
    <w:p>
      <w:pPr>
        <w:pStyle w:val="Heading1"/>
        <w:keepNext/>
      </w:pPr>
      <w:r>
        <w:t>4.18 Observabilidade, alertas e recuperação</w:t>
      </w:r>
    </w:p>
    <w:p>
      <w:pPr/>
      <w:r>
        <w:t>Logs estruturados, métricas e rastreamentos usam correlationId e permitem seguir requisição, atividade, submissão, versão textual, tarefa, tentativa, revisão, validação, avaliação e nota sem registrar o texto integral.</w:t>
      </w:r>
    </w:p>
    <w:p>
      <w:pPr/>
      <w:r>
        <w:t>As métricas mínimas incluem disponibilidade, latência, erros, saturação, profundidade e idade da fila, tentativas, mensagens não processáveis, timeout, rate limit, falhas por provedor e modelo, rejeições sintáticas, contratuais e semânticas, abstenções, retenções, divergências humanas, códigos inexistentes, custo e tokens.</w:t>
      </w:r>
    </w:p>
    <w:p>
      <w:pPr/>
      <w:r>
        <w:t>Qualidade pedagógico-computacional acompanha validade dos alvos, coerência diagnóstico–orientação, sustentação por sentença, distribuição entre critérios e variedades linguísticas, contestações procedentes e diferença entre modelo e decisão humana. Métricas apoiam auditoria e melhoria; não produzem perfil fixo de capacidade do estudante.</w:t>
      </w:r>
    </w:p>
    <w:p>
      <w:pPr/>
      <w:r>
        <w:t>Alertas possuem limiar, janela, severidade, responsável, canal, runbook e condição de encerramento. Restaurações de backup e failover são testados periodicamente; cada teste registra RPO, RTO, falhas e ações corretivas.</w:t>
      </w:r>
    </w:p>
    <w:p>
      <w:pPr>
        <w:pStyle w:val="Heading1"/>
        <w:keepNext/>
      </w:pPr>
      <w:r>
        <w:t>4.19 Estratégia de testes e avaliação de prompts</w:t>
      </w:r>
    </w:p>
    <w:p>
      <w:pPr/>
      <w:r>
        <w:t>A entrega exige testes unitários de invariantes e cálculo; testes contratuais de APIs, eventos e JSON; integração entre banco, fila, objetos e provedores simulados; migração e compatibilidade; concorrência e idempotência; carga e backpressure; segurança e isolamento; acessibilidade automatizada e humana; backup e recuperação.</w:t>
      </w:r>
    </w:p>
    <w:p>
      <w:pPr/>
      <w:r>
        <w:t>Prompts são avaliados fora da produção com conjuntos versionados e casos que cobrem gêneros, critérios, variedades linguísticas, ambiguidades, ausência de problema, fenômenos suprassentenciais, conflitos e injeção de prompt. As métricas distinguem precisão do alvo, validade dos códigos, fidelidade à sentença, qualidade do diagnóstico, coerência da orientação, abstenção e estabilidade entre execuções.</w:t>
      </w:r>
    </w:p>
    <w:p>
      <w:pPr/>
      <w:r>
        <w:t>Uma versão somente é publicada quando satisfaz os limites de aceitação registrados e não apresenta regressão crítica. Mudanças de modelo, parâmetros, prompt, contrato ou taxonomia acionam a avaliação pertinente. Amostras de produção para avaliação humana seguem autorização, minimização e anonimização previstas.</w:t>
      </w:r>
    </w:p>
    <w:p>
      <w:pPr>
        <w:pStyle w:val="Heading1"/>
        <w:keepNext/>
      </w:pPr>
      <w:r>
        <w:t>4.20 Implantação, ambientes e evolução</w:t>
      </w:r>
    </w:p>
    <w:p>
      <w:pPr/>
      <w:r>
        <w:t>Desenvolvimento, homologação e produção utilizam dados, credenciais, chaves, filas, bancos e artefatos separados. Artefatos são promovidos por identidade, version e hash; não são recriados manualmente entre ambientes.</w:t>
      </w:r>
    </w:p>
    <w:p>
      <w:pPr/>
      <w:r>
        <w:t>Implantações usam verificação de compatibilidade, migrações expansíveis, feature flags, monitoramento progressivo e rollback. Código novo deve ler registros da versão anterior durante a janela declarada. Migrações destrutivas somente ocorrem após retirada dos leitores antigos, backup verificado e aprovação responsável.</w:t>
      </w:r>
    </w:p>
    <w:p>
      <w:pPr/>
      <w:r>
        <w:t>Capacidades são classificadas como implemented, experimental, disabled, planned ou deprecated, com versão, ambiente, responsável e evidência. O capítulo descreve a arquitetura-alvo; a disponibilidade efetiva de cada recurso é determinada pelo registro versionado da publicação.</w:t>
      </w:r>
    </w:p>
    <w:p>
      <w:pPr>
        <w:pStyle w:val="Heading1"/>
        <w:keepNext/>
      </w:pPr>
      <w:r>
        <w:t>4.21 Critérios arquiteturais de aceitação</w:t>
      </w:r>
    </w:p>
    <w:p>
      <w:pPr/>
      <w:r>
        <w:t>A implementação é aceita quando, no mínimo:</w:t>
      </w:r>
    </w:p>
    <w:p>
      <w:pPr>
        <w:pStyle w:val="ListBullet"/>
      </w:pPr>
      <w:r>
        <w:t>nenhuma chamada a modelo ocorre sem atividade publicada, versões compatíveis, texto íntegro e critérios efetivos resolvidos;</w:t>
      </w:r>
    </w:p>
    <w:p>
      <w:pPr>
        <w:pStyle w:val="ListBullet"/>
      </w:pPr>
      <w:r>
        <w:t>toda intervenção referencia exatamente uma sentença e todo achado global referencia as sentenças que o sustentam;</w:t>
      </w:r>
    </w:p>
    <w:p>
      <w:pPr>
        <w:pStyle w:val="ListBullet"/>
      </w:pPr>
      <w:r>
        <w:t>feedbackGlobal permanece síntese e não contém diagnósticos suprassentenciais não estruturados;</w:t>
      </w:r>
    </w:p>
    <w:p>
      <w:pPr>
        <w:pStyle w:val="ListBullet"/>
      </w:pPr>
      <w:r>
        <w:t>respostas inválidas são impedidas de chegar ao estudante, mas execução, tentativa e erro permanecem auditáveis;</w:t>
      </w:r>
    </w:p>
    <w:p>
      <w:pPr>
        <w:pStyle w:val="ListBullet"/>
      </w:pPr>
      <w:r>
        <w:t>confiança abaixo do limiar produz exatamente a política configurada;</w:t>
      </w:r>
    </w:p>
    <w:p>
      <w:pPr>
        <w:pStyle w:val="ListBullet"/>
      </w:pPr>
      <w:r>
        <w:t>revisão, validação, avaliação, cálculo, decisão e publicação mantêm contratos e estados separados;</w:t>
      </w:r>
    </w:p>
    <w:p>
      <w:pPr>
        <w:pStyle w:val="ListBullet"/>
      </w:pPr>
      <w:r>
        <w:t>a nota calculada é reproduzível a partir da avaliação validada e do Anexo D;</w:t>
      </w:r>
    </w:p>
    <w:p>
      <w:pPr>
        <w:pStyle w:val="ListBullet"/>
      </w:pPr>
      <w:r>
        <w:t>repetição da mesma operação com a mesma chave não duplica submissão, revisão, avaliação, cobrança ou nota;</w:t>
      </w:r>
    </w:p>
    <w:p>
      <w:pPr>
        <w:pStyle w:val="ListBullet"/>
      </w:pPr>
      <w:r>
        <w:t>falhas de fila, banco, provedor ou implantação não eliminam versões textuais confirmadas;</w:t>
      </w:r>
    </w:p>
    <w:p>
      <w:pPr>
        <w:pStyle w:val="ListBullet"/>
      </w:pPr>
      <w:r>
        <w:t>acessos entre instituições, códigos inventados, versões incompatíveis e instruções injetadas no texto são bloqueados e registrados;</w:t>
      </w:r>
    </w:p>
    <w:p>
      <w:pPr>
        <w:pStyle w:val="ListBullet"/>
      </w:pPr>
      <w:r>
        <w:t>reproduções do capítulo 9 correspondem à version e ao hash dos anexos canônicos;</w:t>
      </w:r>
    </w:p>
    <w:p>
      <w:pPr>
        <w:pStyle w:val="ListBullet"/>
      </w:pPr>
      <w:r>
        <w:t>métricas, logs e auditoria permitem investigar a execução sem expor indevidamente o texto do estudante.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4" w:lineRule="auto"/>
      <w:ind w:left="720" w:hanging="360"/>
      <w:contextualSpacing/>
    </w:pPr>
    <w:rPr>
      <w:rFonts w:ascii="Arial" w:hAnsi="Arial"/>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Arquitetura técnica do sistema Textopia_</dc:title>
  <dc:subject>Documentação técnico-pedagógica do Textopia_</dc:subject>
  <dc:creator>Equipe Textopia_</dc:creator>
  <cp:keywords/>
  <dc:description>generated by python-docx</dc:description>
  <cp:lastModifiedBy/>
  <cp:revision>1</cp:revision>
  <dcterms:created xsi:type="dcterms:W3CDTF">2013-12-23T23:15:00Z</dcterms:created>
  <dcterms:modified xsi:type="dcterms:W3CDTF">2013-12-23T23:15:00Z</dcterms:modified>
  <cp:category/>
</cp:coreProperties>
</file>