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Heading1"/>
      </w:pPr>
      <w:r>
        <w:t>7. Ambiente do estudante no Textopia_: submissão, acompanhamento e revisão</w:t>
      </w:r>
    </w:p>
    <w:p>
      <w:pPr>
        <w:pStyle w:val="Heading2"/>
      </w:pPr>
      <w:r>
        <w:t>7.1 Finalidade e escopo</w:t>
      </w:r>
    </w:p>
    <w:p>
      <w:r>
        <w:t>Este capítulo especifica a experiência do estudante desde o acesso à atividade até o encerramento de um ciclo de reescrita. No Textopia_, o estudante é o autor do texto e conserva a responsabilidade por todas as decisões de escrita. O sistema apresenta evidências, diagnósticos e orientações, mas não altera o texto nem substitui o julgamento do autor. O ambiente deve tornar visíveis o estado de cada processo, a próxima ação possível, o responsável por ela e as limitações da análise.</w:t>
      </w:r>
    </w:p>
    <w:p>
      <w:r>
        <w:t>A especificação articula requisitos pedagógicos, linguísticos, funcionais e técnicos. Os princípios pedagógicos orientam a interpretação e a interação; campos, códigos, contratos, estados e versões são regidos pelos anexos técnicos canônicos vigentes.</w:t>
      </w:r>
    </w:p>
    <w:p>
      <w:pPr>
        <w:pStyle w:val="Heading2"/>
      </w:pPr>
      <w:r>
        <w:t>7.2 Princípios da experiência do estudante</w:t>
      </w:r>
    </w:p>
    <w:p>
      <w:pPr>
        <w:ind w:left="360" w:hanging="240"/>
      </w:pPr>
      <w:r>
        <w:t xml:space="preserve">• </w:t>
      </w:r>
      <w:r>
        <w:t>Agência humana: aceitar uma orientação significa concordar com ela como apoio à decisão; nenhuma alteração é aplicada automaticamente. Uma correção somente existe quando o estudante incorpora explicitamente uma alteração a uma nova versão do texto.</w:t>
      </w:r>
    </w:p>
    <w:p>
      <w:pPr>
        <w:ind w:left="360" w:hanging="240"/>
      </w:pPr>
      <w:r>
        <w:t xml:space="preserve">• </w:t>
      </w:r>
      <w:r>
        <w:t>Contestabilidade: o estudante pode aceitar, adaptar, rejeitar ou contestar uma orientação. Essas decisões não reduzem automaticamente a nota e permanecem vinculadas ao achado e à versão analisada.</w:t>
      </w:r>
    </w:p>
    <w:p>
      <w:pPr>
        <w:ind w:left="360" w:hanging="240"/>
      </w:pPr>
      <w:r>
        <w:t xml:space="preserve">• </w:t>
      </w:r>
      <w:r>
        <w:t>Finalidade formativa: o valor pedagógico da revisão se realiza quando o estudante interpreta os achados, decide como agir e produz uma nova versão.</w:t>
      </w:r>
    </w:p>
    <w:p>
      <w:pPr>
        <w:ind w:left="360" w:hanging="240"/>
      </w:pPr>
      <w:r>
        <w:t xml:space="preserve">• </w:t>
      </w:r>
      <w:r>
        <w:t>Seletividade: a revisão é priorizada, adequada ao momento formativo, limitada por ciclo e capaz de agrupar ocorrências recorrentes.</w:t>
      </w:r>
    </w:p>
    <w:p>
      <w:pPr>
        <w:ind w:left="360" w:hanging="240"/>
      </w:pPr>
      <w:r>
        <w:t xml:space="preserve">• </w:t>
      </w:r>
      <w:r>
        <w:t>Transparência: o ambiente diferencia revisão, validação, avaliação e nota, informa limitações, estados e responsabilidades e não apresenta a IA como autoridade final.</w:t>
      </w:r>
    </w:p>
    <w:p>
      <w:pPr>
        <w:ind w:left="360" w:hanging="240"/>
      </w:pPr>
      <w:r>
        <w:t xml:space="preserve">• </w:t>
      </w:r>
      <w:r>
        <w:t>Diversidade linguística: diferenças de variedade não são tratadas automaticamente como deficiência; prescrições normativas são contextualizadas pelo gênero, pela situação comunicativa, pelos objetivos e pelos interlocutores.</w:t>
      </w:r>
    </w:p>
    <w:p>
      <w:pPr>
        <w:ind w:left="360" w:hanging="240"/>
      </w:pPr>
      <w:r>
        <w:t xml:space="preserve">• </w:t>
      </w:r>
      <w:r>
        <w:t>Acessibilidade e inclusão: todas as operações devem ser utilizáveis por teclado e tecnologias assistivas, possuir alternativas não visuais e evitar pressupostos capacitistas.</w:t>
      </w:r>
    </w:p>
    <w:p>
      <w:pPr>
        <w:ind w:left="360" w:hanging="240"/>
      </w:pPr>
      <w:r>
        <w:t xml:space="preserve">• </w:t>
      </w:r>
      <w:r>
        <w:t>Privacidade e segurança: o estudante recebe informação clara sobre finalidade, acesso, retenção, serviços externos e canais para exercer direitos, sem presumir que consentimento seja a única base aplicável ao tratamento.</w:t>
      </w:r>
    </w:p>
    <w:p>
      <w:pPr>
        <w:pStyle w:val="Heading2"/>
      </w:pPr>
      <w:r>
        <w:t>7.3 Jornada do estudante</w:t>
      </w:r>
    </w:p>
    <w:p>
      <w:pPr>
        <w:pStyle w:val="Heading3"/>
      </w:pPr>
      <w:r>
        <w:t>7.3.1 Acesso e painel</w:t>
      </w:r>
    </w:p>
    <w:p>
      <w:r>
        <w:t>O painel apresenta atividades abertas, futuras e encerradas, prazos, pendências, notificações pertinentes e o estado atual de cada trabalho. Cada cartão informa a próxima ação disponível e quem deve realizá-la. Estados vazios distinguem ausência de atividades, ausência de submissões e indisponibilidade temporária. Informações críticas não dependem apenas de cor, ícone ou posição.</w:t>
      </w:r>
    </w:p>
    <w:p>
      <w:pPr>
        <w:pStyle w:val="Heading3"/>
      </w:pPr>
      <w:r>
        <w:t>7.3.2 Leitura da atividade</w:t>
      </w:r>
    </w:p>
    <w:p>
      <w:r>
        <w:t>Antes da submissão, o estudante acessa proposta, objetivos, gênero, interlocutores, finalidade comunicativa, critérios habilitados, limites de intervenção, política de validação, uso eventual de exemplos e existência de avaliação independente. A interface informa a publicação da atividade aplicável à submissão, de modo que alterações posteriores da configuração não modifiquem retroativamente as condições do trabalho.</w:t>
      </w:r>
    </w:p>
    <w:p>
      <w:r>
        <w:t>O conjunto de critérios mostrado resulta da interseção entre o mapeamento canônico do gênero e a seleção docente expressa por enabledCriterionCodes e, quando utilizado, disabledCriterionCodes. Códigos internos podem ser acompanhados de rótulos claros, mas não devem ser inventados pela interface.</w:t>
      </w:r>
    </w:p>
    <w:p>
      <w:pPr>
        <w:pStyle w:val="Heading3"/>
      </w:pPr>
      <w:r>
        <w:t>7.3.3 Produção, salvamento e submissão</w:t>
      </w:r>
    </w:p>
    <w:p>
      <w:r>
        <w:t>O editor distingue rascunho, salvamento e submissão. O salvamento automático informa sucesso, pendência ou falha e permite recuperação após perda de conexão. A interface previne submissões duplicadas por operação idempotente e alerta sobre edições concorrentes em outras abas, sessões ou dispositivos.</w:t>
      </w:r>
    </w:p>
    <w:p>
      <w:r>
        <w:t>A atividade define as modalidades aceitas — texto digitado, texto colado ou arquivo —, os formatos, a codificação, o tamanho máximo e o tratamento de conteúdo incompatível. A confirmação de submissão apresenta data e hora, identificador, versão do texto e resumo das condições aplicáveis. A submissão cria uma TextVersion imutável; versões anteriores nunca são sobrescritas.</w:t>
      </w:r>
    </w:p>
    <w:p>
      <w:pPr>
        <w:pStyle w:val="Heading3"/>
      </w:pPr>
      <w:r>
        <w:t>7.3.4 Acompanhamento do processamento</w:t>
      </w:r>
    </w:p>
    <w:p>
      <w:r>
        <w:t>O estudante acompanha separadamente os estados de submissão, revisão, validação, avaliação e nota. Para cada processo, a interface informa o estado, a próxima ação, seu responsável e, quando cabível, estimativa ou orientação de continuidade. Reprocessamento técnico, nova submissão, nova versão e novo ciclo de revisão são operações distintas.</w:t>
      </w:r>
    </w:p>
    <w:p>
      <w:r>
        <w:t>Mensagens diferenciam: falha recuperável; falha definitiva; saída incompatível com o contrato; retenção para validação humana; abstenção por conflito ou evidência insuficiente; revisão concluída sem achados autorizados; e revisão ainda incompleta. Uma nova tentativa técnica preserva a idempotência e não cria versões ou decisões duplicadas.</w:t>
      </w:r>
    </w:p>
    <w:p>
      <w:pPr>
        <w:pStyle w:val="Heading2"/>
      </w:pPr>
      <w:r>
        <w:t>7.4 Apresentação da revisão</w:t>
      </w:r>
    </w:p>
    <w:p>
      <w:r>
        <w:t>A revisão apresenta três unidades complementares e não intercambiáveis:</w:t>
      </w:r>
    </w:p>
    <w:p>
      <w:pPr>
        <w:ind w:left="360" w:hanging="240"/>
      </w:pPr>
      <w:r>
        <w:t xml:space="preserve">• </w:t>
      </w:r>
      <w:r>
        <w:t>Intervenção sentencial: vinculada a exatamente um sentenceId e apresentada com trecho literal, critério, categoria, problema observável, diagnóstico, orientação, prioridade e estado de validação.</w:t>
      </w:r>
    </w:p>
    <w:p>
      <w:pPr>
        <w:ind w:left="360" w:hanging="240"/>
      </w:pPr>
      <w:r>
        <w:t xml:space="preserve">• </w:t>
      </w:r>
      <w:r>
        <w:t>Achado global estruturado: diagnóstico suprassentencial registrado em achadosGlobais, com ao menos id, criterioCodigo, categoriaCodigo, sentenceIds, diagnostico, orientacao, prioridade e confianca.</w:t>
      </w:r>
    </w:p>
    <w:p>
      <w:pPr>
        <w:ind w:left="360" w:hanging="240"/>
      </w:pPr>
      <w:r>
        <w:t xml:space="preserve">• </w:t>
      </w:r>
      <w:r>
        <w:t>Feedback global sintetizador: síntese do conjunto da revisão, sem funcionar como recipiente de diagnósticos suprassentenciais.</w:t>
      </w:r>
    </w:p>
    <w:p>
      <w:r>
        <w:t>Cada achado separa evidência textual, diagnóstico e orientação. A orientação deve ser coerente com o problema, executável e limitada ao que pode ser sustentado pelo texto e pela atividade. Exemplos são opcionais, explicitamente não obrigatórios e apresentados somente quando ampliam a compreensão.</w:t>
      </w:r>
    </w:p>
    <w:p>
      <w:r>
        <w:t>A interface distingue erro verificável, inadequação ao gênero ou à atividade, ambiguidade, limitação de desenvolvimento e possibilidade opcional de aprimoramento. Também apresenta evidências positivas e informa que a revisão é seletiva, não exaustiva. Ocorrências recorrentes podem ser agrupadas, com acesso aos trechos relacionados, sem transformar repetição em contagem punitiva.</w:t>
      </w:r>
    </w:p>
    <w:p>
      <w:r>
        <w:t>A confiança é um dado do processamento, não um juízo sobre o estudante. O backend a compara ao limiar configurado na atividade e aplica a política vigente de validação, retenção ou abstenção. Conflitos não resolvidos produzem abstenção, nunca interpretação improvisada pelo modelo.</w:t>
      </w:r>
    </w:p>
    <w:p>
      <w:pPr>
        <w:pStyle w:val="Heading2"/>
      </w:pPr>
      <w:r>
        <w:t>7.5 Decisões, contestação e trilha de aprendizagem</w:t>
      </w:r>
    </w:p>
    <w:p>
      <w:r>
        <w:t>Para cada intervenção ou achado global validamente apresentado, o estudante pode aceitar a orientação, adaptá-la, rejeitá-la ou contestá-la. A decisão é explícita, imutável e vinculada ao identificador do achado, à TextVersion e ao autor da decisão. Aceitar não modifica o texto; adaptar registra que a solução adotada difere da orientação; rejeitar conserva a autoria; contestar abre solicitação de análise humana com justificativa opcional.</w:t>
      </w:r>
    </w:p>
    <w:p>
      <w:r>
        <w:t>O sistema preserva uma trilha auditável sem confundir decisão pedagógica, permissão técnica e alteração textual. O estudante pode consultar suas decisões e o resultado da contestação. Permissões de visualizar, editar, reenviar, excluir ou compartilhar dependem do estado e da política institucional e são apresentadas antes da ação.</w:t>
      </w:r>
    </w:p>
    <w:p>
      <w:r>
        <w:t>Indicadores de processo podem registrar leitura dos achados, decisões, justificativas, padrões de reescrita e evolução entre versões. Esses indicadores apoiam a autorregulação e não reduzem aprendizagem à nota, ao número de correções ou ao número de cliques.</w:t>
      </w:r>
    </w:p>
    <w:p>
      <w:pPr>
        <w:pStyle w:val="Heading2"/>
      </w:pPr>
      <w:r>
        <w:t>7.6 Reescrita e versionamento</w:t>
      </w:r>
    </w:p>
    <w:p>
      <w:r>
        <w:t>A reescrita parte de uma versão identificada e produz outra TextVersion imutável mediante decisão do autor. A comparação entre versões indica inclusões, exclusões e alterações, preserva o acesso ao texto literal anterior e relaciona, quando possível, decisões e achados às mudanças realizadas. O sistema não presume que toda mudança decorra de uma orientação.</w:t>
      </w:r>
    </w:p>
    <w:p>
      <w:r>
        <w:t>A segmentação segue o contrato canônico: hash do texto, paragraphId, sentenceId, offsets de início e fim e conteúdo literal. Achados permanecem vinculados à versão analisada. Quando uma edição altera offsets ou segmentação, o sistema não reaproveita silenciosamente a localização anterior; ele mantém o histórico e exige novo processamento quando necessário.</w:t>
      </w:r>
    </w:p>
    <w:p>
      <w:r>
        <w:t>Um ciclo formativo é concluído quando a nova versão é registrada e as operações exigidas pela atividade atingem estados finais válidos. Conclusão do ciclo, encerramento da atividade, término da avaliação e publicação da nota são eventos distintos.</w:t>
      </w:r>
    </w:p>
    <w:p>
      <w:pPr>
        <w:pStyle w:val="Heading2"/>
      </w:pPr>
      <w:r>
        <w:t>7.7 Avaliação e nota</w:t>
      </w:r>
    </w:p>
    <w:p>
      <w:r>
        <w:t>Revisão, validação da revisão, orientação pedagógica, avaliação rubricada e decisão sobre a nota são operações separadas. A avaliação considera o texto completo, evidências positivas, achados validados, recorrência e limitações, sem converter a quantidade de problemas em desconto automático.</w:t>
      </w:r>
    </w:p>
    <w:p>
      <w:r>
        <w:t>A nota calculada é o resultado determinístico produzido pelo backend conforme a rubrica, os níveis, os pesos e a fórmula canônica. A decisão docente confirma, modifica ou rejeita esse resultado. A nota publicada é o resultado liberado ao estudante após decisão docente válida. O ambiente mostra cada etapa separadamente e nunca apresenta cálculo provisório como nota final.</w:t>
      </w:r>
    </w:p>
    <w:p>
      <w:r>
        <w:t>A contestação de uma orientação, por si só, não afeta a nota. Quando a atividade não possui avaliação, o ambiente não exibe componentes de nota. Quando possui, a avaliação utiliza fluxo e permissões próprios, relacionados à submissão e à versão avaliadas.</w:t>
      </w:r>
    </w:p>
    <w:p>
      <w:pPr>
        <w:pStyle w:val="Heading2"/>
      </w:pPr>
      <w:r>
        <w:t>7.8 Situações excepcionais</w:t>
      </w:r>
    </w:p>
    <w:p>
      <w:pPr>
        <w:ind w:left="360" w:hanging="240"/>
      </w:pPr>
      <w:r>
        <w:t xml:space="preserve">• </w:t>
      </w:r>
      <w:r>
        <w:t>Prazo encerrado com rascunho: o sistema preserva o conteúdo salvo, bloqueia ou permite a submissão conforme a política e informa a consequência antes de qualquer ação.</w:t>
      </w:r>
    </w:p>
    <w:p>
      <w:pPr>
        <w:ind w:left="360" w:hanging="240"/>
      </w:pPr>
      <w:r>
        <w:t xml:space="preserve">• </w:t>
      </w:r>
      <w:r>
        <w:t>Processamento interrompido: o estudante recebe estado específico, preservação dos dados e opção de nova tentativa técnica quando autorizada.</w:t>
      </w:r>
    </w:p>
    <w:p>
      <w:pPr>
        <w:ind w:left="360" w:hanging="240"/>
      </w:pPr>
      <w:r>
        <w:t xml:space="preserve">• </w:t>
      </w:r>
      <w:r>
        <w:t>Baixa confiança ou conflito: a saída é retida, encaminhada à validação humana ou substituída por abstenção conforme a política da atividade.</w:t>
      </w:r>
    </w:p>
    <w:p>
      <w:pPr>
        <w:ind w:left="360" w:hanging="240"/>
      </w:pPr>
      <w:r>
        <w:t xml:space="preserve">• </w:t>
      </w:r>
      <w:r>
        <w:t>Indícios de integridade acadêmica: a comunicação é cautelosa e não acusatória; nenhum resultado automático constitui decisão, e o caso depende de análise humana autorizada.</w:t>
      </w:r>
    </w:p>
    <w:p>
      <w:pPr>
        <w:ind w:left="360" w:hanging="240"/>
      </w:pPr>
      <w:r>
        <w:t xml:space="preserve">• </w:t>
      </w:r>
      <w:r>
        <w:t>Resultado invalidado: a interface informa a natureza da invalidação sem expor dados internos sensíveis, preserva o histórico e não o apresenta como orientação válida.</w:t>
      </w:r>
    </w:p>
    <w:p>
      <w:pPr>
        <w:ind w:left="360" w:hanging="240"/>
      </w:pPr>
      <w:r>
        <w:t xml:space="preserve">• </w:t>
      </w:r>
      <w:r>
        <w:t>Ausência de achados: a interface diferencia revisão concluída sem problemas autorizados de análise limitada, abstenção ou falha.</w:t>
      </w:r>
    </w:p>
    <w:p>
      <w:pPr>
        <w:pStyle w:val="Heading2"/>
      </w:pPr>
      <w:r>
        <w:t>7.9 Acessibilidade, inclusão e linguagem</w:t>
      </w:r>
    </w:p>
    <w:p>
      <w:r>
        <w:t>Todo o fluxo — proposta, editor, submissão, acompanhamento, revisão, decisões, comparação, contestação e nota — deve operar por teclado, possuir foco visível, ordem de navegação coerente, rótulos acessíveis, compatibilidade com leitores de tela, ampliação sem perda de conteúdo e contraste suficiente. Tabelas, gráficos, ícones, cores e comparações visuais possuem alternativas textuais equivalentes.</w:t>
      </w:r>
    </w:p>
    <w:p>
      <w:r>
        <w:t>Mensagens e orientações empregam linguagem clara, respeitosa, específica e não capacitista. O sistema não pressupõe velocidade, modalidade sensorial ou padrão único de interação. O estudante pode solicitar análise humana e contestar orientações inacessíveis, inadequadas à sua variedade linguística ou incompatíveis com a situação comunicativa.</w:t>
      </w:r>
    </w:p>
    <w:p>
      <w:pPr>
        <w:pStyle w:val="Heading2"/>
      </w:pPr>
      <w:r>
        <w:t>7.10 Privacidade, notificações e transparência</w:t>
      </w:r>
    </w:p>
    <w:p>
      <w:r>
        <w:t>Antes do tratamento, o ambiente informa finalidade, categorias de dados, destinatários autorizados, serviços externos, período ou critério de retenção, medidas pertinentes e canais para acesso, correção, contestação e demais direitos. Controles de privacidade são compatíveis com a base jurídica e com a política institucional aplicáveis.</w:t>
      </w:r>
    </w:p>
    <w:p>
      <w:r>
        <w:t>Notificações são pertinentes ao fluxo, configuráveis quando possível e não revelam conteúdo sensível em canais externos. O estudante pode consultar histórico de eventos relevantes, versões, decisões e responsáveis sem receber dados restritos de outros participantes.</w:t>
      </w:r>
    </w:p>
    <w:p>
      <w:pPr>
        <w:pStyle w:val="Heading2"/>
      </w:pPr>
      <w:r>
        <w:t>7.11 Requisitos funcionais e critérios de aceitação</w:t>
      </w:r>
    </w:p>
    <w:p>
      <w:pPr>
        <w:ind w:left="360" w:hanging="240"/>
      </w:pPr>
      <w:r>
        <w:t xml:space="preserve">• </w:t>
      </w:r>
      <w:r>
        <w:t>Cada tela apresenta estado atual, próxima ação permitida e responsável pela ação.</w:t>
      </w:r>
    </w:p>
    <w:p>
      <w:pPr>
        <w:ind w:left="360" w:hanging="240"/>
      </w:pPr>
      <w:r>
        <w:t xml:space="preserve">• </w:t>
      </w:r>
      <w:r>
        <w:t>Nenhuma orientação altera automaticamente o texto; toda nova versão depende de ação explícita do estudante.</w:t>
      </w:r>
    </w:p>
    <w:p>
      <w:pPr>
        <w:ind w:left="360" w:hanging="240"/>
      </w:pPr>
      <w:r>
        <w:t xml:space="preserve">• </w:t>
      </w:r>
      <w:r>
        <w:t>Intervenções sentenciais, achados globais e feedback global são exibidos como unidades distintas e vinculados à versão correta.</w:t>
      </w:r>
    </w:p>
    <w:p>
      <w:pPr>
        <w:ind w:left="360" w:hanging="240"/>
      </w:pPr>
      <w:r>
        <w:t xml:space="preserve">• </w:t>
      </w:r>
      <w:r>
        <w:t>Estados da interface correspondem às máquinas canônicas de atividade, submissão, revisão, validação, avaliação e nota.</w:t>
      </w:r>
    </w:p>
    <w:p>
      <w:pPr>
        <w:ind w:left="360" w:hanging="240"/>
      </w:pPr>
      <w:r>
        <w:t xml:space="preserve">• </w:t>
      </w:r>
      <w:r>
        <w:t>Operações repetidas de salvamento, submissão ou reprocessamento não criam duplicidades.</w:t>
      </w:r>
    </w:p>
    <w:p>
      <w:pPr>
        <w:ind w:left="360" w:hanging="240"/>
      </w:pPr>
      <w:r>
        <w:t xml:space="preserve">• </w:t>
      </w:r>
      <w:r>
        <w:t>A interface distingue falha, retenção, abstenção, ausência de achados e processamento em curso.</w:t>
      </w:r>
    </w:p>
    <w:p>
      <w:pPr>
        <w:ind w:left="360" w:hanging="240"/>
      </w:pPr>
      <w:r>
        <w:t xml:space="preserve">• </w:t>
      </w:r>
      <w:r>
        <w:t>Decisões e contestações permanecem auditáveis e não alteram automaticamente a avaliação.</w:t>
      </w:r>
    </w:p>
    <w:p>
      <w:pPr>
        <w:ind w:left="360" w:hanging="240"/>
      </w:pPr>
      <w:r>
        <w:t xml:space="preserve">• </w:t>
      </w:r>
      <w:r>
        <w:t>Todos os fluxos críticos passam por testes de teclado, leitor de tela, contraste, ampliação e alternativas não visuais.</w:t>
      </w:r>
    </w:p>
    <w:p>
      <w:pPr>
        <w:ind w:left="360" w:hanging="240"/>
      </w:pPr>
      <w:r>
        <w:t xml:space="preserve">• </w:t>
      </w:r>
      <w:r>
        <w:t>A versão e o hash dos contratos canônicos aplicáveis são verificados na publicação e no processamento.</w:t>
      </w:r>
    </w:p>
    <w:p>
      <w:pPr>
        <w:pStyle w:val="Heading2"/>
      </w:pPr>
      <w:r>
        <w:t>7.12 Artefatos de implementação</w:t>
      </w:r>
    </w:p>
    <w:p>
      <w:r>
        <w:t>A implementação deve manter, como artefatos derivados desta especificação: mapa da jornada; wireframes anotados; matriz de permissões por estado; catálogo de mensagens, falhas e estados vazios; matriz de notificações; casos de uso; critérios de aceitação; testes de acessibilidade; e rastreabilidade entre componentes da interface, entidades do domínio, máquinas de estados e contratos canônicos.</w:t>
      </w:r>
    </w:p>
    <w:p>
      <w:pPr>
        <w:pStyle w:val="Heading2"/>
      </w:pPr>
      <w:r>
        <w:t>7.13 Relação com as fontes canônicas</w:t>
      </w:r>
    </w:p>
    <w:p>
      <w:r>
        <w:t>Este capítulo descreve a experiência do estudante e não duplica contratos técnicos. O modelo de domínio, a segmentação, os esquemas JSON, as rubricas, as máquinas de estados, os códigos de critérios e categorias e as regras de versionamento pertencem aos anexos canônicos vigentes. Em caso de conflito, prevalecem esses anexos; conflitos não resolvidos impedem o processamento e produzem abstenção ou encaminhamento humano conforme a política aplicável.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before="200" w:line="360" w:lineRule="auto"/>
        <w:ind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