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 Especificação técnica dos módulos de revisão, validação, avaliação e nota do Textopia_</w:t>
      </w:r>
    </w:p>
    <w:p>
      <w:pPr>
        <w:pStyle w:val="Heading1"/>
      </w:pPr>
      <w:r>
        <w:t>9.1 Escopo e responsabilidades</w:t>
      </w:r>
    </w:p>
    <w:p>
      <w:r>
        <w:t>Este capítulo define a integração entre revisão pedagógica automatizada, validação contratual e humana, avaliação rubricada, cálculo determinístico, decisão docente e publicação da nota. As operações possuem contratos, execuções e máquinas de estados independentes, relacionados por identificadores imutáveis. O estudante permanece autor do texto; o modelo produz saídas delimitadas; o backend valida, persiste e calcula; e o professor toma as decisões pedagógicas que lhe competem.</w:t>
      </w:r>
    </w:p>
    <w:p>
      <w:r>
        <w:t>As fontes normativas são: Anexo A, prompt de revisão; Anexo B, prompt de avaliação; Anexo C, gêneros e taxonomias; Anexo D, rubricas, mapeamento e cálculo; Anexo E, domínio, persistência, estados, achados globais e segmentação; e Anexo F, contratos dos módulos. Este capítulo não mantém cópias manuais desses artefatos. As reproduções destinadas ao livro são geradas na publicação mediante versão e SHA-256.</w:t>
      </w:r>
    </w:p>
    <w:p>
      <w:pPr>
        <w:pStyle w:val="Heading1"/>
      </w:pPr>
      <w:r>
        <w:t>9.2 Componentes e fronteiras</w:t>
      </w:r>
    </w:p>
    <w:p>
      <w:pPr>
        <w:pStyle w:val="ListBullet"/>
      </w:pPr>
      <w:r>
        <w:t>API de atividades: resolve a ActivityPublication imutável e sua configuração pedagógica.</w:t>
      </w:r>
    </w:p>
    <w:p>
      <w:pPr>
        <w:pStyle w:val="ListBullet"/>
      </w:pPr>
      <w:r>
        <w:t>Serviço de segmentação: normaliza o texto em NFC, calcula textHash e produz paragraphId, sentenceId, offsets e conteúdo literal.</w:t>
      </w:r>
    </w:p>
    <w:p>
      <w:pPr>
        <w:pStyle w:val="ListBullet"/>
      </w:pPr>
      <w:r>
        <w:t>Registro canônico: fornece prompts, contratos, gêneros, taxonomias, mapeamentos e rubricas publicados, versionados e imutáveis.</w:t>
      </w:r>
    </w:p>
    <w:p>
      <w:pPr>
        <w:pStyle w:val="ListBullet"/>
      </w:pPr>
      <w:r>
        <w:t>Orquestrador de revisão: compõe o contexto, cria execução idempotente e coordena modelo, validação e persistência.</w:t>
      </w:r>
    </w:p>
    <w:p>
      <w:pPr>
        <w:pStyle w:val="ListBullet"/>
      </w:pPr>
      <w:r>
        <w:t>Adaptador de modelo: envia instruções do sistema separadas dos dados não confiáveis e solicita saída estruturada.</w:t>
      </w:r>
    </w:p>
    <w:p>
      <w:pPr>
        <w:pStyle w:val="ListBullet"/>
      </w:pPr>
      <w:r>
        <w:t>Validador contratual e semântico: verifica schema, versões, hashes, códigos, IDs, trechos, limites e invariantes.</w:t>
      </w:r>
    </w:p>
    <w:p>
      <w:pPr>
        <w:pStyle w:val="ListBullet"/>
      </w:pPr>
      <w:r>
        <w:t>Serviço de validação: registra decisões automáticas e humanas sem sobrescrever a saída original.</w:t>
      </w:r>
    </w:p>
    <w:p>
      <w:pPr>
        <w:pStyle w:val="ListBullet"/>
      </w:pPr>
      <w:r>
        <w:t>Serviço de avaliação: compõe o pacote rubricado a partir do texto completo, rubrica e achados em estados autorizados.</w:t>
      </w:r>
    </w:p>
    <w:p>
      <w:pPr>
        <w:pStyle w:val="ListBullet"/>
      </w:pPr>
      <w:r>
        <w:t>Serviço de cálculo: converte níveis em pontuações e aplica pesos e arredondamento de modo determinístico.</w:t>
      </w:r>
    </w:p>
    <w:p>
      <w:pPr>
        <w:pStyle w:val="ListBullet"/>
      </w:pPr>
      <w:r>
        <w:t>Serviço de decisão e publicação: registra confirmação, modificação ou rejeição docente e libera somente uma nota válida.</w:t>
      </w:r>
    </w:p>
    <w:p>
      <w:pPr>
        <w:pStyle w:val="ListBullet"/>
      </w:pPr>
      <w:r>
        <w:t>Persistência e auditoria: mantém registros append-only, idempotência, correlação, proveniência e isolamento institucional.</w:t>
      </w:r>
    </w:p>
    <w:p>
      <w:pPr>
        <w:pStyle w:val="Heading1"/>
      </w:pPr>
      <w:r>
        <w:t>9.3 Resolução do contexto autorizado</w:t>
      </w:r>
    </w:p>
    <w:p>
      <w:r>
        <w:t>Antes de chamar qualquer modelo, o backend valida autenticação, autorização, institutionId, activityPublicationId, textVersionId, tamanho e tipo do conteúdo. A publicação da atividade determina gênero, objetivos, instruções, política de revisão, rubrica e critérios habilitados. O conjunto efetivo de critérios é calculado conforme o Anexo E: (mapeados para o gênero ∩ habilitados) − desabilitados.</w:t>
      </w:r>
    </w:p>
    <w:p>
      <w:r>
        <w:t>O backend recupera somente artefatos com estado published e combinação declarada como compatível. Ausência, hash divergente, código desconhecido, conjunto efetivo vazio ou conflito de precedência bloqueia a chamada. O sistema registra versões e hashes da atividade, texto, segmentação, prompts, contratos, catálogo de gêneros, taxonomia, mapeamentos, rubrica e modelo.</w:t>
      </w:r>
    </w:p>
    <w:p>
      <w:r>
        <w:t>Texto do estudante, instruções docentes e conteúdos recuperados são delimitados como dados não confiáveis. Eles não podem substituir instruções do sistema, ampliar a taxonomia, alterar schemas, solicitar segredos ou introduzir propriedades executáveis.</w:t>
      </w:r>
    </w:p>
    <w:p>
      <w:pPr>
        <w:pStyle w:val="Heading1"/>
      </w:pPr>
      <w:r>
        <w:t>9.4 Segmentação e integridade textual</w:t>
      </w:r>
    </w:p>
    <w:p>
      <w:r>
        <w:t>A revisão consome o contrato canônico de segmentação do Anexo E. O texto é normalizado em NFC; offsets usam intervalos semiabertos sobre pontos de código Unicode; e conteudoLiteral corresponde exatamente ao intervalo indicado. Cada nova TextVersion é segmentada novamente, sem transportar sentenceIds por similaridade.</w:t>
      </w:r>
    </w:p>
    <w:p>
      <w:r>
        <w:t>Divergência entre textVersionId, textHash, offsets, sentenceId e conteúdo literal interrompe a execução antes do modelo ou invalida sua saída. Intervenções citam exatamente uma sentença. Fenômenos apoiados por mais de uma sentença pertencem a achadosGlobais.</w:t>
      </w:r>
    </w:p>
    <w:p>
      <w:pPr>
        <w:pStyle w:val="Heading1"/>
      </w:pPr>
      <w:r>
        <w:t>9.5 Composição do prompt de revisão</w:t>
      </w:r>
    </w:p>
    <w:p>
      <w:r>
        <w:t>O orquestrador preenche exclusivamente as variáveis declaradas no Anexo A. A composição inclui identificadores, versões, gênero, objetivos, instruções, regras docentes autorizadas, escopo, limiar de confiança, taxonomia efetiva, mapa de sentenças e texto. Variáveis ausentes ou incompatíveis impedem a chamada.</w:t>
      </w:r>
    </w:p>
    <w:p>
      <w:r>
        <w:t>Limites de tamanho, quantidade de intervenções, agrupamento de recorrências e uso opcional de exemplos são obtidos da ActivityPublication. Exemplos nunca são obrigatórios. A seleção de contexto deve ser mínima, mas não pode omitir informações necessárias à interpretação do gênero, da atividade ou da rubrica.</w:t>
      </w:r>
    </w:p>
    <w:p>
      <w:pPr>
        <w:pStyle w:val="Heading1"/>
      </w:pPr>
      <w:r>
        <w:t>9.6 Fluxo da revisão</w:t>
      </w:r>
    </w:p>
    <w:p>
      <w:pPr>
        <w:pStyle w:val="ListBullet"/>
      </w:pPr>
      <w:r>
        <w:t>Validar requisição, permissão, idempotencyKey e máquina de estados.</w:t>
      </w:r>
    </w:p>
    <w:p>
      <w:pPr>
        <w:pStyle w:val="ListBullet"/>
      </w:pPr>
      <w:r>
        <w:t>Resolver a publicação da atividade e a combinação compatível de artefatos.</w:t>
      </w:r>
    </w:p>
    <w:p>
      <w:pPr>
        <w:pStyle w:val="ListBullet"/>
      </w:pPr>
      <w:r>
        <w:t>Segmentar ou recuperar segmentação verificada da TextVersion.</w:t>
      </w:r>
    </w:p>
    <w:p>
      <w:pPr>
        <w:pStyle w:val="ListBullet"/>
      </w:pPr>
      <w:r>
        <w:t>Criar RevisionExecution imutável, com correlationId, versões, hashes e estado inicial.</w:t>
      </w:r>
    </w:p>
    <w:p>
      <w:pPr>
        <w:pStyle w:val="ListBullet"/>
      </w:pPr>
      <w:r>
        <w:t>Compor o prompt e solicitar saída estruturada segundo o Anexo F.</w:t>
      </w:r>
    </w:p>
    <w:p>
      <w:pPr>
        <w:pStyle w:val="ListBullet"/>
      </w:pPr>
      <w:r>
        <w:t>Validar JSON, schema e invariantes semânticos.</w:t>
      </w:r>
    </w:p>
    <w:p>
      <w:pPr>
        <w:pStyle w:val="ListBullet"/>
      </w:pPr>
      <w:r>
        <w:t>Aplicar limiar de confiança e política explícita de disponibilização, retenção ou abstenção.</w:t>
      </w:r>
    </w:p>
    <w:p>
      <w:pPr>
        <w:pStyle w:val="ListBullet"/>
      </w:pPr>
      <w:r>
        <w:t>Persistir saída original, eventos e limitações; nunca sobrescrever resultado anterior.</w:t>
      </w:r>
    </w:p>
    <w:p>
      <w:pPr>
        <w:pStyle w:val="ListBullet"/>
      </w:pPr>
      <w:r>
        <w:t>Encaminhar a execução válida à máquina de validação do Anexo E.</w:t>
      </w:r>
    </w:p>
    <w:p>
      <w:r>
        <w:t>Falhas transitórias podem ser repetidas conforme política versionada, com espera progressiva, limite temporal, idempotência e registro de cada tentativa. Timeout, recusa, truncamento, indisponibilidade, saída inválida e falha de persistência possuem códigos distintos. Uma nova tentativa da mesma operação não cria nova versão textual nem duplica decisões.</w:t>
      </w:r>
    </w:p>
    <w:p>
      <w:pPr>
        <w:pStyle w:val="Heading1"/>
      </w:pPr>
      <w:r>
        <w:t>9.7 Unidades e regras semânticas da revisão</w:t>
      </w:r>
    </w:p>
    <w:p>
      <w:pPr>
        <w:pStyle w:val="ListBullet"/>
      </w:pPr>
      <w:r>
        <w:t>Intervenção sentencial: exatamente um sentenceId, trecho literal e diagnóstico observável.</w:t>
      </w:r>
    </w:p>
    <w:p>
      <w:pPr>
        <w:pStyle w:val="ListBullet"/>
      </w:pPr>
      <w:r>
        <w:t>Achado global estruturado: um ou mais sentenceIds que sustentam fenômeno suprassentencial.</w:t>
      </w:r>
    </w:p>
    <w:p>
      <w:pPr>
        <w:pStyle w:val="ListBullet"/>
      </w:pPr>
      <w:r>
        <w:t>Feedback global: síntese de pontos fortes, prioridades, comentário e limitações; não recebe diagnósticos suprassentenciais.</w:t>
      </w:r>
    </w:p>
    <w:p>
      <w:pPr>
        <w:pStyle w:val="ListBullet"/>
      </w:pPr>
      <w:r>
        <w:t>Evidência, diagnóstico e orientação permanecem distinguíveis; orientação é coerente, executável e sustentada pelo texto e pela atividade.</w:t>
      </w:r>
    </w:p>
    <w:p>
      <w:pPr>
        <w:pStyle w:val="ListBullet"/>
      </w:pPr>
      <w:r>
        <w:t>IDs são únicos em toda a saída; intervenções seguem a ordem textual e referências pertencem à execução.</w:t>
      </w:r>
    </w:p>
    <w:p>
      <w:pPr>
        <w:pStyle w:val="ListBullet"/>
      </w:pPr>
      <w:r>
        <w:t>Prioridade usa baixa, media ou alta; confiança varia de 0 a 1 e não é juízo sobre o estudante.</w:t>
      </w:r>
    </w:p>
    <w:p>
      <w:pPr>
        <w:pStyle w:val="ListBullet"/>
      </w:pPr>
      <w:r>
        <w:t>A saída distingue revisão concluída sem achados de abstenção, retenção, análise incompleta e falha.</w:t>
      </w:r>
    </w:p>
    <w:p>
      <w:pPr>
        <w:pStyle w:val="ListBullet"/>
      </w:pPr>
      <w:r>
        <w:t>Nota, conceito, nível da rubrica e pontuação são proibidos na revisão.</w:t>
      </w:r>
    </w:p>
    <w:p>
      <w:pPr>
        <w:pStyle w:val="Heading1"/>
      </w:pPr>
      <w:r>
        <w:t>9.8 Contrato da revisão e exemplo editorial</w:t>
      </w:r>
    </w:p>
    <w:p>
      <w:r>
        <w:t>O schema normativo é SaidaRevisaoTextopia 2.0.0, definido no Anexo F. Ele inclui metadados de proveniência, status estruturado, limiar e política aplicados, intervencoes, achadosGlobais e feedbackGlobal. Restrições que JSON Schema não expressa são invariantes semânticos obrigatórios do mesmo anexo.</w:t>
      </w:r>
    </w:p>
    <w:p>
      <w:r>
        <w:t>Exemplos exibidos neste capítulo são gerados a partir dos fixtures válidos do Anexo F. O fixture de referência usa promptVersion revisao-1.1.0, códigos semânticos publicados, activityPublicationId, mappingVersion, genreCatalogVersion, segmentationVersion e textHash. Exemplos hipotéticos não executáveis devem ser marcados explicitamente como tais.</w:t>
      </w:r>
    </w:p>
    <w:p>
      <w:pPr>
        <w:pStyle w:val="Heading1"/>
      </w:pPr>
      <w:r>
        <w:t>9.9 Erros e observabilidade segura</w:t>
      </w:r>
    </w:p>
    <w:p>
      <w:r>
        <w:t>O contrato ErroModuloTextopia 2.0.0, no Anexo F, diferencia erro de entrada, autorização, resolução de versão, segmentação, provedor, contrato, semântica, persistência e concorrência. Ele inclui errorId, correlationId, stage, code, retryable, occurredAt e mensagem segura. executionId é opcional quando a falha antecede a execução.</w:t>
      </w:r>
    </w:p>
    <w:p>
      <w:r>
        <w:t>Logs comuns não armazenam texto integral nem saída bruta. Artefatos indispensáveis à investigação permanecem em repositório restrito, criptografado, auditado e submetido a retenção definida. Mensagens destinadas ao usuário são separadas de detalhes técnicos.</w:t>
      </w:r>
    </w:p>
    <w:p>
      <w:pPr>
        <w:pStyle w:val="Heading1"/>
      </w:pPr>
      <w:r>
        <w:t>9.10 Validação automática e humana</w:t>
      </w:r>
    </w:p>
    <w:p>
      <w:r>
        <w:t>A validação automática verifica contrato, versões, hashes, códigos, referências, conteúdo literal, limites, ordenação e política de confiança. A validação humana ocorre somente quando configurada ou exigida pela política. Cada decisão atua sobre uma unidade específica e preserva saída original, autor, data, justificativa, estado anterior e estado posterior.</w:t>
      </w:r>
    </w:p>
    <w:p>
      <w:r>
        <w:t>O pacote RevisaoValidadaTextopia 2.0.0, no Anexo F, possui validationId, activityPublicationId, revisionExecutionId, política aplicada e decisões sobre intervenções, achados globais e feedback global. Estados globais são derivados dos estados individuais; pendente não exige validatedAt, enquanto estados finais exigem ator e data.</w:t>
      </w:r>
    </w:p>
    <w:p>
      <w:r>
        <w:t>Editar significa produzir orientação validada separada; não altera silenciosamente evidência, trecho, critério, categoria ou diagnóstico. Solicitar nova análise cria nova execução relacionada. Contestação do estudante pertence a registro próprio e não modifica retroativamente a validação original.</w:t>
      </w:r>
    </w:p>
    <w:p>
      <w:pPr>
        <w:pStyle w:val="Heading1"/>
      </w:pPr>
      <w:r>
        <w:t>9.11 Preparação da avaliação rubricada</w:t>
      </w:r>
    </w:p>
    <w:p>
      <w:r>
        <w:t>A avaliação usa a mesma TextVersion e ActivityPublication, o texto completo, a rubrica publicada, o mapeamento canônico do Anexo D, evidências positivas, recorrências, achados em estados autorizados e limitações. Achados rejeitados, invalidados, pendentes ou abaixo do limiar aplicável não influenciam a avaliação.</w:t>
      </w:r>
    </w:p>
    <w:p>
      <w:r>
        <w:t>A revisão é fonte de evidências, não tabela de descontos. A quantidade de problemas não é convertida mecanicamente em perda de pontos. Quando a revisão se abstém ou está limitada, essa condição é propagada; o modelo não completa lacunas por inferência improvisada.</w:t>
      </w:r>
    </w:p>
    <w:p>
      <w:pPr>
        <w:pStyle w:val="Heading1"/>
      </w:pPr>
      <w:r>
        <w:t>9.12 Fluxo da avaliação</w:t>
      </w:r>
    </w:p>
    <w:p>
      <w:pPr>
        <w:pStyle w:val="ListBullet"/>
      </w:pPr>
      <w:r>
        <w:t>Validar estado, permissão, idempotência e compatibilidade entre texto, atividade, revisão, rubrica e mapeamento.</w:t>
      </w:r>
    </w:p>
    <w:p>
      <w:pPr>
        <w:pStyle w:val="ListBullet"/>
      </w:pPr>
      <w:r>
        <w:t>Criar GradingExecution imutável e registrar versões, hashes e estados de achados autorizados.</w:t>
      </w:r>
    </w:p>
    <w:p>
      <w:pPr>
        <w:pStyle w:val="ListBullet"/>
      </w:pPr>
      <w:r>
        <w:t>Compor o prompt do Anexo B com dados delimitados e rubrica autorizada.</w:t>
      </w:r>
    </w:p>
    <w:p>
      <w:pPr>
        <w:pStyle w:val="ListBullet"/>
      </w:pPr>
      <w:r>
        <w:t>Solicitar níveis, evidências, justificativas, confiança e limitações, sem cálculo de nota.</w:t>
      </w:r>
    </w:p>
    <w:p>
      <w:pPr>
        <w:pStyle w:val="ListBullet"/>
      </w:pPr>
      <w:r>
        <w:t>Validar schema, cobertura e unicidade dos critérios e pertencimento de cada levelId.</w:t>
      </w:r>
    </w:p>
    <w:p>
      <w:pPr>
        <w:pStyle w:val="ListBullet"/>
      </w:pPr>
      <w:r>
        <w:t>Aplicar política de abstenção por critério ou avaliação indisponível.</w:t>
      </w:r>
    </w:p>
    <w:p>
      <w:pPr>
        <w:pStyle w:val="ListBullet"/>
      </w:pPr>
      <w:r>
        <w:t>Persistir a proposta e encaminhá-la ao cálculo somente quando válida.</w:t>
      </w:r>
    </w:p>
    <w:p>
      <w:pPr>
        <w:pStyle w:val="Heading1"/>
      </w:pPr>
      <w:r>
        <w:t>9.13 Contrato da avaliação rubricada</w:t>
      </w:r>
    </w:p>
    <w:p>
      <w:r>
        <w:t>O schema AvaliacaoRubricadaTextopia 2.0.0 é definido no Anexo F. Ele registra activityPublicationId, textHash, versões e hashes dos artefatos, estado da execução, critérios únicos, evidências referenciáveis, recorrência, confiança, limitações e abstenção por critério. Regras condicionais exigem limitações quando a avaliação está indisponível e cobertura integral dos critérios aplicáveis quando há proposta válida.</w:t>
      </w:r>
    </w:p>
    <w:p>
      <w:pPr>
        <w:pStyle w:val="Heading1"/>
      </w:pPr>
      <w:r>
        <w:t>9.14 Cálculo determinístico</w:t>
      </w:r>
    </w:p>
    <w:p>
      <w:r>
        <w:t>Após validar a avaliação, o backend consulta exclusivamente a rubrica e a fórmula publicadas no Anexo D. Para cada critério aplicável, recupera levelId, pontos, peso e máximo; exclui critérios somente quando allowNotApplicable autoriza; calcula sem arredondamento intermediário; e aplica o arredondamento apenas ao resultado final.</w:t>
      </w:r>
    </w:p>
    <w:p>
      <w:r>
        <w:t>O registro do cálculo contém calculationId, gradingExecutionId, rubricVersion, mappingVersion, inputHash, nota bruta, resultado proposto, regra de arredondamento e estado. Repetir o cálculo com o mesmo inputHash produz o mesmo resultado. Nova avaliação ou rubrica gera cálculo distinto e não sobrescreve o anterior.</w:t>
      </w:r>
    </w:p>
    <w:p>
      <w:pPr>
        <w:pStyle w:val="Heading1"/>
      </w:pPr>
      <w:r>
        <w:t>9.15 Decisão docente e nota publicada</w:t>
      </w:r>
    </w:p>
    <w:p>
      <w:r>
        <w:t>O professor confirma, modifica ou rejeita o resultado calculado. A decisão não altera o cálculo original e registra decisionId, calculationId, ator, data, tipo, valor anterior, valor decidido e justificativa. Modificação ou rejeição exige justificativa; confirmação preserva a identidade entre resultado calculado e decidido.</w:t>
      </w:r>
    </w:p>
    <w:p>
      <w:r>
        <w:t>A nota publicada é um registro separado, liberado somente após decisão docente válida. Ela contém publishedGradeId, decisionId, activityPublicationId, textVersionId, valor, escala, data, responsável e estado. Reabertura, retificação e anulação seguem a máquina de estados do Anexo E, produzem novos eventos e nunca apagam o histórico.</w:t>
      </w:r>
    </w:p>
    <w:p>
      <w:pPr>
        <w:pStyle w:val="Heading1"/>
      </w:pPr>
      <w:r>
        <w:t>9.16 Integridade acadêmica, diversidade e agência</w:t>
      </w:r>
    </w:p>
    <w:p>
      <w:r>
        <w:t>Indícios de integridade acadêmica exigem linguagem cautelosa, acesso restrito e decisão humana; não constituem acusação, prova ou desconto automático. Diferenças de variedade linguística não são tratadas automaticamente como deficiência. Prescrições dependem de gênero, situação comunicativa, objetivos e interlocutores.</w:t>
      </w:r>
    </w:p>
    <w:p>
      <w:r>
        <w:t>O estudante pode aceitar, adaptar, rejeitar ou contestar orientações. Essas decisões não alteram automaticamente a avaliação ou a nota. Uma correção somente existe quando o autor incorpora uma alteração em nova TextVersion.</w:t>
      </w:r>
    </w:p>
    <w:p>
      <w:pPr>
        <w:pStyle w:val="Heading1"/>
      </w:pPr>
      <w:r>
        <w:t>9.17 Segurança e privacidade</w:t>
      </w:r>
    </w:p>
    <w:p>
      <w:pPr>
        <w:pStyle w:val="ListBullet"/>
      </w:pPr>
      <w:r>
        <w:t>Classificar e minimizar dados por finalidade, sem omitir contexto indispensável à análise.</w:t>
      </w:r>
    </w:p>
    <w:p>
      <w:pPr>
        <w:pStyle w:val="ListBullet"/>
      </w:pPr>
      <w:r>
        <w:t>Separar instruções do sistema, configuração autorizada e dados não confiáveis.</w:t>
      </w:r>
    </w:p>
    <w:p>
      <w:pPr>
        <w:pStyle w:val="ListBullet"/>
      </w:pPr>
      <w:r>
        <w:t>Impedir que conteúdo recuperado amplie permissões, taxonomias ou schemas.</w:t>
      </w:r>
    </w:p>
    <w:p>
      <w:pPr>
        <w:pStyle w:val="ListBullet"/>
      </w:pPr>
      <w:r>
        <w:t>Aplicar isolamento por institutionId e autorização em todas as consultas e relacionamentos.</w:t>
      </w:r>
    </w:p>
    <w:p>
      <w:pPr>
        <w:pStyle w:val="ListBullet"/>
      </w:pPr>
      <w:r>
        <w:t>Criptografar artefatos restritos, limitar acesso e aplicar retenção verificável.</w:t>
      </w:r>
    </w:p>
    <w:p>
      <w:pPr>
        <w:pStyle w:val="ListBullet"/>
      </w:pPr>
      <w:r>
        <w:t>Mascarar telemetria e separar mensagens públicas de detalhes técnicos.</w:t>
      </w:r>
    </w:p>
    <w:p>
      <w:pPr>
        <w:pStyle w:val="Heading1"/>
      </w:pPr>
      <w:r>
        <w:t>9.18 Idempotência, concorrência e transações</w:t>
      </w:r>
    </w:p>
    <w:p>
      <w:r>
        <w:t>Operações de publicação, revisão, validação, avaliação, cálculo, decisão e nota exigem idempotencyKey quando capazes de duplicar efeitos. Restrições de unicidade e controle otimista impedem execuções ou decisões concorrentes incompatíveis. Persistência do resultado e transição de estado ocorrem atomicamente; falha parcial não publica artefato incompleto.</w:t>
      </w:r>
    </w:p>
    <w:p>
      <w:pPr>
        <w:pStyle w:val="Heading1"/>
      </w:pPr>
      <w:r>
        <w:t>9.19 Testes e critérios operacionais</w:t>
      </w:r>
    </w:p>
    <w:p>
      <w:pPr>
        <w:pStyle w:val="ListBullet"/>
      </w:pPr>
      <w:r>
        <w:t>Testes de contrato para payloads válidos, inválidos e todas as combinações de versões admitidas.</w:t>
      </w:r>
    </w:p>
    <w:p>
      <w:pPr>
        <w:pStyle w:val="ListBullet"/>
      </w:pPr>
      <w:r>
        <w:t>Testes de propriedade para normalização, offsets, hashes e conteúdo literal.</w:t>
      </w:r>
    </w:p>
    <w:p>
      <w:pPr>
        <w:pStyle w:val="ListBullet"/>
      </w:pPr>
      <w:r>
        <w:t>Testes semânticos para códigos, IDs, ordenação, limites, abstenção e estados condicionais.</w:t>
      </w:r>
    </w:p>
    <w:p>
      <w:pPr>
        <w:pStyle w:val="ListBullet"/>
      </w:pPr>
      <w:r>
        <w:t>Testes de idempotência, concorrência, repetição, timeout e recuperação de falhas.</w:t>
      </w:r>
    </w:p>
    <w:p>
      <w:pPr>
        <w:pStyle w:val="ListBullet"/>
      </w:pPr>
      <w:r>
        <w:t>Testes de segurança contra injeção direta e indireta, vazamento entre instituições e conteúdo executável.</w:t>
      </w:r>
    </w:p>
    <w:p>
      <w:pPr>
        <w:pStyle w:val="ListBullet"/>
      </w:pPr>
      <w:r>
        <w:t>Testes pedagógico-linguísticos por gênero, variedade, critério e grupo, incluindo falsos positivos e linguagem acusatória.</w:t>
      </w:r>
    </w:p>
    <w:p>
      <w:pPr>
        <w:pStyle w:val="ListBullet"/>
      </w:pPr>
      <w:r>
        <w:t>Testes de cálculo, reabertura, retificação, anulação e publicação da nota.</w:t>
      </w:r>
    </w:p>
    <w:p>
      <w:r>
        <w:t>A observabilidade mede latência, custo, tokens, falhas, tentativas, abstenções, retenções, divergências, alterações docentes e vieses. Limites operacionais e orçamentos são configurados por política; regressões acima dos limites bloqueiam a publicação de nova combinação de artefatos.</w:t>
      </w:r>
    </w:p>
    <w:p>
      <w:pPr>
        <w:pStyle w:val="Heading1"/>
      </w:pPr>
      <w:r>
        <w:t>9.20 Versionamento, compatibilidade e publicação</w:t>
      </w:r>
    </w:p>
    <w:p>
      <w:r>
        <w:t>Cada artefato possui versão semântica independente. Mudança incompatível exige nova versão principal; mudança compatível de capacidade exige versão secundária; correção sem alteração de contrato exige versão de correção. O registro de compatibilidade declara combinações aceitas e seus hashes. Migradores são explícitos, testados e nunca misturam objetos sem identificação.</w:t>
      </w:r>
    </w:p>
    <w:p>
      <w:r>
        <w:t>Na publicação do livro, o processo extrai dos Anexos A, B e F os artefatos marcados para reprodução, normaliza LF, calcula SHA-256 e compara versão, hash e status. A divergência interrompe a publicação. O capítulo-fonte contém apenas marcadores editoriais; o artefato compilado recebe reproduções identificadas como geradas e verificadas.</w:t>
      </w:r>
    </w:p>
    <w:p>
      <w:pPr>
        <w:pStyle w:val="Heading1"/>
      </w:pPr>
      <w:r>
        <w:t>9.21 Critérios de aceitação da implementação</w:t>
      </w:r>
    </w:p>
    <w:p>
      <w:pPr>
        <w:pStyle w:val="ListBullet"/>
      </w:pPr>
      <w:r>
        <w:t>Nenhuma chamada ocorre com artefatos ausentes, incompatíveis ou sem hash verificado.</w:t>
      </w:r>
    </w:p>
    <w:p>
      <w:pPr>
        <w:pStyle w:val="ListBullet"/>
      </w:pPr>
      <w:r>
        <w:t>Toda saída é vinculada à ActivityPublication e TextVersion exatas.</w:t>
      </w:r>
    </w:p>
    <w:p>
      <w:pPr>
        <w:pStyle w:val="ListBullet"/>
      </w:pPr>
      <w:r>
        <w:t>Saída original, validação, avaliação, cálculo, decisão e nota permanecem imutáveis e auditáveis.</w:t>
      </w:r>
    </w:p>
    <w:p>
      <w:pPr>
        <w:pStyle w:val="ListBullet"/>
      </w:pPr>
      <w:r>
        <w:t>Estados e transições correspondem às máquinas canônicas do Anexo E.</w:t>
      </w:r>
    </w:p>
    <w:p>
      <w:pPr>
        <w:pStyle w:val="ListBullet"/>
      </w:pPr>
      <w:r>
        <w:t>Abstenção, retenção, falha e ausência de achados são estados distinguíveis.</w:t>
      </w:r>
    </w:p>
    <w:p>
      <w:pPr>
        <w:pStyle w:val="ListBullet"/>
      </w:pPr>
      <w:r>
        <w:t>Achados não autorizados ou invalidados nunca influenciam a avaliação.</w:t>
      </w:r>
    </w:p>
    <w:p>
      <w:pPr>
        <w:pStyle w:val="ListBullet"/>
      </w:pPr>
      <w:r>
        <w:t>O modelo não calcula nota e nenhuma nota é publicada sem decisão docente válida.</w:t>
      </w:r>
    </w:p>
    <w:p>
      <w:pPr>
        <w:pStyle w:val="ListBullet"/>
      </w:pPr>
      <w:r>
        <w:t>Operações repetidas ou concorrentes não produzem duplicidades.</w:t>
      </w:r>
    </w:p>
    <w:p>
      <w:pPr>
        <w:pStyle w:val="ListBullet"/>
      </w:pPr>
      <w:r>
        <w:t>Os fixtures dos anexos validam contra os schemas publicados.</w:t>
      </w:r>
    </w:p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29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