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 Apêndice: histórico da especificação técnico-pedagógica do Textopia_</w:t>
      </w:r>
    </w:p>
    <w:p>
      <w:r>
        <w:t>Estado: histórico, informativo e não normativo. Versão editorial: historico-2.0.0.</w:t>
      </w:r>
    </w:p>
    <w:p>
      <w:pPr>
        <w:pStyle w:val="Heading1"/>
      </w:pPr>
      <w:r>
        <w:t>13.1 Finalidade</w:t>
      </w:r>
    </w:p>
    <w:p>
      <w:r>
        <w:t>Este apêndice registra decisões e mudanças que explicam a forma atual da documentação. Não reproduz contratos obsoletos nem substitui capítulos e anexos vigentes. A implementação consulta as fontes canônicas publicadas e seus manifests de versão e hash.</w:t>
      </w:r>
    </w:p>
    <w:p>
      <w:pPr>
        <w:pStyle w:val="Heading1"/>
      </w:pPr>
      <w:r>
        <w:t>13.2 Linha de evolução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76"/>
            <w:shd w:fill="E8ECEF"/>
          </w:tcPr>
          <w:p>
            <w:pPr>
              <w:jc w:val="left"/>
            </w:pPr>
            <w:r>
              <w:rPr>
                <w:b/>
              </w:rPr>
              <w:t>Marco</w:t>
            </w:r>
          </w:p>
        </w:tc>
        <w:tc>
          <w:tcPr>
            <w:tcW w:type="dxa" w:w="6984"/>
            <w:shd w:fill="E8ECEF"/>
          </w:tcPr>
          <w:p>
            <w:pPr>
              <w:jc w:val="left"/>
            </w:pPr>
            <w:r>
              <w:rPr>
                <w:b/>
              </w:rPr>
              <w:t>Síntese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Especificação inicial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Revisão, avaliação e nota apareciam excessivamente acopladas; exemplos e regras eram repetidos.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Consolidação pedagógica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Autoria, contestabilidade, diversidade linguística, seletividade e aprendizagem por reescrita foram explicitadas.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Arquitetura estruturada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Intervenção sentencial, achado global estruturado e feedback global sintetizador tornaram-se unidades distintas.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Domínio canônico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ActivityPublication, TextVersion, segmentação, estados e persistência imutável foram formalizados.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Avaliação e nota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Modelo seleciona níveis; backend calcula; professor decide; nota publicada é registro separado.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Governança e produto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Ambientes de estudante e professor, gestão, marca e roteiro passaram a conter requisitos verificáveis.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Atualização 2.0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Prompts A e B, domínio E e contratos F foram alinhados às versões 2.0.0; rubricas D passaram a 1.1.0.</w:t>
            </w:r>
          </w:p>
        </w:tc>
      </w:tr>
    </w:tbl>
    <w:p>
      <w:pPr>
        <w:pStyle w:val="Heading1"/>
      </w:pPr>
      <w:r>
        <w:t>13.3 Alterações consolidadas nos capítulos 1–12</w:t>
      </w:r>
    </w:p>
    <w:p>
      <w:pPr>
        <w:ind w:left="360" w:hanging="240"/>
      </w:pPr>
      <w:r>
        <w:t xml:space="preserve">• </w:t>
      </w:r>
      <w:r>
        <w:t>Capítulos 1 e 2: fundamentos, agência humana, aprendizagem, feedback e operações pedagógicas distintas.</w:t>
      </w:r>
    </w:p>
    <w:p>
      <w:pPr>
        <w:ind w:left="360" w:hanging="240"/>
      </w:pPr>
      <w:r>
        <w:t xml:space="preserve">• </w:t>
      </w:r>
      <w:r>
        <w:t>Capítulos 3 e 4: visão funcional, arquitetura, domínio, segurança, versões e eficiência operacional.</w:t>
      </w:r>
    </w:p>
    <w:p>
      <w:pPr>
        <w:ind w:left="360" w:hanging="240"/>
      </w:pPr>
      <w:r>
        <w:t xml:space="preserve">• </w:t>
      </w:r>
      <w:r>
        <w:t>Capítulos 5 e 6: revisão seletiva, achadosGlobais, gênero, contexto, GSP, critérios e diversidade linguística.</w:t>
      </w:r>
    </w:p>
    <w:p>
      <w:pPr>
        <w:ind w:left="360" w:hanging="240"/>
      </w:pPr>
      <w:r>
        <w:t xml:space="preserve">• </w:t>
      </w:r>
      <w:r>
        <w:t>Capítulos 7 e 8: jornadas completas do estudante e do professor, estados, decisões, acessibilidade e privacidade.</w:t>
      </w:r>
    </w:p>
    <w:p>
      <w:pPr>
        <w:ind w:left="360" w:hanging="240"/>
      </w:pPr>
      <w:r>
        <w:t xml:space="preserve">• </w:t>
      </w:r>
      <w:r>
        <w:t>Capítulo 9: integração de revisão, validação, avaliação, cálculo, decisão e nota; contratos transferidos ao Anexo F.</w:t>
      </w:r>
    </w:p>
    <w:p>
      <w:pPr>
        <w:ind w:left="360" w:hanging="240"/>
      </w:pPr>
      <w:r>
        <w:t xml:space="preserve">• </w:t>
      </w:r>
      <w:r>
        <w:t>Capítulo 10: governança institucional, isolamento, identidade, operação, auditoria, qualidade e suporte.</w:t>
      </w:r>
    </w:p>
    <w:p>
      <w:pPr>
        <w:ind w:left="360" w:hanging="240"/>
      </w:pPr>
      <w:r>
        <w:t xml:space="preserve">• </w:t>
      </w:r>
      <w:r>
        <w:t>Capítulo 11: manual de marca, design system, padrões pedagógicos visuais e projeto editorial.</w:t>
      </w:r>
    </w:p>
    <w:p>
      <w:pPr>
        <w:ind w:left="360" w:hanging="240"/>
      </w:pPr>
      <w:r>
        <w:t xml:space="preserve">• </w:t>
      </w:r>
      <w:r>
        <w:t>Capítulo 12: estado de referência, portfólio, dependências, riscos, pesquisa, migração e rastreabilidade editorial.</w:t>
      </w:r>
    </w:p>
    <w:p>
      <w:pPr>
        <w:pStyle w:val="Heading1"/>
      </w:pPr>
      <w:r>
        <w:t>13.4 Alterações consolidadas nos 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52"/>
            <w:shd w:fill="E8ECEF"/>
          </w:tcPr>
          <w:p>
            <w:pPr>
              <w:jc w:val="left"/>
            </w:pPr>
            <w:r>
              <w:rPr>
                <w:b/>
              </w:rPr>
              <w:t>Anexo</w:t>
            </w:r>
          </w:p>
        </w:tc>
        <w:tc>
          <w:tcPr>
            <w:tcW w:type="dxa" w:w="2592"/>
            <w:shd w:fill="E8ECEF"/>
          </w:tcPr>
          <w:p>
            <w:pPr>
              <w:jc w:val="left"/>
            </w:pPr>
            <w:r>
              <w:rPr>
                <w:b/>
              </w:rPr>
              <w:t>Versão vigente</w:t>
            </w:r>
          </w:p>
        </w:tc>
        <w:tc>
          <w:tcPr>
            <w:tcW w:type="dxa" w:w="5616"/>
            <w:shd w:fill="E8ECEF"/>
          </w:tcPr>
          <w:p>
            <w:pPr>
              <w:jc w:val="left"/>
            </w:pPr>
            <w:r>
              <w:rPr>
                <w:b/>
              </w:rPr>
              <w:t>Mudança principal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revisao-2.0.0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ActivityPublication, hash, segmentação, GSP, política, três unidades e abstenção.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avaliacao-2.0.0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Avaliação rubricada sem cálculo, com texto completo, achados autorizados, recorrência e limitações.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registro-linguistico-2.0.0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Configuração Contextual, GSP, seleção efetiva e diversidade linguística.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rubricas-1.1.0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Entrada completa, não aplicável, abstenção, cálculo, decisão e nota separada.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dominio-2.0.0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ActivityPublication, decisões, contestações, estados atualizados, isolamento e concorrência.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contratos-modulos-2.1.0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Dicionários normativos de revisão, erro, validação, avaliação, decisão e nota.</w:t>
            </w:r>
          </w:p>
        </w:tc>
      </w:tr>
    </w:tbl>
    <w:p>
      <w:pPr>
        <w:pStyle w:val="Heading1"/>
      </w:pPr>
      <w:r>
        <w:t>13.5 Decisões conceituais preservadas</w:t>
      </w:r>
    </w:p>
    <w:p>
      <w:pPr>
        <w:ind w:left="360" w:hanging="240"/>
      </w:pPr>
      <w:r>
        <w:t xml:space="preserve">• </w:t>
      </w:r>
      <w:r>
        <w:t>O estudante é o autor e decide sobre sua escrita.</w:t>
      </w:r>
    </w:p>
    <w:p>
      <w:pPr>
        <w:ind w:left="360" w:hanging="240"/>
      </w:pPr>
      <w:r>
        <w:t xml:space="preserve">• </w:t>
      </w:r>
      <w:r>
        <w:t>Correção é alteração incorporada pelo autor em nova versão.</w:t>
      </w:r>
    </w:p>
    <w:p>
      <w:pPr>
        <w:ind w:left="360" w:hanging="240"/>
      </w:pPr>
      <w:r>
        <w:t xml:space="preserve">• </w:t>
      </w:r>
      <w:r>
        <w:t>Problema observável é ocorrência identificável ligada a critério autorizado.</w:t>
      </w:r>
    </w:p>
    <w:p>
      <w:pPr>
        <w:ind w:left="360" w:hanging="240"/>
      </w:pPr>
      <w:r>
        <w:t xml:space="preserve">• </w:t>
      </w:r>
      <w:r>
        <w:t>Achados suprassentenciais pertencem a achadosGlobais; feedbackGlobal é síntese.</w:t>
      </w:r>
    </w:p>
    <w:p>
      <w:pPr>
        <w:ind w:left="360" w:hanging="240"/>
      </w:pPr>
      <w:r>
        <w:t xml:space="preserve">• </w:t>
      </w:r>
      <w:r>
        <w:t>Revisão, validação, orientação, avaliação e nota são operações distintas.</w:t>
      </w:r>
    </w:p>
    <w:p>
      <w:pPr>
        <w:ind w:left="360" w:hanging="240"/>
      </w:pPr>
      <w:r>
        <w:t xml:space="preserve">• </w:t>
      </w:r>
      <w:r>
        <w:t>Problemas não são convertidos mecanicamente em descontos.</w:t>
      </w:r>
    </w:p>
    <w:p>
      <w:pPr>
        <w:ind w:left="360" w:hanging="240"/>
      </w:pPr>
      <w:r>
        <w:t xml:space="preserve">• </w:t>
      </w:r>
      <w:r>
        <w:t>Baixa confiança e conflitos não resolvidos produzem retenção, abstenção ou análise humana.</w:t>
      </w:r>
    </w:p>
    <w:p>
      <w:pPr>
        <w:ind w:left="360" w:hanging="240"/>
      </w:pPr>
      <w:r>
        <w:t xml:space="preserve">• </w:t>
      </w:r>
      <w:r>
        <w:t>Indícios de integridade acadêmica exigem cautela e decisão humana.</w:t>
      </w:r>
    </w:p>
    <w:p>
      <w:pPr>
        <w:pStyle w:val="Heading1"/>
      </w:pPr>
      <w:r>
        <w:t>13.6 Regras de consulta e precedência</w:t>
      </w:r>
    </w:p>
    <w:p>
      <w:r>
        <w:t>Conceitos pedagógicos são consultados nos capítulos 1, 2, 5 e 6. Experiência e administração são consultadas nos capítulos 7, 8, 10 e 11. Integração é explicada no capítulo 9. Os Anexos A–F são fontes normativas de seus respectivos artefatos. Em conflito, prevalece o anexo especializado, published e compatível; conflito não resolvido bloqueia a operação.</w:t>
      </w:r>
    </w:p>
    <w:p>
      <w:pPr>
        <w:pStyle w:val="Heading1"/>
      </w:pPr>
      <w:r>
        <w:t>13.7 Preservação histórica</w:t>
      </w:r>
    </w:p>
    <w:p>
      <w:r>
        <w:t>Versões antigas permanecem em repositório de arquivo com acesso, data, responsável, motivo e hash. Não integram o corpo normativo nem são usadas em novas execuções. Migrações e leitores históricos são explícitos; nenhuma versão antiga é reinterpretada silenciosamente segundo contrato novo.</w:t>
      </w:r>
    </w:p>
    <w:p>
      <w:pPr>
        <w:pStyle w:val="Heading1"/>
      </w:pPr>
      <w:r>
        <w:t>13.8 Próximas atualizações</w:t>
      </w:r>
    </w:p>
    <w:p>
      <w:r>
        <w:t>Mudanças futuras devem atualizar o capítulo 12, os capítulos impactados, os anexos canônicos, o manifesto de compatibilidade e este histórico. A publicação editorial verifica versões, hashes, fixtures e referências cruzadas antes de gerar o livro.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