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48288" w14:textId="62FD2A66" w:rsidR="00FE7609" w:rsidRPr="00B86D6C" w:rsidRDefault="00FE7609" w:rsidP="00B86D6C">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pt-PT"/>
          <w14:ligatures w14:val="none"/>
        </w:rPr>
      </w:pPr>
      <w:r w:rsidRPr="00B86D6C">
        <w:rPr>
          <w:rFonts w:ascii="Times New Roman" w:eastAsia="Times New Roman" w:hAnsi="Times New Roman" w:cs="Times New Roman"/>
          <w:b/>
          <w:bCs/>
          <w:kern w:val="36"/>
          <w:sz w:val="36"/>
          <w:szCs w:val="36"/>
          <w:lang w:eastAsia="pt-PT"/>
          <w14:ligatures w14:val="none"/>
        </w:rPr>
        <w:t>Metodologia de construção e análise do Observatório Estatístico e Longitudinal da Mobilidade Docente</w:t>
      </w:r>
    </w:p>
    <w:p w14:paraId="16E1B124" w14:textId="77777777" w:rsidR="00B86D6C" w:rsidRPr="00B86D6C" w:rsidRDefault="00B86D6C" w:rsidP="00B86D6C">
      <w:pPr>
        <w:jc w:val="both"/>
        <w:rPr>
          <w:rFonts w:ascii="Times New Roman" w:hAnsi="Times New Roman" w:cs="Times New Roman"/>
        </w:rPr>
      </w:pPr>
      <w:r w:rsidRPr="00B86D6C">
        <w:rPr>
          <w:rFonts w:ascii="Times New Roman" w:hAnsi="Times New Roman" w:cs="Times New Roman"/>
          <w:u w:val="single"/>
        </w:rPr>
        <w:t>Versão pública:</w:t>
      </w:r>
      <w:r w:rsidRPr="00B86D6C">
        <w:rPr>
          <w:rFonts w:ascii="Times New Roman" w:hAnsi="Times New Roman" w:cs="Times New Roman"/>
        </w:rPr>
        <w:t xml:space="preserve"> v6 — Consulta Descritiva</w:t>
      </w:r>
    </w:p>
    <w:p w14:paraId="6B5569AC" w14:textId="77777777" w:rsidR="00B86D6C" w:rsidRDefault="00B86D6C" w:rsidP="00B86D6C">
      <w:pPr>
        <w:jc w:val="both"/>
        <w:rPr>
          <w:rFonts w:ascii="Times New Roman" w:hAnsi="Times New Roman" w:cs="Times New Roman"/>
        </w:rPr>
      </w:pPr>
      <w:r w:rsidRPr="00B86D6C">
        <w:rPr>
          <w:rFonts w:ascii="Times New Roman" w:hAnsi="Times New Roman" w:cs="Times New Roman"/>
          <w:u w:val="single"/>
        </w:rPr>
        <w:t>Período:</w:t>
      </w:r>
      <w:r w:rsidRPr="00B86D6C">
        <w:rPr>
          <w:rFonts w:ascii="Times New Roman" w:hAnsi="Times New Roman" w:cs="Times New Roman"/>
        </w:rPr>
        <w:t xml:space="preserve"> 2016/2017–2026/2027</w:t>
      </w:r>
    </w:p>
    <w:p w14:paraId="46C3E325" w14:textId="77777777" w:rsidR="00B86D6C" w:rsidRPr="00B86D6C" w:rsidRDefault="00B86D6C" w:rsidP="00B86D6C">
      <w:pPr>
        <w:jc w:val="both"/>
        <w:rPr>
          <w:rFonts w:ascii="Times New Roman" w:hAnsi="Times New Roman" w:cs="Times New Roman"/>
        </w:rPr>
      </w:pPr>
      <w:r w:rsidRPr="00B86D6C">
        <w:rPr>
          <w:rFonts w:ascii="Times New Roman" w:hAnsi="Times New Roman" w:cs="Times New Roman"/>
          <w:u w:val="single"/>
        </w:rPr>
        <w:t>Autores:</w:t>
      </w:r>
      <w:r w:rsidRPr="00B86D6C">
        <w:rPr>
          <w:rFonts w:ascii="Times New Roman" w:hAnsi="Times New Roman" w:cs="Times New Roman"/>
        </w:rPr>
        <w:t xml:space="preserve"> Prof. Manuel P. Fernandes e Prof. Pedro Serra</w:t>
      </w:r>
    </w:p>
    <w:p w14:paraId="56DED0D8" w14:textId="7472603C" w:rsidR="00B86D6C" w:rsidRPr="00B86D6C" w:rsidRDefault="00B86D6C" w:rsidP="00B86D6C">
      <w:pPr>
        <w:jc w:val="both"/>
        <w:rPr>
          <w:rFonts w:ascii="Times New Roman" w:hAnsi="Times New Roman" w:cs="Times New Roman"/>
        </w:rPr>
      </w:pPr>
      <w:r w:rsidRPr="00B86D6C">
        <w:rPr>
          <w:rFonts w:ascii="Times New Roman" w:hAnsi="Times New Roman" w:cs="Times New Roman"/>
          <w:u w:val="single"/>
        </w:rPr>
        <w:t>Natureza:</w:t>
      </w:r>
      <w:r w:rsidRPr="00B86D6C">
        <w:rPr>
          <w:rFonts w:ascii="Times New Roman" w:hAnsi="Times New Roman" w:cs="Times New Roman"/>
        </w:rPr>
        <w:t xml:space="preserve"> observatório estatístico, longitudinal e de redes baseado em dados administrativos publicados.</w:t>
      </w:r>
    </w:p>
    <w:p w14:paraId="3D2070AD" w14:textId="77777777" w:rsidR="00FE7609" w:rsidRPr="00B86D6C" w:rsidRDefault="00FE760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B86D6C">
        <w:rPr>
          <w:rFonts w:ascii="Times New Roman" w:eastAsia="Times New Roman" w:hAnsi="Times New Roman" w:cs="Times New Roman"/>
          <w:b/>
          <w:bCs/>
          <w:kern w:val="0"/>
          <w:sz w:val="32"/>
          <w:szCs w:val="32"/>
          <w:lang w:eastAsia="pt-PT"/>
          <w14:ligatures w14:val="none"/>
        </w:rPr>
        <w:t>1. Desenho metodológico e enquadramento conceptual</w:t>
      </w:r>
    </w:p>
    <w:p w14:paraId="208F6B73" w14:textId="51B639EB" w:rsidR="00FE7609" w:rsidRPr="00B86D6C" w:rsidRDefault="00B86D6C"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O Observatório Estatístico e Longitudinal da Mobilidade Docente foi concebido como um sistema de análise retrospetiva e longitudinal de dados administrativos relativos à Mobilidade Interna de docentes do sistema público de ensino português. O período analisado compreende os anos letivos de 2016/2017 a 2026/2027, permitindo transformar resultados administrativos publicados anualmente em estruturas comparáveis no tempo e, consequentemente, estudar padrões de mobilidade individual, fluxos entre organizações escolares e persistência de fenómenos de entrada, saída e permanência.</w:t>
      </w:r>
    </w:p>
    <w:p w14:paraId="3919E302" w14:textId="56D8D019" w:rsidR="00FE7609" w:rsidRPr="00B86D6C" w:rsidRDefault="00B86D6C"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Do ponto de vista metodológico, o Observatório combina quatro níveis analíticos: análise descritiva de dados administrativos; análise organizacional das escolas enquanto unidades que recebem e perdem docentes; análise de redes dos movimentos entre estabelecimentos; e análise longitudinal das trajetórias e dos estados sucessivos de mobilidade.</w:t>
      </w:r>
    </w:p>
    <w:p w14:paraId="3126A177" w14:textId="56B44638" w:rsidR="00FE7609" w:rsidRPr="00B86D6C" w:rsidRDefault="00B86D6C"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 xml:space="preserve">Esta conceção aproxima-se da literatura que interpreta a mobilidade docente não apenas como resultado de decisões individuais, mas como fenómeno relacionado com a estrutura e as condições organizacionais das escolas. Ingersoll (2001), por exemplo, mostrou que os problemas de staffing não podem ser explicados exclusivamente por uma insuficiência global de professores, devendo ser considerados os fluxos de entrada e saída das organizações e as condições que influenciam o turnover. Boyd et al. (2011) reforçam esta perspetiva ao evidenciarem a associação entre características do contexto escolar — particularmente a administração escolar — e as decisões de permanência dos docentes. </w:t>
      </w:r>
    </w:p>
    <w:p w14:paraId="320D0EA0" w14:textId="5CF6A4D7" w:rsidR="00FE7609" w:rsidRPr="00B86D6C" w:rsidRDefault="00B86D6C"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 xml:space="preserve">A relevância da mobilidade para a estabilidade organizacional é igualmente suportada por Ronfeldt, Loeb e Wyckoff (2013), que, utilizando dados longitudinais de escolas de Nova Iorque, encontraram efeitos negativos do turnover sobre os resultados dos alunos e evidência de efeitos disruptivos para além da simples alteração da </w:t>
      </w:r>
      <w:r w:rsidR="00FE7609" w:rsidRPr="00B86D6C">
        <w:rPr>
          <w:rFonts w:ascii="Times New Roman" w:hAnsi="Times New Roman" w:cs="Times New Roman"/>
          <w:lang w:eastAsia="pt-PT"/>
        </w:rPr>
        <w:lastRenderedPageBreak/>
        <w:t xml:space="preserve">composição do corpo docente. Estudos mais recentes continuam a salientar que a instabilidade do corpo docente pode interferir com redes de relações, conhecimento partilhado e capital social organizacional das escolas. </w:t>
      </w:r>
    </w:p>
    <w:p w14:paraId="39F6D309" w14:textId="7D1EA56B" w:rsidR="00FE7609" w:rsidRPr="00B86D6C" w:rsidRDefault="00B86D6C"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O Observatório não pressupõe, contudo, que toda a mobilidade seja negativa. A literatura sobre mercados de trabalho docente mostra que a mudança de escola pode refletir preferências geográficas, procura de melhor correspondência entre professor e escola, características organizacionais ou mecanismos institucionais de colocação. Neste sentido, a interpretação adotada distingue três conceitos:</w:t>
      </w:r>
    </w:p>
    <w:p w14:paraId="4D0AE1FA" w14:textId="64FCAA8E" w:rsidR="00FE7609" w:rsidRPr="00B86D6C" w:rsidRDefault="00000000" w:rsidP="00B86D6C">
      <w:pPr>
        <w:spacing w:after="0" w:line="240" w:lineRule="auto"/>
        <w:jc w:val="both"/>
        <w:rPr>
          <w:rFonts w:ascii="Times New Roman" w:eastAsia="Times New Roman" w:hAnsi="Times New Roman" w:cs="Times New Roman"/>
          <w:kern w:val="0"/>
          <w:lang w:eastAsia="pt-PT"/>
          <w14:ligatures w14:val="none"/>
        </w:rPr>
      </w:pPr>
      <m:oMathPara>
        <m:oMath>
          <m:borderBox>
            <m:borderBoxPr>
              <m:ctrlPr>
                <w:rPr>
                  <w:rFonts w:ascii="Cambria Math" w:eastAsia="Times New Roman" w:hAnsi="Cambria Math" w:cs="Times New Roman"/>
                  <w:kern w:val="0"/>
                  <w:lang w:eastAsia="pt-PT"/>
                  <w14:ligatures w14:val="none"/>
                </w:rPr>
              </m:ctrlPr>
            </m:borderBoxPr>
            <m:e>
              <m:r>
                <m:rPr>
                  <m:nor/>
                </m:rPr>
                <w:rPr>
                  <w:rFonts w:ascii="Times New Roman" w:eastAsia="Times New Roman" w:hAnsi="Times New Roman" w:cs="Times New Roman"/>
                  <w:kern w:val="0"/>
                  <w:lang w:eastAsia="pt-PT"/>
                  <w14:ligatures w14:val="none"/>
                </w:rPr>
                <m:t>estabilidade do v</m:t>
              </m:r>
              <m:acc>
                <m:accPr>
                  <m:chr m:val="ˊ"/>
                  <m:ctrlPr>
                    <w:rPr>
                      <w:rFonts w:ascii="Cambria Math" w:eastAsia="Times New Roman" w:hAnsi="Cambria Math" w:cs="Times New Roman"/>
                      <w:kern w:val="0"/>
                      <w:lang w:eastAsia="pt-PT"/>
                      <w14:ligatures w14:val="none"/>
                    </w:rPr>
                  </m:ctrlPr>
                </m:accPr>
                <m:e>
                  <m:r>
                    <m:rPr>
                      <m:nor/>
                    </m:rPr>
                    <w:rPr>
                      <w:rFonts w:ascii="Times New Roman" w:eastAsia="Times New Roman" w:hAnsi="Times New Roman" w:cs="Times New Roman"/>
                      <w:kern w:val="0"/>
                      <w:lang w:eastAsia="pt-PT"/>
                      <w14:ligatures w14:val="none"/>
                    </w:rPr>
                    <m:t>ı</m:t>
                  </m:r>
                </m:e>
              </m:acc>
              <m:r>
                <m:rPr>
                  <m:nor/>
                </m:rPr>
                <w:rPr>
                  <w:rFonts w:ascii="Times New Roman" w:eastAsia="Times New Roman" w:hAnsi="Times New Roman" w:cs="Times New Roman"/>
                  <w:kern w:val="0"/>
                  <w:lang w:eastAsia="pt-PT"/>
                  <w14:ligatures w14:val="none"/>
                </w:rPr>
                <m:t>nculo</m:t>
              </m:r>
              <m:r>
                <m:rPr>
                  <m:sty m:val="p"/>
                </m:rPr>
                <w:rPr>
                  <w:rFonts w:ascii="Cambria Math" w:eastAsia="Times New Roman" w:hAnsi="Cambria Math" w:cs="Times New Roman"/>
                  <w:kern w:val="0"/>
                  <w:lang w:eastAsia="pt-PT"/>
                  <w14:ligatures w14:val="none"/>
                </w:rPr>
                <m:t>≠</m:t>
              </m:r>
              <m:r>
                <m:rPr>
                  <m:nor/>
                </m:rPr>
                <w:rPr>
                  <w:rFonts w:ascii="Times New Roman" w:eastAsia="Times New Roman" w:hAnsi="Times New Roman" w:cs="Times New Roman"/>
                  <w:kern w:val="0"/>
                  <w:lang w:eastAsia="pt-PT"/>
                  <w14:ligatures w14:val="none"/>
                </w:rPr>
                <m:t>estabilidade geogr</m:t>
              </m:r>
              <m:acc>
                <m:accPr>
                  <m:chr m:val="ˊ"/>
                  <m:ctrlPr>
                    <w:rPr>
                      <w:rFonts w:ascii="Cambria Math" w:eastAsia="Times New Roman" w:hAnsi="Cambria Math" w:cs="Times New Roman"/>
                      <w:kern w:val="0"/>
                      <w:lang w:eastAsia="pt-PT"/>
                      <w14:ligatures w14:val="none"/>
                    </w:rPr>
                  </m:ctrlPr>
                </m:accPr>
                <m:e>
                  <m:r>
                    <m:rPr>
                      <m:nor/>
                    </m:rPr>
                    <w:rPr>
                      <w:rFonts w:ascii="Times New Roman" w:eastAsia="Times New Roman" w:hAnsi="Times New Roman" w:cs="Times New Roman"/>
                      <w:kern w:val="0"/>
                      <w:lang w:eastAsia="pt-PT"/>
                      <w14:ligatures w14:val="none"/>
                    </w:rPr>
                    <m:t>a</m:t>
                  </m:r>
                </m:e>
              </m:acc>
              <m:r>
                <m:rPr>
                  <m:nor/>
                </m:rPr>
                <w:rPr>
                  <w:rFonts w:ascii="Times New Roman" w:eastAsia="Times New Roman" w:hAnsi="Times New Roman" w:cs="Times New Roman"/>
                  <w:kern w:val="0"/>
                  <w:lang w:eastAsia="pt-PT"/>
                  <w14:ligatures w14:val="none"/>
                </w:rPr>
                <m:t>fica</m:t>
              </m:r>
              <m:r>
                <m:rPr>
                  <m:sty m:val="p"/>
                </m:rPr>
                <w:rPr>
                  <w:rFonts w:ascii="Cambria Math" w:eastAsia="Times New Roman" w:hAnsi="Cambria Math" w:cs="Times New Roman"/>
                  <w:kern w:val="0"/>
                  <w:lang w:eastAsia="pt-PT"/>
                  <w14:ligatures w14:val="none"/>
                </w:rPr>
                <m:t>≠</m:t>
              </m:r>
              <m:r>
                <m:rPr>
                  <m:nor/>
                </m:rPr>
                <w:rPr>
                  <w:rFonts w:ascii="Times New Roman" w:eastAsia="Times New Roman" w:hAnsi="Times New Roman" w:cs="Times New Roman"/>
                  <w:kern w:val="0"/>
                  <w:lang w:eastAsia="pt-PT"/>
                  <w14:ligatures w14:val="none"/>
                </w:rPr>
                <m:t>estabilidade organizacional da escola</m:t>
              </m:r>
            </m:e>
          </m:borderBox>
        </m:oMath>
      </m:oMathPara>
    </w:p>
    <w:p w14:paraId="712E22AB" w14:textId="77777777" w:rsidR="00B86D6C" w:rsidRPr="00B86D6C" w:rsidRDefault="00B86D6C" w:rsidP="00B86D6C">
      <w:pPr>
        <w:spacing w:after="0" w:line="240" w:lineRule="auto"/>
        <w:jc w:val="both"/>
        <w:rPr>
          <w:rFonts w:ascii="Times New Roman" w:eastAsia="Times New Roman" w:hAnsi="Times New Roman" w:cs="Times New Roman"/>
          <w:kern w:val="0"/>
          <w:sz w:val="16"/>
          <w:szCs w:val="16"/>
          <w:lang w:eastAsia="pt-PT"/>
          <w14:ligatures w14:val="none"/>
        </w:rPr>
      </w:pPr>
    </w:p>
    <w:p w14:paraId="1376CF4A" w14:textId="1BBCE77E" w:rsidR="00FE7609" w:rsidRPr="00B86D6C" w:rsidRDefault="00B86D6C"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Consequentemente, os indicadores do Observatório não são concebidos como avaliações da “qualidade” das escolas, mas como instrumentos de deteção e caracterização de padrões de mobilidade.</w:t>
      </w:r>
    </w:p>
    <w:p w14:paraId="62E2CD4A" w14:textId="39099CB9" w:rsidR="00B86D6C" w:rsidRPr="00B86D6C" w:rsidRDefault="00B86D6C"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Pr="00B86D6C">
        <w:rPr>
          <w:rFonts w:ascii="Times New Roman" w:hAnsi="Times New Roman" w:cs="Times New Roman"/>
          <w:lang w:eastAsia="pt-PT"/>
        </w:rPr>
        <w:t>Em suma, o Observatório procura transformar listas administrativas anuais da Mobilidade Interna em informação longitudinal comparável, permitindo estudar:</w:t>
      </w:r>
    </w:p>
    <w:p w14:paraId="31EA7483" w14:textId="77777777" w:rsidR="00B86D6C" w:rsidRPr="00B86D6C" w:rsidRDefault="00B86D6C" w:rsidP="00B86D6C">
      <w:pPr>
        <w:pStyle w:val="NoSpacing"/>
        <w:numPr>
          <w:ilvl w:val="0"/>
          <w:numId w:val="4"/>
        </w:numPr>
        <w:spacing w:line="360" w:lineRule="auto"/>
        <w:jc w:val="both"/>
        <w:rPr>
          <w:rFonts w:ascii="Times New Roman" w:hAnsi="Times New Roman" w:cs="Times New Roman"/>
          <w:lang w:eastAsia="pt-PT"/>
        </w:rPr>
      </w:pPr>
      <w:r w:rsidRPr="00B86D6C">
        <w:rPr>
          <w:rFonts w:ascii="Times New Roman" w:hAnsi="Times New Roman" w:cs="Times New Roman"/>
          <w:lang w:eastAsia="pt-PT"/>
        </w:rPr>
        <w:t>mobilidade e permanência docente;</w:t>
      </w:r>
    </w:p>
    <w:p w14:paraId="0A849D42" w14:textId="77777777" w:rsidR="00B86D6C" w:rsidRPr="00B86D6C" w:rsidRDefault="00B86D6C" w:rsidP="00B86D6C">
      <w:pPr>
        <w:pStyle w:val="NoSpacing"/>
        <w:numPr>
          <w:ilvl w:val="0"/>
          <w:numId w:val="4"/>
        </w:numPr>
        <w:spacing w:line="360" w:lineRule="auto"/>
        <w:jc w:val="both"/>
        <w:rPr>
          <w:rFonts w:ascii="Times New Roman" w:hAnsi="Times New Roman" w:cs="Times New Roman"/>
          <w:lang w:eastAsia="pt-PT"/>
        </w:rPr>
      </w:pPr>
      <w:r w:rsidRPr="00B86D6C">
        <w:rPr>
          <w:rFonts w:ascii="Times New Roman" w:hAnsi="Times New Roman" w:cs="Times New Roman"/>
          <w:lang w:eastAsia="pt-PT"/>
        </w:rPr>
        <w:t>pressão administrativa de entrada e saída nas escolas;</w:t>
      </w:r>
    </w:p>
    <w:p w14:paraId="1C91B463" w14:textId="77777777" w:rsidR="00B86D6C" w:rsidRPr="00B86D6C" w:rsidRDefault="00B86D6C" w:rsidP="00B86D6C">
      <w:pPr>
        <w:pStyle w:val="NoSpacing"/>
        <w:numPr>
          <w:ilvl w:val="0"/>
          <w:numId w:val="4"/>
        </w:numPr>
        <w:spacing w:line="360" w:lineRule="auto"/>
        <w:jc w:val="both"/>
        <w:rPr>
          <w:rFonts w:ascii="Times New Roman" w:hAnsi="Times New Roman" w:cs="Times New Roman"/>
          <w:lang w:eastAsia="pt-PT"/>
        </w:rPr>
      </w:pPr>
      <w:r w:rsidRPr="00B86D6C">
        <w:rPr>
          <w:rFonts w:ascii="Times New Roman" w:hAnsi="Times New Roman" w:cs="Times New Roman"/>
          <w:lang w:eastAsia="pt-PT"/>
        </w:rPr>
        <w:t>migrações efetivas entre escolas;</w:t>
      </w:r>
    </w:p>
    <w:p w14:paraId="1CC1F16A" w14:textId="77777777" w:rsidR="00B86D6C" w:rsidRPr="00B86D6C" w:rsidRDefault="00B86D6C" w:rsidP="00B86D6C">
      <w:pPr>
        <w:pStyle w:val="NoSpacing"/>
        <w:numPr>
          <w:ilvl w:val="0"/>
          <w:numId w:val="4"/>
        </w:numPr>
        <w:spacing w:line="360" w:lineRule="auto"/>
        <w:jc w:val="both"/>
        <w:rPr>
          <w:rFonts w:ascii="Times New Roman" w:hAnsi="Times New Roman" w:cs="Times New Roman"/>
          <w:lang w:eastAsia="pt-PT"/>
        </w:rPr>
      </w:pPr>
      <w:r w:rsidRPr="00B86D6C">
        <w:rPr>
          <w:rFonts w:ascii="Times New Roman" w:hAnsi="Times New Roman" w:cs="Times New Roman"/>
          <w:lang w:eastAsia="pt-PT"/>
        </w:rPr>
        <w:t>não colocação e mobilidade latente;</w:t>
      </w:r>
    </w:p>
    <w:p w14:paraId="575732DE" w14:textId="77777777" w:rsidR="00B86D6C" w:rsidRPr="00B86D6C" w:rsidRDefault="00B86D6C" w:rsidP="00B86D6C">
      <w:pPr>
        <w:pStyle w:val="NoSpacing"/>
        <w:numPr>
          <w:ilvl w:val="0"/>
          <w:numId w:val="4"/>
        </w:numPr>
        <w:spacing w:line="360" w:lineRule="auto"/>
        <w:jc w:val="both"/>
        <w:rPr>
          <w:rFonts w:ascii="Times New Roman" w:hAnsi="Times New Roman" w:cs="Times New Roman"/>
          <w:lang w:eastAsia="pt-PT"/>
        </w:rPr>
      </w:pPr>
      <w:r w:rsidRPr="00B86D6C">
        <w:rPr>
          <w:rFonts w:ascii="Times New Roman" w:hAnsi="Times New Roman" w:cs="Times New Roman"/>
          <w:lang w:eastAsia="pt-PT"/>
        </w:rPr>
        <w:t>diferenças descritivas entre QA/QE e QZP;</w:t>
      </w:r>
    </w:p>
    <w:p w14:paraId="474753CD" w14:textId="77777777" w:rsidR="00B86D6C" w:rsidRPr="00B86D6C" w:rsidRDefault="00B86D6C" w:rsidP="00B86D6C">
      <w:pPr>
        <w:pStyle w:val="NoSpacing"/>
        <w:numPr>
          <w:ilvl w:val="0"/>
          <w:numId w:val="4"/>
        </w:numPr>
        <w:spacing w:line="360" w:lineRule="auto"/>
        <w:jc w:val="both"/>
        <w:rPr>
          <w:rFonts w:ascii="Times New Roman" w:hAnsi="Times New Roman" w:cs="Times New Roman"/>
          <w:lang w:eastAsia="pt-PT"/>
        </w:rPr>
      </w:pPr>
      <w:r w:rsidRPr="00B86D6C">
        <w:rPr>
          <w:rFonts w:ascii="Times New Roman" w:hAnsi="Times New Roman" w:cs="Times New Roman"/>
          <w:lang w:eastAsia="pt-PT"/>
        </w:rPr>
        <w:t>persistência e volatilidade de padrões escolares;</w:t>
      </w:r>
    </w:p>
    <w:p w14:paraId="1666C18F" w14:textId="77777777" w:rsidR="00B86D6C" w:rsidRPr="00B86D6C" w:rsidRDefault="00B86D6C" w:rsidP="00B86D6C">
      <w:pPr>
        <w:pStyle w:val="NoSpacing"/>
        <w:numPr>
          <w:ilvl w:val="0"/>
          <w:numId w:val="4"/>
        </w:numPr>
        <w:spacing w:line="360" w:lineRule="auto"/>
        <w:jc w:val="both"/>
        <w:rPr>
          <w:rFonts w:ascii="Times New Roman" w:hAnsi="Times New Roman" w:cs="Times New Roman"/>
          <w:lang w:eastAsia="pt-PT"/>
        </w:rPr>
      </w:pPr>
      <w:r w:rsidRPr="00B86D6C">
        <w:rPr>
          <w:rFonts w:ascii="Times New Roman" w:hAnsi="Times New Roman" w:cs="Times New Roman"/>
          <w:lang w:eastAsia="pt-PT"/>
        </w:rPr>
        <w:t>corredores de mobilidade;</w:t>
      </w:r>
    </w:p>
    <w:p w14:paraId="7F1C3581" w14:textId="77777777" w:rsidR="00B86D6C" w:rsidRPr="00B86D6C" w:rsidRDefault="00B86D6C" w:rsidP="00B86D6C">
      <w:pPr>
        <w:pStyle w:val="NoSpacing"/>
        <w:numPr>
          <w:ilvl w:val="0"/>
          <w:numId w:val="4"/>
        </w:numPr>
        <w:spacing w:line="360" w:lineRule="auto"/>
        <w:jc w:val="both"/>
        <w:rPr>
          <w:rFonts w:ascii="Times New Roman" w:hAnsi="Times New Roman" w:cs="Times New Roman"/>
          <w:lang w:eastAsia="pt-PT"/>
        </w:rPr>
      </w:pPr>
      <w:r w:rsidRPr="00B86D6C">
        <w:rPr>
          <w:rFonts w:ascii="Times New Roman" w:hAnsi="Times New Roman" w:cs="Times New Roman"/>
          <w:lang w:eastAsia="pt-PT"/>
        </w:rPr>
        <w:t>trajetórias anonimizadas docente×grupo;</w:t>
      </w:r>
    </w:p>
    <w:p w14:paraId="783D9CA8" w14:textId="77777777" w:rsidR="00B86D6C" w:rsidRPr="00B86D6C" w:rsidRDefault="00B86D6C" w:rsidP="00B86D6C">
      <w:pPr>
        <w:pStyle w:val="NoSpacing"/>
        <w:numPr>
          <w:ilvl w:val="0"/>
          <w:numId w:val="4"/>
        </w:numPr>
        <w:spacing w:line="360" w:lineRule="auto"/>
        <w:jc w:val="both"/>
        <w:rPr>
          <w:rFonts w:ascii="Times New Roman" w:hAnsi="Times New Roman" w:cs="Times New Roman"/>
          <w:lang w:eastAsia="pt-PT"/>
        </w:rPr>
      </w:pPr>
      <w:r w:rsidRPr="00B86D6C">
        <w:rPr>
          <w:rFonts w:ascii="Times New Roman" w:hAnsi="Times New Roman" w:cs="Times New Roman"/>
          <w:lang w:eastAsia="pt-PT"/>
        </w:rPr>
        <w:t>transições empíricas entre permanência, mudança e não colocação.</w:t>
      </w:r>
    </w:p>
    <w:p w14:paraId="5024DCC5" w14:textId="77777777" w:rsidR="00FE7609" w:rsidRPr="00B86D6C" w:rsidRDefault="00FE7609" w:rsidP="00B86D6C">
      <w:pPr>
        <w:pStyle w:val="NoSpacing"/>
        <w:rPr>
          <w:lang w:eastAsia="pt-PT"/>
        </w:rPr>
      </w:pPr>
    </w:p>
    <w:p w14:paraId="2FFB4198" w14:textId="77777777" w:rsidR="00FE7609" w:rsidRPr="00B86D6C" w:rsidRDefault="00FE760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B86D6C">
        <w:rPr>
          <w:rFonts w:ascii="Times New Roman" w:eastAsia="Times New Roman" w:hAnsi="Times New Roman" w:cs="Times New Roman"/>
          <w:b/>
          <w:bCs/>
          <w:kern w:val="0"/>
          <w:sz w:val="32"/>
          <w:szCs w:val="32"/>
          <w:lang w:eastAsia="pt-PT"/>
          <w14:ligatures w14:val="none"/>
        </w:rPr>
        <w:t>2. O Observatório enquanto artefacto de investigação</w:t>
      </w:r>
    </w:p>
    <w:p w14:paraId="55103BF5" w14:textId="59CC34DF" w:rsidR="00FE7609" w:rsidRPr="00B86D6C" w:rsidRDefault="00B86D6C"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 xml:space="preserve">A conceção do Observatório pode também ser enquadrada na tradição da Design Science Research. Segundo Hevner et al. (2004), a investigação em Design Science procura produzir conhecimento através da construção e avaliação de artefactos capazes de aumentar a capacidade humana ou organizacional para resolver problemas relevantes. </w:t>
      </w:r>
    </w:p>
    <w:p w14:paraId="6AD91ABD" w14:textId="0A153811" w:rsidR="00FE7609" w:rsidRPr="00B86D6C" w:rsidRDefault="00B86D6C"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 xml:space="preserve">Neste enquadramento, o problema inicial reside na fragmentação da informação administrativa: as listas de ordenação, colocação e não colocação permitem conhecer os </w:t>
      </w:r>
      <w:r w:rsidR="00FE7609" w:rsidRPr="00B86D6C">
        <w:rPr>
          <w:rFonts w:ascii="Times New Roman" w:hAnsi="Times New Roman" w:cs="Times New Roman"/>
          <w:lang w:eastAsia="pt-PT"/>
        </w:rPr>
        <w:lastRenderedPageBreak/>
        <w:t>resultados de cada concurso, mas não constituem, isoladamente, um sistema longitudinal de monitorização da mobilidade docente.</w:t>
      </w:r>
    </w:p>
    <w:p w14:paraId="25E3C4B7" w14:textId="6B148A9D" w:rsidR="00FE7609" w:rsidRPr="00B86D6C" w:rsidRDefault="00B86D6C"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O artefacto desenvolvido transforma essas fontes administrativas numa estrutura que permite passar de:</w:t>
      </w:r>
    </w:p>
    <w:p w14:paraId="0B59F45D" w14:textId="77777777" w:rsidR="00FE7609" w:rsidRPr="00B86D6C" w:rsidRDefault="00FE7609" w:rsidP="00B86D6C">
      <w:pPr>
        <w:pStyle w:val="NoSpacing"/>
        <w:spacing w:line="360" w:lineRule="auto"/>
        <w:jc w:val="both"/>
        <w:rPr>
          <w:rFonts w:ascii="Times New Roman" w:hAnsi="Times New Roman" w:cs="Times New Roman"/>
        </w:rPr>
      </w:pPr>
      <m:oMathPara>
        <m:oMath>
          <m:r>
            <m:rPr>
              <m:nor/>
            </m:rPr>
            <w:rPr>
              <w:rFonts w:ascii="Times New Roman" w:hAnsi="Times New Roman" w:cs="Times New Roman"/>
            </w:rPr>
            <m:t>listas administrativas anuais</m:t>
          </m:r>
        </m:oMath>
      </m:oMathPara>
    </w:p>
    <w:p w14:paraId="781D2E9F" w14:textId="0E2DBA8A" w:rsidR="00FE7609" w:rsidRPr="00B86D6C" w:rsidRDefault="00FE7609" w:rsidP="00B86D6C">
      <w:pPr>
        <w:pStyle w:val="NoSpacing"/>
        <w:spacing w:line="360" w:lineRule="auto"/>
        <w:jc w:val="both"/>
        <w:rPr>
          <w:rFonts w:ascii="Times New Roman" w:hAnsi="Times New Roman" w:cs="Times New Roman"/>
        </w:rPr>
      </w:pPr>
      <w:r w:rsidRPr="00B86D6C">
        <w:rPr>
          <w:rFonts w:ascii="Times New Roman" w:hAnsi="Times New Roman" w:cs="Times New Roman"/>
        </w:rPr>
        <w:t>para:</w:t>
      </w:r>
    </w:p>
    <w:p w14:paraId="0B418568" w14:textId="5FE8B31A" w:rsidR="00FE7609" w:rsidRPr="00B86D6C" w:rsidRDefault="00FE7609" w:rsidP="00B86D6C">
      <w:pPr>
        <w:pStyle w:val="NoSpacing"/>
        <w:spacing w:line="360" w:lineRule="auto"/>
        <w:jc w:val="both"/>
        <w:rPr>
          <w:rFonts w:ascii="Times New Roman" w:hAnsi="Times New Roman" w:cs="Times New Roman"/>
        </w:rPr>
      </w:pPr>
      <m:oMathPara>
        <m:oMath>
          <m:r>
            <m:rPr>
              <m:nor/>
            </m:rPr>
            <w:rPr>
              <w:rFonts w:ascii="Times New Roman" w:hAnsi="Times New Roman" w:cs="Times New Roman"/>
            </w:rPr>
            <m:t>base harmonizada</m:t>
          </m:r>
          <m:r>
            <w:rPr>
              <w:rFonts w:ascii="Cambria Math" w:hAnsi="Cambria Math" w:cs="Times New Roman"/>
            </w:rPr>
            <m:t>→</m:t>
          </m:r>
          <m:r>
            <m:rPr>
              <m:nor/>
            </m:rPr>
            <w:rPr>
              <w:rFonts w:ascii="Times New Roman" w:hAnsi="Times New Roman" w:cs="Times New Roman"/>
            </w:rPr>
            <m:t>indicadores</m:t>
          </m:r>
          <m:r>
            <w:rPr>
              <w:rFonts w:ascii="Cambria Math" w:hAnsi="Cambria Math" w:cs="Times New Roman"/>
            </w:rPr>
            <m:t>→</m:t>
          </m:r>
          <m:r>
            <m:rPr>
              <m:nor/>
            </m:rPr>
            <w:rPr>
              <w:rFonts w:ascii="Times New Roman" w:hAnsi="Times New Roman" w:cs="Times New Roman"/>
            </w:rPr>
            <m:t>rede de fluxos</m:t>
          </m:r>
          <m:r>
            <w:rPr>
              <w:rFonts w:ascii="Cambria Math" w:hAnsi="Cambria Math" w:cs="Times New Roman"/>
            </w:rPr>
            <m:t>→</m:t>
          </m:r>
          <m:r>
            <m:rPr>
              <m:nor/>
            </m:rPr>
            <w:rPr>
              <w:rFonts w:ascii="Times New Roman" w:hAnsi="Times New Roman" w:cs="Times New Roman"/>
            </w:rPr>
            <m:t>painel longitudinal</m:t>
          </m:r>
          <m:r>
            <w:rPr>
              <w:rFonts w:ascii="Cambria Math" w:hAnsi="Cambria Math" w:cs="Times New Roman"/>
            </w:rPr>
            <m:t>→</m:t>
          </m:r>
          <m:r>
            <m:rPr>
              <m:nor/>
            </m:rPr>
            <w:rPr>
              <w:rFonts w:ascii="Times New Roman" w:hAnsi="Times New Roman" w:cs="Times New Roman"/>
            </w:rPr>
            <m:t>monitoriza</m:t>
          </m:r>
          <m:r>
            <m:rPr>
              <m:sty m:val="p"/>
            </m:rPr>
            <w:rPr>
              <w:rFonts w:ascii="Cambria Math" w:hAnsi="Cambria Math" w:cs="Times New Roman"/>
            </w:rPr>
            <m:t>c</m:t>
          </m:r>
          <m:acc>
            <m:accPr>
              <m:chr m:val="̃"/>
              <m:ctrlPr>
                <w:rPr>
                  <w:rFonts w:ascii="Cambria Math" w:hAnsi="Cambria Math" w:cs="Times New Roman"/>
                </w:rPr>
              </m:ctrlPr>
            </m:accPr>
            <m:e>
              <m:r>
                <m:rPr>
                  <m:nor/>
                </m:rPr>
                <w:rPr>
                  <w:rFonts w:ascii="Times New Roman" w:hAnsi="Times New Roman" w:cs="Times New Roman"/>
                </w:rPr>
                <m:t>a</m:t>
              </m:r>
            </m:e>
          </m:acc>
          <m:r>
            <m:rPr>
              <m:nor/>
            </m:rPr>
            <w:rPr>
              <w:rFonts w:ascii="Times New Roman" w:hAnsi="Times New Roman" w:cs="Times New Roman"/>
            </w:rPr>
            <m:t>o organizacional</m:t>
          </m:r>
          <m:r>
            <m:rPr>
              <m:sty m:val="p"/>
            </m:rPr>
            <w:rPr>
              <w:rFonts w:ascii="Cambria Math" w:hAnsi="Cambria Math" w:cs="Times New Roman"/>
            </w:rPr>
            <m:t>.</m:t>
          </m:r>
        </m:oMath>
      </m:oMathPara>
    </w:p>
    <w:p w14:paraId="6BA79396" w14:textId="53BFAB7C" w:rsidR="00FE7609" w:rsidRPr="00B86D6C" w:rsidRDefault="00B86D6C" w:rsidP="00B86D6C">
      <w:pPr>
        <w:pStyle w:val="NoSpacing"/>
        <w:spacing w:line="360" w:lineRule="auto"/>
        <w:jc w:val="both"/>
        <w:rPr>
          <w:rFonts w:ascii="Times New Roman" w:hAnsi="Times New Roman" w:cs="Times New Roman"/>
        </w:rPr>
      </w:pPr>
      <w:r>
        <w:rPr>
          <w:rFonts w:ascii="Times New Roman" w:hAnsi="Times New Roman" w:cs="Times New Roman"/>
        </w:rPr>
        <w:tab/>
      </w:r>
      <w:r w:rsidR="001F6D9C" w:rsidRPr="001F6D9C">
        <w:rPr>
          <w:rFonts w:ascii="Times New Roman" w:hAnsi="Times New Roman" w:cs="Times New Roman"/>
        </w:rPr>
        <w:t>A versão pública v6 assume deliberadamente uma natureza de consulta descritiva. A interface pública privilegia a exploração, comparação e visualização dos indicadores produzidos pela metodologia, mantendo separada a componente de inferência estatística e de formulação de conclusões científicas. Testes estatísticos ou análises inferenciais podem ser realizados externamente a partir dos dados exportados, devendo nesse caso assentar em hipóteses, especificações e critérios previamente definidos.</w:t>
      </w:r>
    </w:p>
    <w:p w14:paraId="24129481" w14:textId="77777777" w:rsidR="00FE7609" w:rsidRPr="00B86D6C" w:rsidRDefault="00FE760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B86D6C">
        <w:rPr>
          <w:rFonts w:ascii="Times New Roman" w:eastAsia="Times New Roman" w:hAnsi="Times New Roman" w:cs="Times New Roman"/>
          <w:b/>
          <w:bCs/>
          <w:kern w:val="0"/>
          <w:sz w:val="32"/>
          <w:szCs w:val="32"/>
          <w:lang w:eastAsia="pt-PT"/>
          <w14:ligatures w14:val="none"/>
        </w:rPr>
        <w:t>3. Fontes administrativas e construção da base analítica</w:t>
      </w:r>
    </w:p>
    <w:p w14:paraId="77D7CCB6" w14:textId="7F75A827" w:rsidR="00FE7609" w:rsidRDefault="00B86D6C"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Para cada ano letivo são cruzadas três fontes principais do procedimento de Mobilidade Interna:</w:t>
      </w:r>
    </w:p>
    <w:p w14:paraId="04C9A3C4" w14:textId="3961B8F9" w:rsidR="00B86D6C" w:rsidRPr="00B86D6C" w:rsidRDefault="00B86D6C" w:rsidP="00B86D6C">
      <w:pPr>
        <w:pStyle w:val="NoSpacing"/>
        <w:numPr>
          <w:ilvl w:val="0"/>
          <w:numId w:val="6"/>
        </w:numPr>
        <w:spacing w:line="360" w:lineRule="auto"/>
        <w:rPr>
          <w:rFonts w:ascii="Times New Roman" w:hAnsi="Times New Roman" w:cs="Times New Roman"/>
        </w:rPr>
      </w:pPr>
      <w:r w:rsidRPr="00B86D6C">
        <w:rPr>
          <w:rFonts w:ascii="Times New Roman" w:hAnsi="Times New Roman" w:cs="Times New Roman"/>
        </w:rPr>
        <w:t>Lista Definitiva de Ordenação da Mobilidade Interna;</w:t>
      </w:r>
    </w:p>
    <w:p w14:paraId="469C463B" w14:textId="7EF79938" w:rsidR="00B86D6C" w:rsidRPr="00B86D6C" w:rsidRDefault="00B86D6C" w:rsidP="00B86D6C">
      <w:pPr>
        <w:pStyle w:val="NoSpacing"/>
        <w:numPr>
          <w:ilvl w:val="0"/>
          <w:numId w:val="6"/>
        </w:numPr>
        <w:spacing w:line="360" w:lineRule="auto"/>
        <w:rPr>
          <w:rFonts w:ascii="Times New Roman" w:hAnsi="Times New Roman" w:cs="Times New Roman"/>
        </w:rPr>
      </w:pPr>
      <w:r w:rsidRPr="00B86D6C">
        <w:rPr>
          <w:rFonts w:ascii="Times New Roman" w:hAnsi="Times New Roman" w:cs="Times New Roman"/>
        </w:rPr>
        <w:t>Lista Definitiva de Colocação da Mobilidade Interna;</w:t>
      </w:r>
    </w:p>
    <w:p w14:paraId="743F2FD4" w14:textId="7BBDED2E" w:rsidR="00B86D6C" w:rsidRDefault="00B86D6C" w:rsidP="00B86D6C">
      <w:pPr>
        <w:pStyle w:val="NoSpacing"/>
        <w:numPr>
          <w:ilvl w:val="0"/>
          <w:numId w:val="6"/>
        </w:numPr>
        <w:spacing w:line="360" w:lineRule="auto"/>
        <w:rPr>
          <w:rFonts w:ascii="Times New Roman" w:hAnsi="Times New Roman" w:cs="Times New Roman"/>
        </w:rPr>
      </w:pPr>
      <w:r w:rsidRPr="00B86D6C">
        <w:rPr>
          <w:rFonts w:ascii="Times New Roman" w:hAnsi="Times New Roman" w:cs="Times New Roman"/>
        </w:rPr>
        <w:t>Lista Definitiva de Não Colocação da Mobilidade Interna;</w:t>
      </w:r>
    </w:p>
    <w:p w14:paraId="15583B1D" w14:textId="21DC618C" w:rsidR="00F56518" w:rsidRPr="00F56518" w:rsidRDefault="00F56518" w:rsidP="00F56518">
      <w:pPr>
        <w:pStyle w:val="NoSpacing"/>
        <w:spacing w:line="360" w:lineRule="auto"/>
        <w:jc w:val="both"/>
        <w:rPr>
          <w:rFonts w:ascii="Times New Roman" w:hAnsi="Times New Roman" w:cs="Times New Roman"/>
        </w:rPr>
      </w:pPr>
      <w:r>
        <w:rPr>
          <w:rFonts w:ascii="Times New Roman" w:hAnsi="Times New Roman" w:cs="Times New Roman"/>
        </w:rPr>
        <w:tab/>
      </w:r>
      <w:r w:rsidRPr="00F56518">
        <w:rPr>
          <w:rFonts w:ascii="Times New Roman" w:hAnsi="Times New Roman" w:cs="Times New Roman"/>
        </w:rPr>
        <w:t>Para além destas fontes administrativas principais, é utilizado um cadastro auxiliar de códigos e designações de agrupamentos e escolas, destinado à harmonização da identificação e apresentação das unidades escolares ao longo do período analisado. Este cadastro não constitui uma fonte de resultados da Mobilidade Interna, funcionando como instrumento auxiliar de identificação institucional e harmonização longitudinal.</w:t>
      </w:r>
    </w:p>
    <w:p w14:paraId="74E08892" w14:textId="1E96FE12" w:rsidR="00F56518" w:rsidRPr="00F56518" w:rsidRDefault="00F56518" w:rsidP="00F56518">
      <w:pPr>
        <w:pStyle w:val="NoSpacing"/>
        <w:spacing w:line="360" w:lineRule="auto"/>
        <w:jc w:val="both"/>
        <w:rPr>
          <w:rFonts w:ascii="Times New Roman" w:hAnsi="Times New Roman" w:cs="Times New Roman"/>
        </w:rPr>
      </w:pPr>
      <w:r>
        <w:rPr>
          <w:rFonts w:ascii="Times New Roman" w:hAnsi="Times New Roman" w:cs="Times New Roman"/>
        </w:rPr>
        <w:tab/>
      </w:r>
      <w:r w:rsidRPr="00F56518">
        <w:rPr>
          <w:rFonts w:ascii="Times New Roman" w:hAnsi="Times New Roman" w:cs="Times New Roman"/>
        </w:rPr>
        <w:t>A unidade elementar da base analítica anual corresponde a uma participação de um candidato num determinado ano letivo e grupo de recrutamento. Esta opção permite preservar separadamente participações do mesmo docente em diferentes grupos de recrutamento e reduzir ambiguidades nos processos posteriores de cruzamento e análise longitudinal.</w:t>
      </w:r>
    </w:p>
    <w:p w14:paraId="0F6949B7" w14:textId="1F2BCE9D" w:rsidR="00FE7609" w:rsidRPr="00B86D6C" w:rsidRDefault="009D233F"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 xml:space="preserve">A </w:t>
      </w:r>
      <w:r w:rsidR="00F56518">
        <w:rPr>
          <w:rFonts w:ascii="Times New Roman" w:hAnsi="Times New Roman" w:cs="Times New Roman"/>
          <w:lang w:eastAsia="pt-PT"/>
        </w:rPr>
        <w:t>l</w:t>
      </w:r>
      <w:r w:rsidR="00FE7609" w:rsidRPr="00B86D6C">
        <w:rPr>
          <w:rFonts w:ascii="Times New Roman" w:hAnsi="Times New Roman" w:cs="Times New Roman"/>
          <w:lang w:eastAsia="pt-PT"/>
        </w:rPr>
        <w:t xml:space="preserve">ista de </w:t>
      </w:r>
      <w:r w:rsidR="00F56518">
        <w:rPr>
          <w:rFonts w:ascii="Times New Roman" w:hAnsi="Times New Roman" w:cs="Times New Roman"/>
          <w:lang w:eastAsia="pt-PT"/>
        </w:rPr>
        <w:t>o</w:t>
      </w:r>
      <w:r w:rsidR="00FE7609" w:rsidRPr="00B86D6C">
        <w:rPr>
          <w:rFonts w:ascii="Times New Roman" w:hAnsi="Times New Roman" w:cs="Times New Roman"/>
          <w:lang w:eastAsia="pt-PT"/>
        </w:rPr>
        <w:t xml:space="preserve">rdenação assume uma importância particular porque permite recuperar informação que nem sempre se encontra explicitamente disponível nas listas finais, </w:t>
      </w:r>
      <w:r w:rsidR="00FE7609" w:rsidRPr="00B86D6C">
        <w:rPr>
          <w:rFonts w:ascii="Times New Roman" w:hAnsi="Times New Roman" w:cs="Times New Roman"/>
          <w:lang w:eastAsia="pt-PT"/>
        </w:rPr>
        <w:lastRenderedPageBreak/>
        <w:t>nomeadamente a escola concreta em que determinados docentes, particularmente os pertencentes a Quadros de Zona Pedagógica (QZP), se encontravam colocados antes do procedimento.</w:t>
      </w:r>
    </w:p>
    <w:p w14:paraId="553DA22F" w14:textId="308F3EBC" w:rsidR="00FE7609" w:rsidRPr="00B86D6C" w:rsidRDefault="009D233F"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A chave primária utilizada no cruzamento é:</w:t>
      </w:r>
    </w:p>
    <w:p w14:paraId="18C9722C" w14:textId="292E316D" w:rsidR="00FE7609" w:rsidRPr="00B86D6C" w:rsidRDefault="00FE7609" w:rsidP="00B86D6C">
      <w:pPr>
        <w:pStyle w:val="NoSpacing"/>
        <w:spacing w:line="360" w:lineRule="auto"/>
        <w:jc w:val="both"/>
        <w:rPr>
          <w:rFonts w:ascii="Times New Roman" w:hAnsi="Times New Roman" w:cs="Times New Roman"/>
          <w:lang w:eastAsia="pt-PT"/>
        </w:rPr>
      </w:pPr>
      <m:oMathPara>
        <m:oMath>
          <m:r>
            <w:rPr>
              <w:rFonts w:ascii="Cambria Math" w:hAnsi="Cambria Math" w:cs="Times New Roman"/>
              <w:lang w:eastAsia="pt-PT"/>
            </w:rPr>
            <m:t>K=( N</m:t>
          </m:r>
          <m:acc>
            <m:accPr>
              <m:chr m:val="ˊ"/>
              <m:ctrlPr>
                <w:rPr>
                  <w:rFonts w:ascii="Cambria Math" w:hAnsi="Cambria Math" w:cs="Times New Roman"/>
                  <w:lang w:eastAsia="pt-PT"/>
                </w:rPr>
              </m:ctrlPr>
            </m:accPr>
            <m:e>
              <m:r>
                <w:rPr>
                  <w:rFonts w:ascii="Cambria Math" w:hAnsi="Cambria Math" w:cs="Times New Roman"/>
                  <w:lang w:eastAsia="pt-PT"/>
                </w:rPr>
                <m:t>u</m:t>
              </m:r>
            </m:e>
          </m:acc>
          <m:r>
            <w:rPr>
              <w:rFonts w:ascii="Cambria Math" w:hAnsi="Cambria Math" w:cs="Times New Roman"/>
              <w:lang w:eastAsia="pt-PT"/>
            </w:rPr>
            <m:t>mero</m:t>
          </m:r>
          <m:r>
            <m:rPr>
              <m:sty m:val="p"/>
            </m:rPr>
            <w:rPr>
              <w:rFonts w:ascii="Cambria Math" w:hAnsi="Cambria Math" w:cs="Times New Roman"/>
              <w:lang w:eastAsia="pt-PT"/>
            </w:rPr>
            <m:t xml:space="preserve"> </m:t>
          </m:r>
          <m:r>
            <w:rPr>
              <w:rFonts w:ascii="Cambria Math" w:hAnsi="Cambria Math" w:cs="Times New Roman"/>
              <w:lang w:eastAsia="pt-PT"/>
            </w:rPr>
            <m:t>de</m:t>
          </m:r>
          <m:r>
            <m:rPr>
              <m:sty m:val="p"/>
            </m:rPr>
            <w:rPr>
              <w:rFonts w:ascii="Cambria Math" w:hAnsi="Cambria Math" w:cs="Times New Roman"/>
              <w:lang w:eastAsia="pt-PT"/>
            </w:rPr>
            <m:t xml:space="preserve"> </m:t>
          </m:r>
          <m:r>
            <w:rPr>
              <w:rFonts w:ascii="Cambria Math" w:hAnsi="Cambria Math" w:cs="Times New Roman"/>
              <w:lang w:eastAsia="pt-PT"/>
            </w:rPr>
            <m:t>Utilizador</m:t>
          </m:r>
          <m:r>
            <m:rPr>
              <m:sty m:val="p"/>
            </m:rPr>
            <w:rPr>
              <w:rFonts w:ascii="Cambria Math" w:hAnsi="Cambria Math" w:cs="Times New Roman"/>
              <w:lang w:eastAsia="pt-PT"/>
            </w:rPr>
            <m:t>,</m:t>
          </m:r>
          <m:r>
            <w:rPr>
              <w:rFonts w:ascii="Cambria Math" w:hAnsi="Cambria Math" w:cs="Times New Roman"/>
              <w:lang w:eastAsia="pt-PT"/>
            </w:rPr>
            <m:t>Grupo</m:t>
          </m:r>
          <m:r>
            <m:rPr>
              <m:sty m:val="p"/>
            </m:rPr>
            <w:rPr>
              <w:rFonts w:ascii="Cambria Math" w:hAnsi="Cambria Math" w:cs="Times New Roman"/>
              <w:lang w:eastAsia="pt-PT"/>
            </w:rPr>
            <m:t xml:space="preserve"> </m:t>
          </m:r>
          <m:r>
            <w:rPr>
              <w:rFonts w:ascii="Cambria Math" w:hAnsi="Cambria Math" w:cs="Times New Roman"/>
              <w:lang w:eastAsia="pt-PT"/>
            </w:rPr>
            <m:t>de</m:t>
          </m:r>
          <m:r>
            <m:rPr>
              <m:sty m:val="p"/>
            </m:rPr>
            <w:rPr>
              <w:rFonts w:ascii="Cambria Math" w:hAnsi="Cambria Math" w:cs="Times New Roman"/>
              <w:lang w:eastAsia="pt-PT"/>
            </w:rPr>
            <m:t xml:space="preserve"> </m:t>
          </m:r>
          <m:r>
            <w:rPr>
              <w:rFonts w:ascii="Cambria Math" w:hAnsi="Cambria Math" w:cs="Times New Roman"/>
              <w:lang w:eastAsia="pt-PT"/>
            </w:rPr>
            <m:t>Recrutamento)</m:t>
          </m:r>
        </m:oMath>
      </m:oMathPara>
    </w:p>
    <w:p w14:paraId="31A1A449" w14:textId="02666E3E" w:rsidR="00FE7609" w:rsidRPr="00B86D6C" w:rsidRDefault="009D233F"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O universo analítico anual é definido por:</w:t>
      </w:r>
    </w:p>
    <w:p w14:paraId="45ACB52D" w14:textId="7D7463CA" w:rsidR="00441C5C" w:rsidRPr="00B86D6C" w:rsidRDefault="00000000" w:rsidP="00B86D6C">
      <w:pPr>
        <w:pStyle w:val="NoSpacing"/>
        <w:spacing w:line="360" w:lineRule="auto"/>
        <w:jc w:val="both"/>
        <w:rPr>
          <w:rFonts w:ascii="Times New Roman" w:hAnsi="Times New Roman" w:cs="Times New Roman"/>
          <w:lang w:eastAsia="pt-PT"/>
        </w:rPr>
      </w:pPr>
      <m:oMathPara>
        <m:oMath>
          <m:sSub>
            <m:sSubPr>
              <m:ctrlPr>
                <w:rPr>
                  <w:rFonts w:ascii="Cambria Math" w:hAnsi="Cambria Math" w:cs="Times New Roman"/>
                  <w:i/>
                  <w:lang w:eastAsia="pt-PT"/>
                </w:rPr>
              </m:ctrlPr>
            </m:sSubPr>
            <m:e>
              <m:r>
                <w:rPr>
                  <w:rFonts w:ascii="Cambria Math" w:hAnsi="Cambria Math" w:cs="Times New Roman"/>
                  <w:lang w:eastAsia="pt-PT"/>
                </w:rPr>
                <m:t>U</m:t>
              </m:r>
            </m:e>
            <m:sub>
              <m:r>
                <w:rPr>
                  <w:rFonts w:ascii="Cambria Math" w:hAnsi="Cambria Math" w:cs="Times New Roman"/>
                  <w:lang w:eastAsia="pt-PT"/>
                </w:rPr>
                <m:t>t</m:t>
              </m:r>
            </m:sub>
          </m:sSub>
          <m:r>
            <w:rPr>
              <w:rFonts w:ascii="Cambria Math" w:hAnsi="Cambria Math" w:cs="Times New Roman"/>
              <w:lang w:eastAsia="pt-PT"/>
            </w:rPr>
            <m:t>=</m:t>
          </m:r>
          <m:sSub>
            <m:sSubPr>
              <m:ctrlPr>
                <w:rPr>
                  <w:rFonts w:ascii="Cambria Math" w:hAnsi="Cambria Math" w:cs="Times New Roman"/>
                  <w:i/>
                  <w:lang w:eastAsia="pt-PT"/>
                </w:rPr>
              </m:ctrlPr>
            </m:sSubPr>
            <m:e>
              <m:r>
                <w:rPr>
                  <w:rFonts w:ascii="Cambria Math" w:hAnsi="Cambria Math" w:cs="Times New Roman"/>
                  <w:lang w:eastAsia="pt-PT"/>
                </w:rPr>
                <m:t>Ordenação</m:t>
              </m:r>
            </m:e>
            <m:sub>
              <m:r>
                <w:rPr>
                  <w:rFonts w:ascii="Cambria Math" w:hAnsi="Cambria Math" w:cs="Times New Roman"/>
                  <w:lang w:eastAsia="pt-PT"/>
                </w:rPr>
                <m:t>t</m:t>
              </m:r>
            </m:sub>
          </m:sSub>
          <m:r>
            <w:rPr>
              <w:rFonts w:ascii="Cambria Math" w:hAnsi="Cambria Math" w:cs="Times New Roman"/>
              <w:lang w:eastAsia="pt-PT"/>
            </w:rPr>
            <m:t>∩</m:t>
          </m:r>
          <m:d>
            <m:dPr>
              <m:ctrlPr>
                <w:rPr>
                  <w:rFonts w:ascii="Cambria Math" w:hAnsi="Cambria Math" w:cs="Times New Roman"/>
                  <w:i/>
                  <w:lang w:eastAsia="pt-PT"/>
                </w:rPr>
              </m:ctrlPr>
            </m:dPr>
            <m:e>
              <m:sSub>
                <m:sSubPr>
                  <m:ctrlPr>
                    <w:rPr>
                      <w:rFonts w:ascii="Cambria Math" w:hAnsi="Cambria Math" w:cs="Times New Roman"/>
                      <w:i/>
                      <w:lang w:eastAsia="pt-PT"/>
                    </w:rPr>
                  </m:ctrlPr>
                </m:sSubPr>
                <m:e>
                  <m:r>
                    <w:rPr>
                      <w:rFonts w:ascii="Cambria Math" w:hAnsi="Cambria Math" w:cs="Times New Roman"/>
                      <w:lang w:eastAsia="pt-PT"/>
                    </w:rPr>
                    <m:t>Colocados</m:t>
                  </m:r>
                </m:e>
                <m:sub>
                  <m:r>
                    <w:rPr>
                      <w:rFonts w:ascii="Cambria Math" w:hAnsi="Cambria Math" w:cs="Times New Roman"/>
                      <w:lang w:eastAsia="pt-PT"/>
                    </w:rPr>
                    <m:t>t</m:t>
                  </m:r>
                </m:sub>
              </m:sSub>
              <m:r>
                <w:rPr>
                  <w:rFonts w:ascii="Cambria Math" w:hAnsi="Cambria Math" w:cs="Times New Roman"/>
                  <w:lang w:eastAsia="pt-PT"/>
                </w:rPr>
                <m:t>∪</m:t>
              </m:r>
              <m:sSub>
                <m:sSubPr>
                  <m:ctrlPr>
                    <w:rPr>
                      <w:rFonts w:ascii="Cambria Math" w:hAnsi="Cambria Math" w:cs="Times New Roman"/>
                      <w:i/>
                      <w:lang w:eastAsia="pt-PT"/>
                    </w:rPr>
                  </m:ctrlPr>
                </m:sSubPr>
                <m:e>
                  <m:r>
                    <w:rPr>
                      <w:rFonts w:ascii="Cambria Math" w:hAnsi="Cambria Math" w:cs="Times New Roman"/>
                      <w:lang w:eastAsia="pt-PT"/>
                    </w:rPr>
                    <m:t>Não Colocados</m:t>
                  </m:r>
                </m:e>
                <m:sub>
                  <m:r>
                    <w:rPr>
                      <w:rFonts w:ascii="Cambria Math" w:hAnsi="Cambria Math" w:cs="Times New Roman"/>
                      <w:lang w:eastAsia="pt-PT"/>
                    </w:rPr>
                    <m:t>t</m:t>
                  </m:r>
                </m:sub>
              </m:sSub>
            </m:e>
          </m:d>
        </m:oMath>
      </m:oMathPara>
    </w:p>
    <w:p w14:paraId="34D8AABF" w14:textId="77777777" w:rsidR="009D233F" w:rsidRPr="009D233F" w:rsidRDefault="009D233F" w:rsidP="009D233F">
      <w:pPr>
        <w:pStyle w:val="NoSpacing"/>
        <w:spacing w:line="360" w:lineRule="auto"/>
        <w:jc w:val="both"/>
        <w:rPr>
          <w:rFonts w:ascii="Times New Roman" w:hAnsi="Times New Roman" w:cs="Times New Roman"/>
        </w:rPr>
      </w:pPr>
      <w:r>
        <w:rPr>
          <w:rFonts w:ascii="Times New Roman" w:hAnsi="Times New Roman" w:cs="Times New Roman"/>
        </w:rPr>
        <w:tab/>
      </w:r>
      <w:r w:rsidR="00FE7609" w:rsidRPr="00B86D6C">
        <w:rPr>
          <w:rFonts w:ascii="Times New Roman" w:hAnsi="Times New Roman" w:cs="Times New Roman"/>
          <w:lang w:eastAsia="pt-PT"/>
        </w:rPr>
        <w:t xml:space="preserve">Desta forma, apenas são incluídos candidatos cujo resultado administrativo final pode ser inequivocamente classificado como colocado ou não colocado. Candidatos existentes apenas na lista de ordenação são excluídos, evitando que a ausência de </w:t>
      </w:r>
      <w:r w:rsidR="00FE7609" w:rsidRPr="00B86D6C">
        <w:rPr>
          <w:rFonts w:ascii="Times New Roman" w:hAnsi="Times New Roman" w:cs="Times New Roman"/>
        </w:rPr>
        <w:t>correspondência seja artificialmente interpretada como não colocação.</w:t>
      </w:r>
      <w:r>
        <w:rPr>
          <w:rFonts w:ascii="Times New Roman" w:hAnsi="Times New Roman" w:cs="Times New Roman"/>
        </w:rPr>
        <w:t xml:space="preserve"> </w:t>
      </w:r>
      <w:r w:rsidRPr="009D233F">
        <w:rPr>
          <w:rFonts w:ascii="Times New Roman" w:hAnsi="Times New Roman" w:cs="Times New Roman"/>
        </w:rPr>
        <w:t>Assim:</w:t>
      </w:r>
    </w:p>
    <w:p w14:paraId="771B2C16" w14:textId="77777777" w:rsidR="009D233F" w:rsidRPr="009D233F" w:rsidRDefault="009D233F" w:rsidP="009D233F">
      <w:pPr>
        <w:pStyle w:val="NoSpacing"/>
        <w:numPr>
          <w:ilvl w:val="0"/>
          <w:numId w:val="8"/>
        </w:numPr>
        <w:spacing w:line="360" w:lineRule="auto"/>
        <w:jc w:val="both"/>
        <w:rPr>
          <w:rFonts w:ascii="Times New Roman" w:hAnsi="Times New Roman" w:cs="Times New Roman"/>
        </w:rPr>
      </w:pPr>
      <w:r w:rsidRPr="009D233F">
        <w:rPr>
          <w:rFonts w:ascii="Times New Roman" w:hAnsi="Times New Roman" w:cs="Times New Roman"/>
        </w:rPr>
        <w:t>um candidato apenas presente na ordenação não é automaticamente classificado como não colocado;</w:t>
      </w:r>
    </w:p>
    <w:p w14:paraId="68774BDD" w14:textId="77777777" w:rsidR="009D233F" w:rsidRPr="009D233F" w:rsidRDefault="009D233F" w:rsidP="009D233F">
      <w:pPr>
        <w:pStyle w:val="NoSpacing"/>
        <w:numPr>
          <w:ilvl w:val="0"/>
          <w:numId w:val="8"/>
        </w:numPr>
        <w:spacing w:line="360" w:lineRule="auto"/>
        <w:jc w:val="both"/>
        <w:rPr>
          <w:rFonts w:ascii="Times New Roman" w:hAnsi="Times New Roman" w:cs="Times New Roman"/>
        </w:rPr>
      </w:pPr>
      <w:r w:rsidRPr="009D233F">
        <w:rPr>
          <w:rFonts w:ascii="Times New Roman" w:hAnsi="Times New Roman" w:cs="Times New Roman"/>
        </w:rPr>
        <w:t>um resultado final sem correspondência segura na ordenação é identificado no controlo de qualidade e não é artificialmente reconstruído;</w:t>
      </w:r>
    </w:p>
    <w:p w14:paraId="43A65180" w14:textId="77777777" w:rsidR="009D233F" w:rsidRPr="009D233F" w:rsidRDefault="009D233F" w:rsidP="009D233F">
      <w:pPr>
        <w:pStyle w:val="NoSpacing"/>
        <w:numPr>
          <w:ilvl w:val="0"/>
          <w:numId w:val="8"/>
        </w:numPr>
        <w:spacing w:line="360" w:lineRule="auto"/>
        <w:jc w:val="both"/>
        <w:rPr>
          <w:rFonts w:ascii="Times New Roman" w:hAnsi="Times New Roman" w:cs="Times New Roman"/>
        </w:rPr>
      </w:pPr>
      <w:r w:rsidRPr="009D233F">
        <w:rPr>
          <w:rFonts w:ascii="Times New Roman" w:hAnsi="Times New Roman" w:cs="Times New Roman"/>
        </w:rPr>
        <w:t>exceções documentais são assinaladas explicitamente.</w:t>
      </w:r>
    </w:p>
    <w:p w14:paraId="694FEC48" w14:textId="65119856" w:rsidR="00FE7609" w:rsidRDefault="009D233F" w:rsidP="00B86D6C">
      <w:pPr>
        <w:pStyle w:val="NoSpacing"/>
        <w:spacing w:line="360" w:lineRule="auto"/>
        <w:jc w:val="both"/>
        <w:rPr>
          <w:rFonts w:ascii="Times New Roman" w:hAnsi="Times New Roman" w:cs="Times New Roman"/>
          <w:lang w:eastAsia="pt-PT"/>
        </w:rPr>
      </w:pPr>
      <w:r>
        <w:rPr>
          <w:rFonts w:ascii="Times New Roman" w:hAnsi="Times New Roman" w:cs="Times New Roman"/>
        </w:rPr>
        <w:tab/>
      </w:r>
      <w:r w:rsidR="00FE7609" w:rsidRPr="00B86D6C">
        <w:rPr>
          <w:rFonts w:ascii="Times New Roman" w:hAnsi="Times New Roman" w:cs="Times New Roman"/>
          <w:lang w:eastAsia="pt-PT"/>
        </w:rPr>
        <w:t>O tratamento adotado procura, assim, privilegiar a especificidade e auditabilidade da correspondência em detrimento da imputação de estados administrativos não observados.</w:t>
      </w:r>
    </w:p>
    <w:p w14:paraId="3C225259" w14:textId="77777777" w:rsidR="00FE7609" w:rsidRPr="009D233F" w:rsidRDefault="00FE760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9D233F">
        <w:rPr>
          <w:rFonts w:ascii="Times New Roman" w:eastAsia="Times New Roman" w:hAnsi="Times New Roman" w:cs="Times New Roman"/>
          <w:b/>
          <w:bCs/>
          <w:kern w:val="0"/>
          <w:sz w:val="32"/>
          <w:szCs w:val="32"/>
          <w:lang w:eastAsia="pt-PT"/>
          <w14:ligatures w14:val="none"/>
        </w:rPr>
        <w:t>4. Identificação longitudinal das escolas</w:t>
      </w:r>
    </w:p>
    <w:p w14:paraId="13ABCAB8" w14:textId="210CF09C" w:rsidR="00FE7609" w:rsidRPr="009D233F" w:rsidRDefault="009D233F" w:rsidP="009D233F">
      <w:pPr>
        <w:pStyle w:val="NoSpacing"/>
        <w:spacing w:line="360" w:lineRule="auto"/>
        <w:jc w:val="both"/>
        <w:rPr>
          <w:rFonts w:ascii="Times New Roman" w:hAnsi="Times New Roman" w:cs="Times New Roman"/>
          <w:lang w:eastAsia="pt-PT"/>
        </w:rPr>
      </w:pPr>
      <w:r w:rsidRPr="009D233F">
        <w:rPr>
          <w:rFonts w:ascii="Times New Roman" w:hAnsi="Times New Roman" w:cs="Times New Roman"/>
        </w:rPr>
        <w:tab/>
      </w:r>
      <w:r w:rsidR="00FE7609" w:rsidRPr="009D233F">
        <w:rPr>
          <w:rFonts w:ascii="Times New Roman" w:hAnsi="Times New Roman" w:cs="Times New Roman"/>
          <w:lang w:eastAsia="pt-PT"/>
        </w:rPr>
        <w:t>A identidade institucional das escolas é estabelecida pelo respetivo código administrativo, e não exclusivamente pela designação textual.</w:t>
      </w:r>
      <w:r w:rsidR="00441C5C" w:rsidRPr="009D233F">
        <w:rPr>
          <w:rFonts w:ascii="Times New Roman" w:hAnsi="Times New Roman" w:cs="Times New Roman"/>
          <w:lang w:eastAsia="pt-PT"/>
        </w:rPr>
        <w:t xml:space="preserve"> </w:t>
      </w:r>
      <w:r w:rsidR="00FE7609" w:rsidRPr="009D233F">
        <w:rPr>
          <w:rFonts w:ascii="Times New Roman" w:hAnsi="Times New Roman" w:cs="Times New Roman"/>
          <w:lang w:eastAsia="pt-PT"/>
        </w:rPr>
        <w:t>Formalmente:</w:t>
      </w:r>
    </w:p>
    <w:p w14:paraId="4A86CC87" w14:textId="371C7D79" w:rsidR="00441C5C" w:rsidRPr="009D233F" w:rsidRDefault="00441C5C" w:rsidP="009D233F">
      <w:pPr>
        <w:pStyle w:val="NoSpacing"/>
        <w:spacing w:line="360" w:lineRule="auto"/>
        <w:jc w:val="both"/>
        <w:rPr>
          <w:rFonts w:ascii="Times New Roman" w:hAnsi="Times New Roman" w:cs="Times New Roman"/>
          <w:lang w:eastAsia="pt-PT"/>
        </w:rPr>
      </w:pPr>
      <m:oMathPara>
        <m:oMath>
          <m:r>
            <w:rPr>
              <w:rFonts w:ascii="Cambria Math" w:hAnsi="Cambria Math" w:cs="Times New Roman"/>
              <w:lang w:eastAsia="pt-PT"/>
            </w:rPr>
            <m:t>Identidade</m:t>
          </m:r>
          <m:r>
            <m:rPr>
              <m:sty m:val="p"/>
            </m:rPr>
            <w:rPr>
              <w:rFonts w:ascii="Cambria Math" w:hAnsi="Cambria Math" w:cs="Times New Roman"/>
              <w:lang w:eastAsia="pt-PT"/>
            </w:rPr>
            <m:t>(</m:t>
          </m:r>
          <m:sSub>
            <m:sSubPr>
              <m:ctrlPr>
                <w:rPr>
                  <w:rFonts w:ascii="Cambria Math" w:hAnsi="Cambria Math" w:cs="Times New Roman"/>
                  <w:lang w:eastAsia="pt-PT"/>
                </w:rPr>
              </m:ctrlPr>
            </m:sSubPr>
            <m:e>
              <m:r>
                <w:rPr>
                  <w:rFonts w:ascii="Cambria Math" w:hAnsi="Cambria Math" w:cs="Times New Roman"/>
                  <w:lang w:eastAsia="pt-PT"/>
                </w:rPr>
                <m:t>E</m:t>
              </m:r>
            </m:e>
            <m:sub>
              <m:r>
                <w:rPr>
                  <w:rFonts w:ascii="Cambria Math" w:hAnsi="Cambria Math" w:cs="Times New Roman"/>
                  <w:lang w:eastAsia="pt-PT"/>
                </w:rPr>
                <m:t>i</m:t>
              </m:r>
            </m:sub>
          </m:sSub>
          <m:r>
            <m:rPr>
              <m:sty m:val="p"/>
            </m:rPr>
            <w:rPr>
              <w:rFonts w:ascii="Cambria Math" w:hAnsi="Cambria Math" w:cs="Times New Roman"/>
              <w:lang w:eastAsia="pt-PT"/>
            </w:rPr>
            <m:t>)=</m:t>
          </m:r>
          <m:r>
            <w:rPr>
              <w:rFonts w:ascii="Cambria Math" w:hAnsi="Cambria Math" w:cs="Times New Roman"/>
              <w:lang w:eastAsia="pt-PT"/>
            </w:rPr>
            <m:t>C</m:t>
          </m:r>
          <m:acc>
            <m:accPr>
              <m:chr m:val="ˊ"/>
              <m:ctrlPr>
                <w:rPr>
                  <w:rFonts w:ascii="Cambria Math" w:hAnsi="Cambria Math" w:cs="Times New Roman"/>
                  <w:lang w:eastAsia="pt-PT"/>
                </w:rPr>
              </m:ctrlPr>
            </m:accPr>
            <m:e>
              <m:r>
                <w:rPr>
                  <w:rFonts w:ascii="Cambria Math" w:hAnsi="Cambria Math" w:cs="Times New Roman"/>
                  <w:lang w:eastAsia="pt-PT"/>
                </w:rPr>
                <m:t>o</m:t>
              </m:r>
            </m:e>
          </m:acc>
          <m:r>
            <w:rPr>
              <w:rFonts w:ascii="Cambria Math" w:hAnsi="Cambria Math" w:cs="Times New Roman"/>
              <w:lang w:eastAsia="pt-PT"/>
            </w:rPr>
            <m:t>digo</m:t>
          </m:r>
          <m:r>
            <m:rPr>
              <m:sty m:val="p"/>
            </m:rPr>
            <w:rPr>
              <w:rFonts w:ascii="Cambria Math" w:hAnsi="Cambria Math" w:cs="Times New Roman"/>
              <w:lang w:eastAsia="pt-PT"/>
            </w:rPr>
            <m:t>(</m:t>
          </m:r>
          <m:sSub>
            <m:sSubPr>
              <m:ctrlPr>
                <w:rPr>
                  <w:rFonts w:ascii="Cambria Math" w:hAnsi="Cambria Math" w:cs="Times New Roman"/>
                  <w:lang w:eastAsia="pt-PT"/>
                </w:rPr>
              </m:ctrlPr>
            </m:sSubPr>
            <m:e>
              <m:r>
                <w:rPr>
                  <w:rFonts w:ascii="Cambria Math" w:hAnsi="Cambria Math" w:cs="Times New Roman"/>
                  <w:lang w:eastAsia="pt-PT"/>
                </w:rPr>
                <m:t>E</m:t>
              </m:r>
            </m:e>
            <m:sub>
              <m:r>
                <w:rPr>
                  <w:rFonts w:ascii="Cambria Math" w:hAnsi="Cambria Math" w:cs="Times New Roman"/>
                  <w:lang w:eastAsia="pt-PT"/>
                </w:rPr>
                <m:t>i</m:t>
              </m:r>
            </m:sub>
          </m:sSub>
          <m:r>
            <m:rPr>
              <m:sty m:val="p"/>
            </m:rPr>
            <w:rPr>
              <w:rFonts w:ascii="Cambria Math" w:hAnsi="Cambria Math" w:cs="Times New Roman"/>
              <w:lang w:eastAsia="pt-PT"/>
            </w:rPr>
            <m:t>)</m:t>
          </m:r>
        </m:oMath>
      </m:oMathPara>
    </w:p>
    <w:p w14:paraId="6EA68905" w14:textId="0877621F" w:rsidR="00FE7609" w:rsidRPr="009D233F" w:rsidRDefault="009D233F" w:rsidP="009D233F">
      <w:pPr>
        <w:pStyle w:val="NoSpacing"/>
        <w:spacing w:line="360" w:lineRule="auto"/>
        <w:jc w:val="both"/>
        <w:rPr>
          <w:rFonts w:ascii="Times New Roman" w:hAnsi="Times New Roman" w:cs="Times New Roman"/>
          <w:lang w:eastAsia="pt-PT"/>
        </w:rPr>
      </w:pPr>
      <w:r w:rsidRPr="009D233F">
        <w:rPr>
          <w:rFonts w:ascii="Times New Roman" w:hAnsi="Times New Roman" w:cs="Times New Roman"/>
        </w:rPr>
        <w:tab/>
      </w:r>
      <w:r w:rsidR="00FE7609" w:rsidRPr="009D233F">
        <w:rPr>
          <w:rFonts w:ascii="Times New Roman" w:hAnsi="Times New Roman" w:cs="Times New Roman"/>
          <w:lang w:eastAsia="pt-PT"/>
        </w:rPr>
        <w:t>Esta opção é particularmente relevante numa análise longitudinal, porque as designações podem sofrer alterações, abreviações ou truncamentos na extração dos documentos, enquanto estabelecimentos geograficamente próximos podem possuir nomes parcialmente semelhantes sem constituírem a mesma unidade administrativa.</w:t>
      </w:r>
    </w:p>
    <w:p w14:paraId="2104635C" w14:textId="39EDAC8C" w:rsidR="002351D2" w:rsidRPr="002351D2" w:rsidRDefault="009D233F" w:rsidP="002351D2">
      <w:pPr>
        <w:pStyle w:val="NoSpacing"/>
        <w:spacing w:line="360" w:lineRule="auto"/>
        <w:jc w:val="both"/>
        <w:rPr>
          <w:rFonts w:ascii="Times New Roman" w:hAnsi="Times New Roman" w:cs="Times New Roman"/>
          <w:lang w:eastAsia="pt-PT"/>
        </w:rPr>
      </w:pPr>
      <w:r w:rsidRPr="009D233F">
        <w:rPr>
          <w:rFonts w:ascii="Times New Roman" w:hAnsi="Times New Roman" w:cs="Times New Roman"/>
        </w:rPr>
        <w:tab/>
      </w:r>
      <w:r w:rsidR="003247B6" w:rsidRPr="003247B6">
        <w:rPr>
          <w:rFonts w:ascii="Times New Roman" w:hAnsi="Times New Roman" w:cs="Times New Roman"/>
        </w:rPr>
        <w:t xml:space="preserve">Assim, é construído um cadastro longitudinal de códigos, preservando simultaneamente designações canónicas e, sempre que necessário, designações históricas. O cadastro pode ainda incorporar informação auxiliar de enquadramento, designadamente concelho e QZP de referência, permitindo identificar códigos históricos ou especiais e </w:t>
      </w:r>
      <w:r w:rsidR="003247B6" w:rsidRPr="003247B6">
        <w:rPr>
          <w:rFonts w:ascii="Times New Roman" w:hAnsi="Times New Roman" w:cs="Times New Roman"/>
        </w:rPr>
        <w:lastRenderedPageBreak/>
        <w:t>preservar entidades institucionais anteriores sem as fundir automaticamente com códigos atualmente existentes</w:t>
      </w:r>
      <w:r w:rsidR="00FE7609" w:rsidRPr="009D233F">
        <w:rPr>
          <w:rFonts w:ascii="Times New Roman" w:hAnsi="Times New Roman" w:cs="Times New Roman"/>
        </w:rPr>
        <w:t>.</w:t>
      </w:r>
      <w:r w:rsidR="002351D2">
        <w:rPr>
          <w:rFonts w:ascii="Times New Roman" w:hAnsi="Times New Roman" w:cs="Times New Roman"/>
          <w:lang w:eastAsia="pt-PT"/>
        </w:rPr>
        <w:t xml:space="preserve"> </w:t>
      </w:r>
      <w:r w:rsidR="002351D2" w:rsidRPr="002351D2">
        <w:rPr>
          <w:rFonts w:ascii="Times New Roman" w:hAnsi="Times New Roman" w:cs="Times New Roman"/>
        </w:rPr>
        <w:t>Quando a origem não pode ser determinada de forma segura:</w:t>
      </w:r>
    </w:p>
    <w:p w14:paraId="40647A7E" w14:textId="442BA063" w:rsidR="002351D2" w:rsidRPr="002351D2" w:rsidRDefault="002351D2" w:rsidP="002351D2">
      <w:pPr>
        <w:pStyle w:val="NoSpacing"/>
        <w:numPr>
          <w:ilvl w:val="0"/>
          <w:numId w:val="9"/>
        </w:numPr>
        <w:spacing w:line="360" w:lineRule="auto"/>
        <w:jc w:val="both"/>
        <w:rPr>
          <w:rFonts w:ascii="Times New Roman" w:hAnsi="Times New Roman" w:cs="Times New Roman"/>
        </w:rPr>
      </w:pPr>
      <w:r w:rsidRPr="002351D2">
        <w:rPr>
          <w:rFonts w:ascii="Times New Roman" w:hAnsi="Times New Roman" w:cs="Times New Roman"/>
        </w:rPr>
        <w:t>o candidato pode permanecer na análise global, se o resultado for válido;</w:t>
      </w:r>
    </w:p>
    <w:p w14:paraId="69BC04D8" w14:textId="77777777" w:rsidR="002351D2" w:rsidRPr="002351D2" w:rsidRDefault="002351D2" w:rsidP="002351D2">
      <w:pPr>
        <w:pStyle w:val="NoSpacing"/>
        <w:numPr>
          <w:ilvl w:val="0"/>
          <w:numId w:val="9"/>
        </w:numPr>
        <w:spacing w:line="360" w:lineRule="auto"/>
        <w:jc w:val="both"/>
        <w:rPr>
          <w:rFonts w:ascii="Times New Roman" w:hAnsi="Times New Roman" w:cs="Times New Roman"/>
        </w:rPr>
      </w:pPr>
      <w:r w:rsidRPr="002351D2">
        <w:rPr>
          <w:rFonts w:ascii="Times New Roman" w:hAnsi="Times New Roman" w:cs="Times New Roman"/>
        </w:rPr>
        <w:t>é assinalado como origem indisponível;</w:t>
      </w:r>
    </w:p>
    <w:p w14:paraId="6D12C0D6" w14:textId="605A547B" w:rsidR="002351D2" w:rsidRPr="002351D2" w:rsidRDefault="002351D2" w:rsidP="002351D2">
      <w:pPr>
        <w:pStyle w:val="NoSpacing"/>
        <w:numPr>
          <w:ilvl w:val="0"/>
          <w:numId w:val="9"/>
        </w:numPr>
        <w:spacing w:line="360" w:lineRule="auto"/>
        <w:jc w:val="both"/>
        <w:rPr>
          <w:rFonts w:ascii="Times New Roman" w:hAnsi="Times New Roman" w:cs="Times New Roman"/>
        </w:rPr>
      </w:pPr>
      <w:r w:rsidRPr="002351D2">
        <w:rPr>
          <w:rFonts w:ascii="Times New Roman" w:hAnsi="Times New Roman" w:cs="Times New Roman"/>
        </w:rPr>
        <w:t>não deve alimentar uma aresta escola</w:t>
      </w:r>
      <w:r>
        <w:rPr>
          <w:rFonts w:ascii="Times New Roman" w:hAnsi="Times New Roman" w:cs="Times New Roman"/>
        </w:rPr>
        <w:t xml:space="preserve"> </w:t>
      </w:r>
      <w:r w:rsidRPr="002351D2">
        <w:rPr>
          <w:rFonts w:ascii="Times New Roman" w:hAnsi="Times New Roman" w:cs="Times New Roman"/>
        </w:rPr>
        <w:t>→</w:t>
      </w:r>
      <w:r>
        <w:rPr>
          <w:rFonts w:ascii="Times New Roman" w:hAnsi="Times New Roman" w:cs="Times New Roman"/>
        </w:rPr>
        <w:t xml:space="preserve"> </w:t>
      </w:r>
      <w:r w:rsidRPr="002351D2">
        <w:rPr>
          <w:rFonts w:ascii="Times New Roman" w:hAnsi="Times New Roman" w:cs="Times New Roman"/>
        </w:rPr>
        <w:t>escola na rede.</w:t>
      </w:r>
    </w:p>
    <w:p w14:paraId="02311CA3" w14:textId="03235B4F" w:rsidR="00FE7609" w:rsidRPr="009D233F" w:rsidRDefault="009D233F" w:rsidP="009D233F">
      <w:pPr>
        <w:pStyle w:val="NoSpacing"/>
        <w:spacing w:line="360" w:lineRule="auto"/>
        <w:jc w:val="both"/>
        <w:rPr>
          <w:rFonts w:ascii="Times New Roman" w:hAnsi="Times New Roman" w:cs="Times New Roman"/>
          <w:lang w:eastAsia="pt-PT"/>
        </w:rPr>
      </w:pPr>
      <w:r w:rsidRPr="009D233F">
        <w:rPr>
          <w:rFonts w:ascii="Times New Roman" w:hAnsi="Times New Roman" w:cs="Times New Roman"/>
        </w:rPr>
        <w:tab/>
      </w:r>
      <w:r w:rsidR="00FE7609" w:rsidRPr="009D233F">
        <w:rPr>
          <w:rFonts w:ascii="Times New Roman" w:hAnsi="Times New Roman" w:cs="Times New Roman"/>
          <w:lang w:eastAsia="pt-PT"/>
        </w:rPr>
        <w:t>Esta regra impede que diferentes estabelecimentos sejam agregados apenas por semelhança nominal e permite acompanhar a mesma unidade institucional ao longo do período analisado.</w:t>
      </w:r>
    </w:p>
    <w:p w14:paraId="584B97B9" w14:textId="77777777" w:rsidR="00FE7609" w:rsidRPr="002351D2" w:rsidRDefault="00FE760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2351D2">
        <w:rPr>
          <w:rFonts w:ascii="Times New Roman" w:eastAsia="Times New Roman" w:hAnsi="Times New Roman" w:cs="Times New Roman"/>
          <w:b/>
          <w:bCs/>
          <w:kern w:val="0"/>
          <w:sz w:val="32"/>
          <w:szCs w:val="32"/>
          <w:lang w:eastAsia="pt-PT"/>
          <w14:ligatures w14:val="none"/>
        </w:rPr>
        <w:t>5. Escola de origem e escola de destino</w:t>
      </w:r>
    </w:p>
    <w:p w14:paraId="67088905" w14:textId="00D09F7A" w:rsidR="00FE7609" w:rsidRPr="002351D2" w:rsidRDefault="002351D2" w:rsidP="002351D2">
      <w:pPr>
        <w:pStyle w:val="NoSpacing"/>
        <w:spacing w:line="360" w:lineRule="auto"/>
        <w:jc w:val="both"/>
        <w:rPr>
          <w:rFonts w:ascii="Times New Roman" w:hAnsi="Times New Roman" w:cs="Times New Roman"/>
        </w:rPr>
      </w:pPr>
      <w:r w:rsidRPr="009D233F">
        <w:rPr>
          <w:rFonts w:ascii="Times New Roman" w:hAnsi="Times New Roman" w:cs="Times New Roman"/>
        </w:rPr>
        <w:tab/>
      </w:r>
      <w:r w:rsidR="00FE7609" w:rsidRPr="002351D2">
        <w:rPr>
          <w:rFonts w:ascii="Times New Roman" w:hAnsi="Times New Roman" w:cs="Times New Roman"/>
        </w:rPr>
        <w:t>Para candidatos colocados, cada observação pode ser representada como:</w:t>
      </w:r>
    </w:p>
    <w:p w14:paraId="4D7D6579" w14:textId="70CB1D98" w:rsidR="00FE7609" w:rsidRPr="002351D2" w:rsidRDefault="00000000" w:rsidP="002351D2">
      <w:pPr>
        <w:pStyle w:val="NoSpacing"/>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r>
            <w:rPr>
              <w:rFonts w:ascii="Cambria Math" w:hAnsi="Cambria Math" w:cs="Times New Roman"/>
            </w:rPr>
            <m:t>,</m:t>
          </m:r>
        </m:oMath>
      </m:oMathPara>
    </w:p>
    <w:p w14:paraId="5EAAB8EF" w14:textId="0D6CB262" w:rsidR="00FE7609" w:rsidRPr="002351D2" w:rsidRDefault="00FE7609" w:rsidP="002351D2">
      <w:pPr>
        <w:pStyle w:val="NoSpacing"/>
        <w:spacing w:line="360" w:lineRule="auto"/>
        <w:jc w:val="both"/>
        <w:rPr>
          <w:rFonts w:ascii="Times New Roman" w:hAnsi="Times New Roman" w:cs="Times New Roman"/>
        </w:rPr>
      </w:pPr>
      <w:r w:rsidRPr="002351D2">
        <w:rPr>
          <w:rFonts w:ascii="Times New Roman" w:hAnsi="Times New Roman" w:cs="Times New Roman"/>
        </w:rPr>
        <w:t xml:space="preserve">em que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j</m:t>
            </m:r>
          </m:sub>
        </m:sSub>
      </m:oMath>
      <w:r w:rsidRPr="002351D2">
        <w:rPr>
          <w:rFonts w:ascii="Times New Roman" w:hAnsi="Times New Roman" w:cs="Times New Roman"/>
        </w:rPr>
        <w:t xml:space="preserve">representa a escola concreta de origem 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oMath>
      <w:r w:rsidRPr="002351D2">
        <w:rPr>
          <w:rFonts w:ascii="Times New Roman" w:hAnsi="Times New Roman" w:cs="Times New Roman"/>
        </w:rPr>
        <w:t>a escola de destino.</w:t>
      </w:r>
    </w:p>
    <w:p w14:paraId="56858AD4" w14:textId="5E82ADB6" w:rsidR="00FE7609" w:rsidRPr="002351D2" w:rsidRDefault="002351D2" w:rsidP="002351D2">
      <w:pPr>
        <w:pStyle w:val="NoSpacing"/>
        <w:spacing w:line="360" w:lineRule="auto"/>
        <w:jc w:val="both"/>
        <w:rPr>
          <w:rFonts w:ascii="Times New Roman" w:hAnsi="Times New Roman" w:cs="Times New Roman"/>
        </w:rPr>
      </w:pPr>
      <w:r w:rsidRPr="009D233F">
        <w:rPr>
          <w:rFonts w:ascii="Times New Roman" w:hAnsi="Times New Roman" w:cs="Times New Roman"/>
        </w:rPr>
        <w:tab/>
      </w:r>
      <w:r w:rsidR="00FE7609" w:rsidRPr="002351D2">
        <w:rPr>
          <w:rFonts w:ascii="Times New Roman" w:hAnsi="Times New Roman" w:cs="Times New Roman"/>
        </w:rPr>
        <w:t>Para os QZP, o código do Quadro de Zona Pedagógica não é tratado como escola. Sempre que possível, a escola efetiva de origem é recuperada através do campo de colocação/provimento existente na lista de ordenação.</w:t>
      </w:r>
    </w:p>
    <w:p w14:paraId="5C2BD755" w14:textId="564F0745" w:rsidR="00FE7609" w:rsidRPr="002351D2" w:rsidRDefault="002351D2" w:rsidP="002351D2">
      <w:pPr>
        <w:pStyle w:val="NoSpacing"/>
        <w:spacing w:line="360" w:lineRule="auto"/>
        <w:jc w:val="both"/>
        <w:rPr>
          <w:rFonts w:ascii="Times New Roman" w:hAnsi="Times New Roman" w:cs="Times New Roman"/>
        </w:rPr>
      </w:pPr>
      <w:r w:rsidRPr="009D233F">
        <w:rPr>
          <w:rFonts w:ascii="Times New Roman" w:hAnsi="Times New Roman" w:cs="Times New Roman"/>
        </w:rPr>
        <w:tab/>
      </w:r>
      <w:r w:rsidR="00FE7609" w:rsidRPr="002351D2">
        <w:rPr>
          <w:rFonts w:ascii="Times New Roman" w:hAnsi="Times New Roman" w:cs="Times New Roman"/>
        </w:rPr>
        <w:t>Esta distinção é metodologicamente indispensável. Caso o QZP fosse utilizado como origem, seriam criadas ligações artificiais:</w:t>
      </w:r>
    </w:p>
    <w:p w14:paraId="18F0BC6F" w14:textId="3B3B3646" w:rsidR="00FE7609" w:rsidRPr="002351D2" w:rsidRDefault="00FE7609" w:rsidP="002351D2">
      <w:pPr>
        <w:pStyle w:val="NoSpacing"/>
        <w:spacing w:line="360" w:lineRule="auto"/>
        <w:jc w:val="both"/>
        <w:rPr>
          <w:rFonts w:ascii="Times New Roman" w:hAnsi="Times New Roman" w:cs="Times New Roman"/>
        </w:rPr>
      </w:pPr>
      <m:oMathPara>
        <m:oMath>
          <m:r>
            <w:rPr>
              <w:rFonts w:ascii="Cambria Math" w:hAnsi="Cambria Math" w:cs="Times New Roman"/>
            </w:rPr>
            <m:t>QZP→Escola,</m:t>
          </m:r>
        </m:oMath>
      </m:oMathPara>
    </w:p>
    <w:p w14:paraId="6679BF05" w14:textId="77777777" w:rsidR="00FE7609" w:rsidRPr="002351D2" w:rsidRDefault="00FE7609" w:rsidP="002351D2">
      <w:pPr>
        <w:pStyle w:val="NoSpacing"/>
        <w:spacing w:line="360" w:lineRule="auto"/>
        <w:jc w:val="both"/>
        <w:rPr>
          <w:rFonts w:ascii="Times New Roman" w:hAnsi="Times New Roman" w:cs="Times New Roman"/>
        </w:rPr>
      </w:pPr>
      <w:r w:rsidRPr="002351D2">
        <w:rPr>
          <w:rFonts w:ascii="Times New Roman" w:hAnsi="Times New Roman" w:cs="Times New Roman"/>
        </w:rPr>
        <w:t>em vez do movimento organizacional efetivamente relevante:</w:t>
      </w:r>
    </w:p>
    <w:p w14:paraId="67A214B5" w14:textId="699DDE30" w:rsidR="00FE7609" w:rsidRPr="002351D2" w:rsidRDefault="00FE7609" w:rsidP="002351D2">
      <w:pPr>
        <w:pStyle w:val="NoSpacing"/>
        <w:spacing w:line="360" w:lineRule="auto"/>
        <w:jc w:val="both"/>
        <w:rPr>
          <w:rFonts w:ascii="Times New Roman" w:hAnsi="Times New Roman" w:cs="Times New Roman"/>
        </w:rPr>
      </w:pPr>
      <m:oMathPara>
        <m:oMath>
          <m:r>
            <w:rPr>
              <w:rFonts w:ascii="Cambria Math" w:hAnsi="Cambria Math" w:cs="Times New Roman"/>
            </w:rPr>
            <m:t>Escol</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A</m:t>
              </m:r>
            </m:sub>
          </m:sSub>
          <m:r>
            <w:rPr>
              <w:rFonts w:ascii="Cambria Math" w:hAnsi="Cambria Math" w:cs="Times New Roman"/>
            </w:rPr>
            <m:t>→Escol</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B</m:t>
              </m:r>
            </m:sub>
          </m:sSub>
          <m:r>
            <m:rPr>
              <m:sty m:val="p"/>
            </m:rPr>
            <w:rPr>
              <w:rFonts w:ascii="Cambria Math" w:hAnsi="Cambria Math" w:cs="Times New Roman"/>
            </w:rPr>
            <m:t>.</m:t>
          </m:r>
        </m:oMath>
      </m:oMathPara>
    </w:p>
    <w:p w14:paraId="50014130" w14:textId="30D6B371" w:rsidR="00FE7609" w:rsidRDefault="002351D2" w:rsidP="002351D2">
      <w:pPr>
        <w:pStyle w:val="NoSpacing"/>
        <w:spacing w:line="360" w:lineRule="auto"/>
        <w:jc w:val="both"/>
        <w:rPr>
          <w:rFonts w:ascii="Times New Roman" w:hAnsi="Times New Roman" w:cs="Times New Roman"/>
        </w:rPr>
      </w:pPr>
      <w:r w:rsidRPr="009D233F">
        <w:rPr>
          <w:rFonts w:ascii="Times New Roman" w:hAnsi="Times New Roman" w:cs="Times New Roman"/>
        </w:rPr>
        <w:tab/>
      </w:r>
      <w:r w:rsidR="00FE7609" w:rsidRPr="002351D2">
        <w:rPr>
          <w:rFonts w:ascii="Times New Roman" w:hAnsi="Times New Roman" w:cs="Times New Roman"/>
        </w:rPr>
        <w:t>Os casos em que não é possível identificar uma escola concreta de origem permanecem identificados no controlo de qualidade, mas não são utilizados para construir uma aresta escola–escola.</w:t>
      </w:r>
    </w:p>
    <w:p w14:paraId="57D11E64" w14:textId="64A817DE" w:rsidR="003247B6" w:rsidRPr="00B54FDB" w:rsidRDefault="003247B6" w:rsidP="003247B6">
      <w:pPr>
        <w:spacing w:before="100" w:beforeAutospacing="1" w:after="100" w:afterAutospacing="1" w:line="240" w:lineRule="auto"/>
        <w:ind w:firstLine="708"/>
        <w:jc w:val="both"/>
        <w:outlineLvl w:val="1"/>
        <w:rPr>
          <w:rFonts w:ascii="Times New Roman" w:eastAsia="Times New Roman" w:hAnsi="Times New Roman" w:cs="Times New Roman"/>
          <w:b/>
          <w:bCs/>
          <w:kern w:val="0"/>
          <w:sz w:val="32"/>
          <w:szCs w:val="32"/>
          <w:lang w:eastAsia="pt-PT"/>
          <w14:ligatures w14:val="none"/>
        </w:rPr>
      </w:pPr>
      <w:r>
        <w:rPr>
          <w:rFonts w:ascii="Times New Roman" w:eastAsia="Times New Roman" w:hAnsi="Times New Roman" w:cs="Times New Roman"/>
          <w:b/>
          <w:bCs/>
          <w:kern w:val="0"/>
          <w:sz w:val="32"/>
          <w:szCs w:val="32"/>
          <w:lang w:eastAsia="pt-PT"/>
          <w14:ligatures w14:val="none"/>
        </w:rPr>
        <w:t>5.</w:t>
      </w:r>
      <w:r w:rsidRPr="00B54FDB">
        <w:rPr>
          <w:rFonts w:ascii="Times New Roman" w:eastAsia="Times New Roman" w:hAnsi="Times New Roman" w:cs="Times New Roman"/>
          <w:b/>
          <w:bCs/>
          <w:kern w:val="0"/>
          <w:sz w:val="32"/>
          <w:szCs w:val="32"/>
          <w:lang w:eastAsia="pt-PT"/>
          <w14:ligatures w14:val="none"/>
        </w:rPr>
        <w:t xml:space="preserve">1. </w:t>
      </w:r>
      <w:r>
        <w:rPr>
          <w:rFonts w:ascii="Times New Roman" w:eastAsia="Times New Roman" w:hAnsi="Times New Roman" w:cs="Times New Roman"/>
          <w:b/>
          <w:bCs/>
          <w:kern w:val="0"/>
          <w:sz w:val="32"/>
          <w:szCs w:val="32"/>
          <w:lang w:eastAsia="pt-PT"/>
          <w14:ligatures w14:val="none"/>
        </w:rPr>
        <w:t>E</w:t>
      </w:r>
      <w:r w:rsidRPr="003247B6">
        <w:rPr>
          <w:rFonts w:ascii="Times New Roman" w:eastAsia="Times New Roman" w:hAnsi="Times New Roman" w:cs="Times New Roman"/>
          <w:b/>
          <w:bCs/>
          <w:kern w:val="0"/>
          <w:sz w:val="32"/>
          <w:szCs w:val="32"/>
          <w:lang w:eastAsia="pt-PT"/>
          <w14:ligatures w14:val="none"/>
        </w:rPr>
        <w:t>stados administrativos utilizados na análise longitudinal</w:t>
      </w:r>
    </w:p>
    <w:p w14:paraId="30DC261E" w14:textId="3309126D" w:rsidR="003247B6" w:rsidRPr="003247B6" w:rsidRDefault="003247B6" w:rsidP="003247B6">
      <w:pPr>
        <w:pStyle w:val="NoSpacing"/>
        <w:spacing w:line="360" w:lineRule="auto"/>
        <w:jc w:val="both"/>
        <w:rPr>
          <w:rFonts w:ascii="Times New Roman" w:hAnsi="Times New Roman" w:cs="Times New Roman"/>
        </w:rPr>
      </w:pPr>
      <w:r w:rsidRPr="009D233F">
        <w:rPr>
          <w:rFonts w:ascii="Times New Roman" w:hAnsi="Times New Roman" w:cs="Times New Roman"/>
        </w:rPr>
        <w:tab/>
      </w:r>
      <w:r w:rsidRPr="003247B6">
        <w:rPr>
          <w:rFonts w:ascii="Times New Roman" w:hAnsi="Times New Roman" w:cs="Times New Roman"/>
        </w:rPr>
        <w:t>Para efeitos de classificação anual e posterior reconstrução das trajetórias longitudinais, cada participação docente×grupo pode ser associada, quando a informação disponível o permite, a um dos seguintes estados:</w:t>
      </w:r>
    </w:p>
    <w:p w14:paraId="57F84C30" w14:textId="2CB1023F" w:rsidR="003247B6" w:rsidRDefault="003247B6" w:rsidP="003247B6">
      <w:pPr>
        <w:pStyle w:val="NoSpacing"/>
        <w:numPr>
          <w:ilvl w:val="0"/>
          <w:numId w:val="12"/>
        </w:numPr>
        <w:spacing w:line="360" w:lineRule="auto"/>
        <w:jc w:val="both"/>
        <w:rPr>
          <w:rFonts w:ascii="Times New Roman" w:hAnsi="Times New Roman" w:cs="Times New Roman"/>
        </w:rPr>
      </w:pPr>
      <w:r w:rsidRPr="003247B6">
        <w:rPr>
          <w:rFonts w:ascii="Times New Roman" w:hAnsi="Times New Roman" w:cs="Times New Roman"/>
        </w:rPr>
        <w:t xml:space="preserve">P </w:t>
      </w:r>
      <w:r>
        <w:rPr>
          <w:rFonts w:ascii="Times New Roman" w:hAnsi="Times New Roman" w:cs="Times New Roman"/>
        </w:rPr>
        <w:t>(</w:t>
      </w:r>
      <w:r w:rsidRPr="003247B6">
        <w:rPr>
          <w:rFonts w:ascii="Times New Roman" w:hAnsi="Times New Roman" w:cs="Times New Roman"/>
        </w:rPr>
        <w:t>Permanênci</w:t>
      </w:r>
      <w:r>
        <w:rPr>
          <w:rFonts w:ascii="Times New Roman" w:hAnsi="Times New Roman" w:cs="Times New Roman"/>
        </w:rPr>
        <w:t xml:space="preserve">a): </w:t>
      </w:r>
      <w:r w:rsidRPr="003247B6">
        <w:rPr>
          <w:rFonts w:ascii="Times New Roman" w:hAnsi="Times New Roman" w:cs="Times New Roman"/>
        </w:rPr>
        <w:t>o candidato obtém colocação na mesma escola identificada como escola de origem;</w:t>
      </w:r>
    </w:p>
    <w:p w14:paraId="034AD569" w14:textId="16738456" w:rsidR="003247B6" w:rsidRDefault="003247B6" w:rsidP="003247B6">
      <w:pPr>
        <w:pStyle w:val="NoSpacing"/>
        <w:numPr>
          <w:ilvl w:val="0"/>
          <w:numId w:val="12"/>
        </w:numPr>
        <w:spacing w:line="360" w:lineRule="auto"/>
        <w:jc w:val="both"/>
        <w:rPr>
          <w:rFonts w:ascii="Times New Roman" w:hAnsi="Times New Roman" w:cs="Times New Roman"/>
        </w:rPr>
      </w:pPr>
      <w:r w:rsidRPr="003247B6">
        <w:rPr>
          <w:rFonts w:ascii="Times New Roman" w:hAnsi="Times New Roman" w:cs="Times New Roman"/>
        </w:rPr>
        <w:lastRenderedPageBreak/>
        <w:t xml:space="preserve">M </w:t>
      </w:r>
      <w:r w:rsidRPr="003247B6">
        <w:rPr>
          <w:rFonts w:ascii="Times New Roman" w:hAnsi="Times New Roman" w:cs="Times New Roman"/>
        </w:rPr>
        <w:t>(</w:t>
      </w:r>
      <w:r w:rsidRPr="003247B6">
        <w:rPr>
          <w:rFonts w:ascii="Times New Roman" w:hAnsi="Times New Roman" w:cs="Times New Roman"/>
        </w:rPr>
        <w:t>Mudança</w:t>
      </w:r>
      <w:r w:rsidRPr="003247B6">
        <w:rPr>
          <w:rFonts w:ascii="Times New Roman" w:hAnsi="Times New Roman" w:cs="Times New Roman"/>
        </w:rPr>
        <w:t>)</w:t>
      </w:r>
      <w:r w:rsidRPr="003247B6">
        <w:rPr>
          <w:rFonts w:ascii="Times New Roman" w:hAnsi="Times New Roman" w:cs="Times New Roman"/>
        </w:rPr>
        <w:t>: o candidato obtém colocação numa escola diferente da escola de origem;</w:t>
      </w:r>
    </w:p>
    <w:p w14:paraId="304D4FDE" w14:textId="41272998" w:rsidR="003247B6" w:rsidRDefault="003247B6" w:rsidP="003247B6">
      <w:pPr>
        <w:pStyle w:val="NoSpacing"/>
        <w:numPr>
          <w:ilvl w:val="0"/>
          <w:numId w:val="12"/>
        </w:numPr>
        <w:spacing w:line="360" w:lineRule="auto"/>
        <w:jc w:val="both"/>
        <w:rPr>
          <w:rFonts w:ascii="Times New Roman" w:hAnsi="Times New Roman" w:cs="Times New Roman"/>
        </w:rPr>
      </w:pPr>
      <w:r w:rsidRPr="003247B6">
        <w:rPr>
          <w:rFonts w:ascii="Times New Roman" w:hAnsi="Times New Roman" w:cs="Times New Roman"/>
        </w:rPr>
        <w:t>NC</w:t>
      </w:r>
      <w:r w:rsidRPr="003247B6">
        <w:rPr>
          <w:rFonts w:ascii="Times New Roman" w:hAnsi="Times New Roman" w:cs="Times New Roman"/>
        </w:rPr>
        <w:t xml:space="preserve"> (</w:t>
      </w:r>
      <w:r w:rsidRPr="003247B6">
        <w:rPr>
          <w:rFonts w:ascii="Times New Roman" w:hAnsi="Times New Roman" w:cs="Times New Roman"/>
        </w:rPr>
        <w:t>Não colocação</w:t>
      </w:r>
      <w:r w:rsidRPr="003247B6">
        <w:rPr>
          <w:rFonts w:ascii="Times New Roman" w:hAnsi="Times New Roman" w:cs="Times New Roman"/>
        </w:rPr>
        <w:t>)</w:t>
      </w:r>
      <w:r w:rsidRPr="003247B6">
        <w:rPr>
          <w:rFonts w:ascii="Times New Roman" w:hAnsi="Times New Roman" w:cs="Times New Roman"/>
        </w:rPr>
        <w:t>: o candidato participa no procedimento, mas não obtém colocação;</w:t>
      </w:r>
    </w:p>
    <w:p w14:paraId="08AF0AA5" w14:textId="29CE2E58" w:rsidR="003247B6" w:rsidRPr="003247B6" w:rsidRDefault="003247B6" w:rsidP="003247B6">
      <w:pPr>
        <w:pStyle w:val="NoSpacing"/>
        <w:numPr>
          <w:ilvl w:val="0"/>
          <w:numId w:val="12"/>
        </w:numPr>
        <w:spacing w:line="360" w:lineRule="auto"/>
        <w:jc w:val="both"/>
        <w:rPr>
          <w:rFonts w:ascii="Times New Roman" w:hAnsi="Times New Roman" w:cs="Times New Roman"/>
        </w:rPr>
      </w:pPr>
      <w:r w:rsidRPr="003247B6">
        <w:rPr>
          <w:rFonts w:ascii="Times New Roman" w:hAnsi="Times New Roman" w:cs="Times New Roman"/>
        </w:rPr>
        <w:t>Estado não determinável: a informação disponível não permite atribuir de forma segura um dos estados anteriores.</w:t>
      </w:r>
    </w:p>
    <w:p w14:paraId="3EB85167" w14:textId="294B07CF" w:rsidR="003247B6" w:rsidRPr="002351D2" w:rsidRDefault="003247B6" w:rsidP="002351D2">
      <w:pPr>
        <w:pStyle w:val="NoSpacing"/>
        <w:spacing w:line="360" w:lineRule="auto"/>
        <w:jc w:val="both"/>
        <w:rPr>
          <w:rFonts w:ascii="Times New Roman" w:hAnsi="Times New Roman" w:cs="Times New Roman"/>
        </w:rPr>
      </w:pPr>
      <w:r w:rsidRPr="009D233F">
        <w:rPr>
          <w:rFonts w:ascii="Times New Roman" w:hAnsi="Times New Roman" w:cs="Times New Roman"/>
        </w:rPr>
        <w:tab/>
      </w:r>
      <w:r w:rsidRPr="003247B6">
        <w:rPr>
          <w:rFonts w:ascii="Times New Roman" w:hAnsi="Times New Roman" w:cs="Times New Roman"/>
        </w:rPr>
        <w:t xml:space="preserve">O </w:t>
      </w:r>
      <w:r>
        <w:rPr>
          <w:rFonts w:ascii="Times New Roman" w:hAnsi="Times New Roman" w:cs="Times New Roman"/>
        </w:rPr>
        <w:t>e</w:t>
      </w:r>
      <w:r w:rsidRPr="003247B6">
        <w:rPr>
          <w:rFonts w:ascii="Times New Roman" w:hAnsi="Times New Roman" w:cs="Times New Roman"/>
        </w:rPr>
        <w:t>stado não determinável constitui uma categoria residual de controlo de qualidade e não deve ser artificialmente convertido em permanência, mudança ou não colocação.</w:t>
      </w:r>
    </w:p>
    <w:p w14:paraId="2AE2FBF9" w14:textId="77777777" w:rsidR="00FE7609" w:rsidRPr="002351D2" w:rsidRDefault="00FE760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2351D2">
        <w:rPr>
          <w:rFonts w:ascii="Times New Roman" w:eastAsia="Times New Roman" w:hAnsi="Times New Roman" w:cs="Times New Roman"/>
          <w:b/>
          <w:bCs/>
          <w:kern w:val="0"/>
          <w:sz w:val="32"/>
          <w:szCs w:val="32"/>
          <w:lang w:eastAsia="pt-PT"/>
          <w14:ligatures w14:val="none"/>
        </w:rPr>
        <w:t>6. Tratamento dos candidatos não colocados</w:t>
      </w:r>
    </w:p>
    <w:p w14:paraId="60E9394D" w14:textId="4C7BFFF5" w:rsidR="00FE7609"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FE7609" w:rsidRPr="00B54FDB">
        <w:rPr>
          <w:rFonts w:ascii="Times New Roman" w:hAnsi="Times New Roman" w:cs="Times New Roman"/>
        </w:rPr>
        <w:t>Os candidatos não colocados exigem um tratamento distinto entre os indicadores administrativos e a rede de migração.</w:t>
      </w:r>
    </w:p>
    <w:p w14:paraId="6E482180" w14:textId="4C173AF7" w:rsidR="00FE7609"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FE7609" w:rsidRPr="00B54FDB">
        <w:rPr>
          <w:rFonts w:ascii="Times New Roman" w:hAnsi="Times New Roman" w:cs="Times New Roman"/>
        </w:rPr>
        <w:t>Para os indicadores de pressão escolar, a participação sem colocação é interpretada como manifestação de mobilidade administrativa não concretizada. Assim, para a escola de origem, cada não colocado contribui com:</w:t>
      </w:r>
    </w:p>
    <w:p w14:paraId="603A263B" w14:textId="1A19FD91" w:rsidR="00FE7609" w:rsidRPr="00B54FDB" w:rsidRDefault="00B54FDB" w:rsidP="00B54FDB">
      <w:pPr>
        <w:pStyle w:val="NoSpacing"/>
        <w:spacing w:line="360" w:lineRule="auto"/>
        <w:jc w:val="both"/>
        <w:rPr>
          <w:rFonts w:ascii="Times New Roman" w:hAnsi="Times New Roman" w:cs="Times New Roman"/>
        </w:rPr>
      </w:pPr>
      <m:oMathPara>
        <m:oMath>
          <m:r>
            <w:rPr>
              <w:rFonts w:ascii="Cambria Math" w:hAnsi="Cambria Math" w:cs="Times New Roman"/>
            </w:rPr>
            <m:t>1</m:t>
          </m:r>
          <m:r>
            <m:rPr>
              <m:sty m:val="p"/>
            </m:rPr>
            <w:rPr>
              <w:rFonts w:ascii="Cambria Math" w:hAnsi="Cambria Math" w:cs="Times New Roman"/>
            </w:rPr>
            <m:t xml:space="preserve"> </m:t>
          </m:r>
          <m:r>
            <m:rPr>
              <m:nor/>
            </m:rPr>
            <w:rPr>
              <w:rFonts w:ascii="Times New Roman" w:hAnsi="Times New Roman" w:cs="Times New Roman"/>
            </w:rPr>
            <m:t>sa</m:t>
          </m:r>
          <m:acc>
            <m:accPr>
              <m:chr m:val="ˊ"/>
              <m:ctrlPr>
                <w:rPr>
                  <w:rFonts w:ascii="Cambria Math" w:hAnsi="Cambria Math" w:cs="Times New Roman"/>
                </w:rPr>
              </m:ctrlPr>
            </m:accPr>
            <m:e>
              <m:r>
                <m:rPr>
                  <m:nor/>
                </m:rPr>
                <w:rPr>
                  <w:rFonts w:ascii="Times New Roman" w:hAnsi="Times New Roman" w:cs="Times New Roman"/>
                </w:rPr>
                <m:t>ı</m:t>
              </m:r>
            </m:e>
          </m:acc>
          <m:r>
            <m:rPr>
              <m:nor/>
            </m:rPr>
            <w:rPr>
              <w:rFonts w:ascii="Times New Roman" w:hAnsi="Times New Roman" w:cs="Times New Roman"/>
            </w:rPr>
            <m:t>da administrativa</m:t>
          </m:r>
          <m:r>
            <w:rPr>
              <w:rFonts w:ascii="Cambria Math" w:hAnsi="Cambria Math" w:cs="Times New Roman"/>
            </w:rPr>
            <m:t>+1</m:t>
          </m:r>
          <m:r>
            <m:rPr>
              <m:nor/>
            </m:rPr>
            <w:rPr>
              <w:rFonts w:ascii="Times New Roman" w:hAnsi="Times New Roman" w:cs="Times New Roman"/>
            </w:rPr>
            <m:t xml:space="preserve"> entrada de regresso</m:t>
          </m:r>
          <m:r>
            <m:rPr>
              <m:sty m:val="p"/>
            </m:rPr>
            <w:rPr>
              <w:rFonts w:ascii="Cambria Math" w:hAnsi="Cambria Math" w:cs="Times New Roman"/>
            </w:rPr>
            <m:t>.</m:t>
          </m:r>
        </m:oMath>
      </m:oMathPara>
    </w:p>
    <w:p w14:paraId="31D993A8" w14:textId="531E1723" w:rsidR="00FE7609"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DA6078" w:rsidRPr="00DA6078">
        <w:rPr>
          <w:rFonts w:ascii="Times New Roman" w:hAnsi="Times New Roman" w:cs="Times New Roman"/>
        </w:rPr>
        <w:t>Em termos operacionais, esta convenção equivale a contabilizar uma saída administrativa da escola de origem e uma entrada de regresso à mesma escola. O candidato manifesta intenção administrativa de mobilidade, mas, não tendo obtido nova colocação, não produz uma migração efetiva entre estabelecimentos.</w:t>
      </w:r>
      <w:r w:rsidR="00DA6078" w:rsidRPr="00DA6078">
        <w:rPr>
          <w:rFonts w:ascii="Times New Roman" w:hAnsi="Times New Roman" w:cs="Times New Roman"/>
        </w:rPr>
        <w:t xml:space="preserve"> </w:t>
      </w:r>
      <w:r w:rsidR="00DA6078">
        <w:rPr>
          <w:rFonts w:ascii="Times New Roman" w:hAnsi="Times New Roman" w:cs="Times New Roman"/>
        </w:rPr>
        <w:t>Assim com esta</w:t>
      </w:r>
      <w:r w:rsidR="00FE7609" w:rsidRPr="00B54FDB">
        <w:rPr>
          <w:rFonts w:ascii="Times New Roman" w:hAnsi="Times New Roman" w:cs="Times New Roman"/>
        </w:rPr>
        <w:t xml:space="preserve"> convenção </w:t>
      </w:r>
      <w:r w:rsidR="00DA6078">
        <w:rPr>
          <w:rFonts w:ascii="Times New Roman" w:hAnsi="Times New Roman" w:cs="Times New Roman"/>
        </w:rPr>
        <w:t>é possível</w:t>
      </w:r>
      <w:r w:rsidR="00FE7609" w:rsidRPr="00B54FDB">
        <w:rPr>
          <w:rFonts w:ascii="Times New Roman" w:hAnsi="Times New Roman" w:cs="Times New Roman"/>
        </w:rPr>
        <w:t xml:space="preserve"> representar a existência de pressão de mobilidade sem criar uma deslocação territorial ou organizacional inexistente.</w:t>
      </w:r>
    </w:p>
    <w:p w14:paraId="03024EEE" w14:textId="0B0E7D62" w:rsidR="00FE7609"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FE7609" w:rsidRPr="00B54FDB">
        <w:rPr>
          <w:rFonts w:ascii="Times New Roman" w:hAnsi="Times New Roman" w:cs="Times New Roman"/>
        </w:rPr>
        <w:t>Na rede de mobilidade efetiva, pelo contrário, um não colocado não cria qualquer aresta, uma vez que:</w:t>
      </w:r>
    </w:p>
    <w:p w14:paraId="0A9AAB19" w14:textId="4796E664" w:rsidR="00FE7609" w:rsidRPr="00B54FDB" w:rsidRDefault="00000000" w:rsidP="00B54FDB">
      <w:pPr>
        <w:pStyle w:val="NoSpacing"/>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oMath>
      </m:oMathPara>
    </w:p>
    <w:p w14:paraId="6AA29F1F" w14:textId="77777777" w:rsidR="00FE7609" w:rsidRPr="00B54FDB" w:rsidRDefault="00FE7609" w:rsidP="00B54FDB">
      <w:pPr>
        <w:pStyle w:val="NoSpacing"/>
        <w:spacing w:line="360" w:lineRule="auto"/>
        <w:jc w:val="both"/>
        <w:rPr>
          <w:rFonts w:ascii="Times New Roman" w:hAnsi="Times New Roman" w:cs="Times New Roman"/>
        </w:rPr>
      </w:pPr>
      <w:r w:rsidRPr="00B54FDB">
        <w:rPr>
          <w:rFonts w:ascii="Times New Roman" w:hAnsi="Times New Roman" w:cs="Times New Roman"/>
        </w:rPr>
        <w:t>não corresponde a uma migração efetiva resultante de colocação.</w:t>
      </w:r>
    </w:p>
    <w:p w14:paraId="206AA3A4" w14:textId="45ECBE84" w:rsidR="00FE7609" w:rsidRPr="00B54FDB" w:rsidRDefault="00B54FDB" w:rsidP="00B54FDB">
      <w:pPr>
        <w:pStyle w:val="NoSpacing"/>
        <w:spacing w:line="360" w:lineRule="auto"/>
        <w:jc w:val="both"/>
        <w:rPr>
          <w:rFonts w:ascii="Times New Roman" w:eastAsia="Times New Roman" w:hAnsi="Times New Roman" w:cs="Times New Roman"/>
          <w:kern w:val="0"/>
          <w:lang w:eastAsia="pt-PT"/>
          <w14:ligatures w14:val="none"/>
        </w:rPr>
      </w:pPr>
      <w:r w:rsidRPr="009D233F">
        <w:rPr>
          <w:rFonts w:ascii="Times New Roman" w:hAnsi="Times New Roman" w:cs="Times New Roman"/>
        </w:rPr>
        <w:tab/>
      </w:r>
      <w:r w:rsidR="00FE7609" w:rsidRPr="00B54FDB">
        <w:rPr>
          <w:rFonts w:ascii="Times New Roman" w:eastAsia="Times New Roman" w:hAnsi="Times New Roman" w:cs="Times New Roman"/>
          <w:kern w:val="0"/>
          <w:lang w:eastAsia="pt-PT"/>
          <w14:ligatures w14:val="none"/>
        </w:rPr>
        <w:t>Este tratamento permite separar duas dimensões:</w:t>
      </w:r>
    </w:p>
    <w:p w14:paraId="361499C7" w14:textId="4432379A" w:rsidR="00FE7609" w:rsidRPr="00B54FDB" w:rsidRDefault="00FE7609" w:rsidP="00B54FDB">
      <w:pPr>
        <w:pStyle w:val="NoSpacing"/>
        <w:spacing w:line="360" w:lineRule="auto"/>
        <w:jc w:val="both"/>
        <w:rPr>
          <w:rFonts w:ascii="Times New Roman" w:eastAsia="Times New Roman" w:hAnsi="Times New Roman" w:cs="Times New Roman"/>
          <w:kern w:val="0"/>
          <w:lang w:eastAsia="pt-PT"/>
          <w14:ligatures w14:val="none"/>
        </w:rPr>
      </w:pPr>
      <m:oMathPara>
        <m:oMath>
          <m:r>
            <m:rPr>
              <m:nor/>
            </m:rPr>
            <w:rPr>
              <w:rFonts w:ascii="Times New Roman" w:eastAsia="Times New Roman" w:hAnsi="Times New Roman" w:cs="Times New Roman"/>
              <w:kern w:val="0"/>
              <w:lang w:eastAsia="pt-PT"/>
              <w14:ligatures w14:val="none"/>
            </w:rPr>
            <m:t>mobilidade manifestada</m:t>
          </m:r>
        </m:oMath>
      </m:oMathPara>
    </w:p>
    <w:p w14:paraId="4F5C40E8" w14:textId="77777777" w:rsidR="00FE7609" w:rsidRPr="00B54FDB" w:rsidRDefault="00FE7609" w:rsidP="00B54FDB">
      <w:pPr>
        <w:pStyle w:val="NoSpacing"/>
        <w:spacing w:line="360" w:lineRule="auto"/>
        <w:jc w:val="both"/>
        <w:rPr>
          <w:rFonts w:ascii="Times New Roman" w:hAnsi="Times New Roman" w:cs="Times New Roman"/>
          <w:lang w:eastAsia="pt-PT"/>
        </w:rPr>
      </w:pPr>
      <w:r w:rsidRPr="00B54FDB">
        <w:rPr>
          <w:rFonts w:ascii="Times New Roman" w:hAnsi="Times New Roman" w:cs="Times New Roman"/>
          <w:lang w:eastAsia="pt-PT"/>
        </w:rPr>
        <w:t>e</w:t>
      </w:r>
    </w:p>
    <w:p w14:paraId="772634D8" w14:textId="4D194973" w:rsidR="00441C5C" w:rsidRPr="00B54FDB" w:rsidRDefault="00441C5C" w:rsidP="00B54FDB">
      <w:pPr>
        <w:pStyle w:val="NoSpacing"/>
        <w:spacing w:line="360" w:lineRule="auto"/>
        <w:jc w:val="both"/>
        <w:rPr>
          <w:rFonts w:ascii="Times New Roman" w:eastAsia="Times New Roman" w:hAnsi="Times New Roman" w:cs="Times New Roman"/>
          <w:kern w:val="0"/>
          <w:lang w:eastAsia="pt-PT"/>
          <w14:ligatures w14:val="none"/>
        </w:rPr>
      </w:pPr>
      <m:oMathPara>
        <m:oMath>
          <m:r>
            <m:rPr>
              <m:nor/>
            </m:rPr>
            <w:rPr>
              <w:rFonts w:ascii="Times New Roman" w:eastAsia="Times New Roman" w:hAnsi="Times New Roman" w:cs="Times New Roman"/>
              <w:kern w:val="0"/>
              <w:lang w:eastAsia="pt-PT"/>
              <w14:ligatures w14:val="none"/>
            </w:rPr>
            <m:t xml:space="preserve">mobilidade efetivamente concretizada </m:t>
          </m:r>
        </m:oMath>
      </m:oMathPara>
    </w:p>
    <w:p w14:paraId="20B81F9C" w14:textId="77777777" w:rsidR="00441C5C" w:rsidRPr="00B54FDB" w:rsidRDefault="00441C5C"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B54FDB">
        <w:rPr>
          <w:rFonts w:ascii="Times New Roman" w:eastAsia="Times New Roman" w:hAnsi="Times New Roman" w:cs="Times New Roman"/>
          <w:b/>
          <w:bCs/>
          <w:kern w:val="0"/>
          <w:sz w:val="32"/>
          <w:szCs w:val="32"/>
          <w:lang w:eastAsia="pt-PT"/>
          <w14:ligatures w14:val="none"/>
        </w:rPr>
        <w:t>7. Indicadores anuais por escola</w:t>
      </w:r>
    </w:p>
    <w:p w14:paraId="52A1781E" w14:textId="54A27C66" w:rsidR="00441C5C"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lastRenderedPageBreak/>
        <w:tab/>
      </w:r>
      <w:r w:rsidR="00441C5C" w:rsidRPr="00B54FDB">
        <w:rPr>
          <w:rFonts w:ascii="Times New Roman" w:hAnsi="Times New Roman" w:cs="Times New Roman"/>
        </w:rPr>
        <w:t xml:space="preserve">Para cada escola </w:t>
      </w:r>
      <m:oMath>
        <m:r>
          <w:rPr>
            <w:rFonts w:ascii="Cambria Math" w:hAnsi="Cambria Math" w:cs="Times New Roman"/>
          </w:rPr>
          <m:t>i</m:t>
        </m:r>
      </m:oMath>
      <w:r w:rsidR="00441C5C" w:rsidRPr="00B54FDB">
        <w:rPr>
          <w:rFonts w:ascii="Times New Roman" w:hAnsi="Times New Roman" w:cs="Times New Roman"/>
        </w:rPr>
        <w:t xml:space="preserve">e ano </w:t>
      </w:r>
      <m:oMath>
        <m:r>
          <w:rPr>
            <w:rFonts w:ascii="Cambria Math" w:hAnsi="Cambria Math" w:cs="Times New Roman"/>
          </w:rPr>
          <m:t>t</m:t>
        </m:r>
      </m:oMath>
      <w:r w:rsidR="00441C5C" w:rsidRPr="00B54FDB">
        <w:rPr>
          <w:rFonts w:ascii="Times New Roman" w:hAnsi="Times New Roman" w:cs="Times New Roman"/>
        </w:rPr>
        <w:t xml:space="preserve">, são contabilizadas as entradas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oMath>
      <w:r w:rsidR="00441C5C" w:rsidRPr="00B54FDB">
        <w:rPr>
          <w:rFonts w:ascii="Times New Roman" w:hAnsi="Times New Roman" w:cs="Times New Roman"/>
        </w:rPr>
        <w:t xml:space="preserve">e saídas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oMath>
      <w:r w:rsidR="00441C5C" w:rsidRPr="00B54FDB">
        <w:rPr>
          <w:rFonts w:ascii="Times New Roman" w:hAnsi="Times New Roman" w:cs="Times New Roman"/>
        </w:rPr>
        <w:t>.</w:t>
      </w:r>
    </w:p>
    <w:p w14:paraId="1789E593" w14:textId="788B46CB" w:rsidR="00441C5C"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B54FDB">
        <w:rPr>
          <w:rFonts w:ascii="Times New Roman" w:hAnsi="Times New Roman" w:cs="Times New Roman"/>
        </w:rPr>
        <w:t>O Movimento Total é definido por:</w:t>
      </w:r>
    </w:p>
    <w:p w14:paraId="2039079B" w14:textId="049EEE57" w:rsidR="00441C5C" w:rsidRPr="00B54FDB" w:rsidRDefault="00000000" w:rsidP="00B54FDB">
      <w:pPr>
        <w:pStyle w:val="NoSpacing"/>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oMath>
      </m:oMathPara>
    </w:p>
    <w:p w14:paraId="46E5788F" w14:textId="1227CF9D" w:rsidR="00441C5C"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B54FDB">
        <w:rPr>
          <w:rFonts w:ascii="Times New Roman" w:hAnsi="Times New Roman" w:cs="Times New Roman"/>
        </w:rPr>
        <w:t xml:space="preserve">O indicador </w:t>
      </w:r>
      <m:oMath>
        <m:r>
          <w:rPr>
            <w:rFonts w:ascii="Cambria Math" w:hAnsi="Cambria Math" w:cs="Times New Roman"/>
          </w:rPr>
          <m:t>M</m:t>
        </m:r>
      </m:oMath>
      <w:r w:rsidR="00441C5C" w:rsidRPr="00B54FDB">
        <w:rPr>
          <w:rFonts w:ascii="Times New Roman" w:eastAsiaTheme="minorEastAsia" w:hAnsi="Times New Roman" w:cs="Times New Roman"/>
        </w:rPr>
        <w:t xml:space="preserve"> </w:t>
      </w:r>
      <w:r w:rsidR="00441C5C" w:rsidRPr="00B54FDB">
        <w:rPr>
          <w:rFonts w:ascii="Times New Roman" w:hAnsi="Times New Roman" w:cs="Times New Roman"/>
        </w:rPr>
        <w:t>funciona como medida da intensidade do movimento administrativo associado à escola.</w:t>
      </w:r>
    </w:p>
    <w:p w14:paraId="6C4EE914" w14:textId="1C5462E0" w:rsidR="00441C5C"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B54FDB">
        <w:rPr>
          <w:rFonts w:ascii="Times New Roman" w:hAnsi="Times New Roman" w:cs="Times New Roman"/>
        </w:rPr>
        <w:t>Esta variável é essencial para interpretar os indicadores percentuais. Por exemplo, uma pressão de saída de 100% baseada num único movimento não possui a mesma robustez descritiva que uma pressão idêntica associada a dezenas de movimentos.</w:t>
      </w:r>
    </w:p>
    <w:p w14:paraId="6ECBAF11" w14:textId="77777777" w:rsidR="00441C5C" w:rsidRPr="00B54FDB" w:rsidRDefault="00441C5C" w:rsidP="00B86D6C">
      <w:pPr>
        <w:spacing w:before="100" w:beforeAutospacing="1" w:after="100" w:afterAutospacing="1" w:line="240" w:lineRule="auto"/>
        <w:ind w:firstLine="708"/>
        <w:jc w:val="both"/>
        <w:outlineLvl w:val="1"/>
        <w:rPr>
          <w:rFonts w:ascii="Times New Roman" w:eastAsia="Times New Roman" w:hAnsi="Times New Roman" w:cs="Times New Roman"/>
          <w:b/>
          <w:bCs/>
          <w:kern w:val="0"/>
          <w:sz w:val="32"/>
          <w:szCs w:val="32"/>
          <w:lang w:eastAsia="pt-PT"/>
          <w14:ligatures w14:val="none"/>
        </w:rPr>
      </w:pPr>
      <w:r w:rsidRPr="00B54FDB">
        <w:rPr>
          <w:rFonts w:ascii="Times New Roman" w:eastAsia="Times New Roman" w:hAnsi="Times New Roman" w:cs="Times New Roman"/>
          <w:b/>
          <w:bCs/>
          <w:kern w:val="0"/>
          <w:sz w:val="32"/>
          <w:szCs w:val="32"/>
          <w:lang w:eastAsia="pt-PT"/>
          <w14:ligatures w14:val="none"/>
        </w:rPr>
        <w:t>7.1. Pressão de Saída</w:t>
      </w:r>
    </w:p>
    <w:p w14:paraId="1708036F" w14:textId="1023B70A" w:rsidR="00441C5C"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B54FDB">
        <w:rPr>
          <w:rFonts w:ascii="Times New Roman" w:hAnsi="Times New Roman" w:cs="Times New Roman"/>
        </w:rPr>
        <w:t>Foi construído o indicador:</w:t>
      </w:r>
    </w:p>
    <w:p w14:paraId="29786E4D" w14:textId="7B679DA7" w:rsidR="00441C5C" w:rsidRPr="00B54FDB" w:rsidRDefault="00441C5C" w:rsidP="00B54FDB">
      <w:pPr>
        <w:pStyle w:val="NoSpacing"/>
        <w:spacing w:line="360" w:lineRule="auto"/>
        <w:jc w:val="both"/>
        <w:rPr>
          <w:rFonts w:ascii="Times New Roman" w:hAnsi="Times New Roman" w:cs="Times New Roman"/>
        </w:rPr>
      </w:pPr>
      <m:oMathPara>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den>
          </m:f>
          <m:r>
            <w:rPr>
              <w:rFonts w:ascii="Cambria Math" w:hAnsi="Cambria Math" w:cs="Times New Roman"/>
            </w:rPr>
            <m:t>×100</m:t>
          </m:r>
        </m:oMath>
      </m:oMathPara>
    </w:p>
    <w:p w14:paraId="0C2C4390" w14:textId="4531A232" w:rsidR="00441C5C"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B54FDB">
        <w:rPr>
          <w:rFonts w:ascii="Times New Roman" w:hAnsi="Times New Roman" w:cs="Times New Roman"/>
        </w:rPr>
        <w:t>O valor representa a proporção do movimento total da escola que ocorre do lado das saídas.</w:t>
      </w:r>
    </w:p>
    <w:p w14:paraId="192898A6" w14:textId="1C282E69" w:rsidR="00441C5C"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B54FDB">
        <w:rPr>
          <w:rFonts w:ascii="Times New Roman" w:hAnsi="Times New Roman" w:cs="Times New Roman"/>
        </w:rPr>
        <w:t>Assim:</w:t>
      </w:r>
    </w:p>
    <w:p w14:paraId="2C1C7071" w14:textId="59FFF0E8" w:rsidR="00441C5C" w:rsidRPr="00B54FDB" w:rsidRDefault="00441C5C" w:rsidP="00B54FDB">
      <w:pPr>
        <w:pStyle w:val="NoSpacing"/>
        <w:numPr>
          <w:ilvl w:val="0"/>
          <w:numId w:val="10"/>
        </w:numPr>
        <w:spacing w:line="360" w:lineRule="auto"/>
        <w:jc w:val="both"/>
        <w:rPr>
          <w:rFonts w:ascii="Times New Roman" w:hAnsi="Times New Roman" w:cs="Times New Roman"/>
        </w:rPr>
      </w:pPr>
      <m:oMath>
        <m:r>
          <w:rPr>
            <w:rFonts w:ascii="Cambria Math" w:hAnsi="Cambria Math" w:cs="Times New Roman"/>
          </w:rPr>
          <m:t>PS=50</m:t>
        </m:r>
        <m:r>
          <m:rPr>
            <m:sty m:val="p"/>
          </m:rPr>
          <w:rPr>
            <w:rFonts w:ascii="Cambria Math" w:hAnsi="Cambria Math" w:cs="Times New Roman"/>
          </w:rPr>
          <m:t>%</m:t>
        </m:r>
      </m:oMath>
      <w:r w:rsidRPr="00B54FDB">
        <w:rPr>
          <w:rFonts w:ascii="Times New Roman" w:hAnsi="Times New Roman" w:cs="Times New Roman"/>
        </w:rPr>
        <w:t xml:space="preserve"> </w:t>
      </w:r>
      <w:r w:rsidRPr="00B54FDB">
        <w:rPr>
          <w:rFonts w:ascii="Cambria Math" w:hAnsi="Cambria Math" w:cs="Cambria Math"/>
        </w:rPr>
        <w:t>⟶</w:t>
      </w:r>
      <w:r w:rsidRPr="00B54FDB">
        <w:rPr>
          <w:rFonts w:ascii="Times New Roman" w:hAnsi="Times New Roman" w:cs="Times New Roman"/>
        </w:rPr>
        <w:t xml:space="preserve"> indica equilíbrio entre entradas e saídas;</w:t>
      </w:r>
    </w:p>
    <w:p w14:paraId="111C3B5C" w14:textId="52557160" w:rsidR="00441C5C" w:rsidRPr="00B54FDB" w:rsidRDefault="00441C5C" w:rsidP="00B54FDB">
      <w:pPr>
        <w:pStyle w:val="NoSpacing"/>
        <w:numPr>
          <w:ilvl w:val="0"/>
          <w:numId w:val="10"/>
        </w:numPr>
        <w:spacing w:line="360" w:lineRule="auto"/>
        <w:jc w:val="both"/>
        <w:rPr>
          <w:rFonts w:ascii="Times New Roman" w:hAnsi="Times New Roman" w:cs="Times New Roman"/>
        </w:rPr>
      </w:pPr>
      <m:oMath>
        <m:r>
          <w:rPr>
            <w:rFonts w:ascii="Cambria Math" w:hAnsi="Cambria Math" w:cs="Times New Roman"/>
          </w:rPr>
          <m:t>PS&gt;50</m:t>
        </m:r>
        <m:r>
          <m:rPr>
            <m:sty m:val="p"/>
          </m:rPr>
          <w:rPr>
            <w:rFonts w:ascii="Cambria Math" w:hAnsi="Cambria Math" w:cs="Times New Roman"/>
          </w:rPr>
          <m:t>%</m:t>
        </m:r>
      </m:oMath>
      <w:r w:rsidRPr="00B54FDB">
        <w:rPr>
          <w:rFonts w:ascii="Times New Roman" w:hAnsi="Times New Roman" w:cs="Times New Roman"/>
        </w:rPr>
        <w:t xml:space="preserve"> </w:t>
      </w:r>
      <w:r w:rsidRPr="00B54FDB">
        <w:rPr>
          <w:rFonts w:ascii="Cambria Math" w:hAnsi="Cambria Math" w:cs="Cambria Math"/>
        </w:rPr>
        <w:t>⟶</w:t>
      </w:r>
      <w:r w:rsidRPr="00B54FDB">
        <w:rPr>
          <w:rFonts w:ascii="Times New Roman" w:hAnsi="Times New Roman" w:cs="Times New Roman"/>
        </w:rPr>
        <w:t xml:space="preserve"> indica predominância das saídas;</w:t>
      </w:r>
    </w:p>
    <w:p w14:paraId="27402649" w14:textId="0E05A109" w:rsidR="00441C5C" w:rsidRPr="00B54FDB" w:rsidRDefault="00441C5C" w:rsidP="00B54FDB">
      <w:pPr>
        <w:pStyle w:val="NoSpacing"/>
        <w:numPr>
          <w:ilvl w:val="0"/>
          <w:numId w:val="10"/>
        </w:numPr>
        <w:spacing w:line="360" w:lineRule="auto"/>
        <w:jc w:val="both"/>
        <w:rPr>
          <w:rFonts w:ascii="Times New Roman" w:hAnsi="Times New Roman" w:cs="Times New Roman"/>
        </w:rPr>
      </w:pPr>
      <m:oMath>
        <m:r>
          <w:rPr>
            <w:rFonts w:ascii="Cambria Math" w:hAnsi="Cambria Math" w:cs="Times New Roman"/>
          </w:rPr>
          <m:t>PS&lt;50</m:t>
        </m:r>
        <m:r>
          <m:rPr>
            <m:sty m:val="p"/>
          </m:rPr>
          <w:rPr>
            <w:rFonts w:ascii="Cambria Math" w:hAnsi="Cambria Math" w:cs="Times New Roman"/>
          </w:rPr>
          <m:t>%</m:t>
        </m:r>
      </m:oMath>
      <w:r w:rsidRPr="00B54FDB">
        <w:rPr>
          <w:rFonts w:ascii="Times New Roman" w:hAnsi="Times New Roman" w:cs="Times New Roman"/>
        </w:rPr>
        <w:t xml:space="preserve"> </w:t>
      </w:r>
      <w:r w:rsidRPr="00B54FDB">
        <w:rPr>
          <w:rFonts w:ascii="Cambria Math" w:hAnsi="Cambria Math" w:cs="Cambria Math"/>
        </w:rPr>
        <w:t>⟶</w:t>
      </w:r>
      <w:r w:rsidRPr="00B54FDB">
        <w:rPr>
          <w:rFonts w:ascii="Times New Roman" w:hAnsi="Times New Roman" w:cs="Times New Roman"/>
        </w:rPr>
        <w:t xml:space="preserve"> indica predominância das entradas.</w:t>
      </w:r>
    </w:p>
    <w:p w14:paraId="63098D0B" w14:textId="67B2622F" w:rsidR="00441C5C" w:rsidRPr="00B54FDB" w:rsidRDefault="00B54FDB"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B54FDB">
        <w:rPr>
          <w:rFonts w:ascii="Times New Roman" w:hAnsi="Times New Roman" w:cs="Times New Roman"/>
        </w:rPr>
        <w:t>É fundamental salientar que PS não corresponde à percentagem do corpo docente que abandonou a escola, uma vez que o denominador não é o número total de professores do estabelecimento.</w:t>
      </w:r>
    </w:p>
    <w:p w14:paraId="0074C6A0" w14:textId="1FDBBBA7" w:rsidR="00441C5C" w:rsidRPr="00B54FDB" w:rsidRDefault="00DD0E90" w:rsidP="00B54FDB">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B54FDB">
        <w:rPr>
          <w:rFonts w:ascii="Times New Roman" w:hAnsi="Times New Roman" w:cs="Times New Roman"/>
        </w:rPr>
        <w:t xml:space="preserve">Trata-se de um indicador desenvolvido especificamente para o Observatório, inspirado conceptualmente na literatura de turnover e fluxos organizacionais, mas não diretamente reproduzido de Ingersoll (2001) ou de outros estudos. A contribuição da literatura é justificar a análise das entradas e saídas enquanto fenómeno organizacional; a operacionalização </w:t>
      </w:r>
      <m:oMath>
        <m:r>
          <w:rPr>
            <w:rFonts w:ascii="Cambria Math" w:hAnsi="Cambria Math" w:cs="Times New Roman"/>
          </w:rPr>
          <m:t>PS</m:t>
        </m:r>
      </m:oMath>
      <w:r>
        <w:rPr>
          <w:rFonts w:ascii="Times New Roman" w:eastAsiaTheme="minorEastAsia" w:hAnsi="Times New Roman" w:cs="Times New Roman"/>
        </w:rPr>
        <w:t xml:space="preserve"> </w:t>
      </w:r>
      <w:r w:rsidR="00441C5C" w:rsidRPr="00B54FDB">
        <w:rPr>
          <w:rFonts w:ascii="Times New Roman" w:hAnsi="Times New Roman" w:cs="Times New Roman"/>
        </w:rPr>
        <w:t>constitui uma proposta dos autores.</w:t>
      </w:r>
    </w:p>
    <w:p w14:paraId="3635C6C8" w14:textId="77777777" w:rsidR="00441C5C" w:rsidRPr="00DD0E90" w:rsidRDefault="00441C5C" w:rsidP="00B86D6C">
      <w:pPr>
        <w:spacing w:before="100" w:beforeAutospacing="1" w:after="100" w:afterAutospacing="1" w:line="240" w:lineRule="auto"/>
        <w:ind w:firstLine="708"/>
        <w:jc w:val="both"/>
        <w:outlineLvl w:val="1"/>
        <w:rPr>
          <w:rFonts w:ascii="Times New Roman" w:eastAsia="Times New Roman" w:hAnsi="Times New Roman" w:cs="Times New Roman"/>
          <w:b/>
          <w:bCs/>
          <w:kern w:val="0"/>
          <w:sz w:val="32"/>
          <w:szCs w:val="32"/>
          <w:lang w:eastAsia="pt-PT"/>
          <w14:ligatures w14:val="none"/>
        </w:rPr>
      </w:pPr>
      <w:r w:rsidRPr="00DD0E90">
        <w:rPr>
          <w:rFonts w:ascii="Times New Roman" w:eastAsia="Times New Roman" w:hAnsi="Times New Roman" w:cs="Times New Roman"/>
          <w:b/>
          <w:bCs/>
          <w:kern w:val="0"/>
          <w:sz w:val="32"/>
          <w:szCs w:val="32"/>
          <w:lang w:eastAsia="pt-PT"/>
          <w14:ligatures w14:val="none"/>
        </w:rPr>
        <w:t>7.2. Pressão de Entrada</w:t>
      </w:r>
    </w:p>
    <w:p w14:paraId="4817B897" w14:textId="775A7FF0"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De forma complementar:</w:t>
      </w:r>
    </w:p>
    <w:p w14:paraId="5111576A" w14:textId="3ACBAFB4" w:rsidR="00441C5C" w:rsidRPr="00DD0E90" w:rsidRDefault="00441C5C" w:rsidP="00DD0E90">
      <w:pPr>
        <w:pStyle w:val="NoSpacing"/>
        <w:spacing w:line="360" w:lineRule="auto"/>
        <w:jc w:val="both"/>
        <w:rPr>
          <w:rFonts w:ascii="Times New Roman" w:hAnsi="Times New Roman" w:cs="Times New Roman"/>
        </w:rPr>
      </w:pPr>
      <m:oMathPara>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den>
          </m:f>
          <m:r>
            <w:rPr>
              <w:rFonts w:ascii="Cambria Math" w:hAnsi="Cambria Math" w:cs="Times New Roman"/>
            </w:rPr>
            <m:t>×100</m:t>
          </m:r>
        </m:oMath>
      </m:oMathPara>
    </w:p>
    <w:p w14:paraId="21536031" w14:textId="65EB1D16"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e, por construção:</w:t>
      </w:r>
    </w:p>
    <w:p w14:paraId="169DF3BF" w14:textId="77B4883E" w:rsidR="00441C5C" w:rsidRPr="00DD0E90" w:rsidRDefault="00441C5C" w:rsidP="00DD0E90">
      <w:pPr>
        <w:pStyle w:val="NoSpacing"/>
        <w:spacing w:line="360" w:lineRule="auto"/>
        <w:jc w:val="both"/>
        <w:rPr>
          <w:rFonts w:ascii="Times New Roman" w:hAnsi="Times New Roman" w:cs="Times New Roman"/>
        </w:rPr>
      </w:pPr>
      <m:oMathPara>
        <m:oMath>
          <m:r>
            <w:rPr>
              <w:rFonts w:ascii="Cambria Math" w:hAnsi="Cambria Math" w:cs="Times New Roman"/>
            </w:rPr>
            <w:lastRenderedPageBreak/>
            <m:t>P</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w:rPr>
              <w:rFonts w:ascii="Cambria Math" w:hAnsi="Cambria Math" w:cs="Times New Roman"/>
            </w:rPr>
            <m:t>=100</m:t>
          </m:r>
          <m:r>
            <m:rPr>
              <m:sty m:val="p"/>
            </m:rPr>
            <w:rPr>
              <w:rFonts w:ascii="Cambria Math" w:hAnsi="Cambria Math" w:cs="Times New Roman"/>
            </w:rPr>
            <m:t>%</m:t>
          </m:r>
        </m:oMath>
      </m:oMathPara>
    </w:p>
    <w:p w14:paraId="449CA5DA" w14:textId="07C7BB6C"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 xml:space="preserve">desde que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r>
          <w:rPr>
            <w:rFonts w:ascii="Cambria Math" w:hAnsi="Cambria Math" w:cs="Times New Roman"/>
          </w:rPr>
          <m:t>&gt;0</m:t>
        </m:r>
      </m:oMath>
      <w:r w:rsidR="00441C5C" w:rsidRPr="00DD0E90">
        <w:rPr>
          <w:rFonts w:ascii="Times New Roman" w:hAnsi="Times New Roman" w:cs="Times New Roman"/>
        </w:rPr>
        <w:t>.</w:t>
      </w:r>
    </w:p>
    <w:p w14:paraId="48937044" w14:textId="146DDD54"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PS e PE representam, portanto, duas perspetivas sobre a composição do mesmo movimento total.</w:t>
      </w:r>
    </w:p>
    <w:p w14:paraId="52CCDEAF" w14:textId="77777777" w:rsidR="00441C5C" w:rsidRPr="00B86D6C" w:rsidRDefault="00441C5C" w:rsidP="00DD0E90">
      <w:pPr>
        <w:spacing w:line="360" w:lineRule="auto"/>
        <w:jc w:val="both"/>
        <w:rPr>
          <w:rFonts w:ascii="Times New Roman" w:hAnsi="Times New Roman" w:cs="Times New Roman"/>
        </w:rPr>
      </w:pPr>
    </w:p>
    <w:p w14:paraId="424A055C" w14:textId="77777777" w:rsidR="00441C5C" w:rsidRPr="00DD0E90" w:rsidRDefault="00441C5C"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DD0E90">
        <w:rPr>
          <w:rFonts w:ascii="Times New Roman" w:eastAsia="Times New Roman" w:hAnsi="Times New Roman" w:cs="Times New Roman"/>
          <w:b/>
          <w:bCs/>
          <w:kern w:val="0"/>
          <w:sz w:val="32"/>
          <w:szCs w:val="32"/>
          <w:lang w:eastAsia="pt-PT"/>
          <w14:ligatures w14:val="none"/>
        </w:rPr>
        <w:t>8. Saldo Migratório Efetivo</w:t>
      </w:r>
    </w:p>
    <w:p w14:paraId="2CBC722A" w14:textId="4788D2C0"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Para distinguir movimento administrativo de deslocação efetiva, são contabilizadas separadamente:</w:t>
      </w:r>
    </w:p>
    <w:p w14:paraId="405BBB3F" w14:textId="77777777" w:rsidR="00441C5C" w:rsidRPr="00DD0E90" w:rsidRDefault="00441C5C" w:rsidP="00DD0E90">
      <w:pPr>
        <w:pStyle w:val="NoSpacing"/>
        <w:spacing w:line="360" w:lineRule="auto"/>
        <w:jc w:val="both"/>
        <w:rPr>
          <w:rFonts w:ascii="Times New Roman" w:hAnsi="Times New Roman" w:cs="Times New Roman"/>
        </w:rPr>
      </w:pPr>
      <m:oMathPara>
        <m:oMath>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it</m:t>
              </m:r>
            </m:sub>
          </m:sSub>
          <m:r>
            <w:rPr>
              <w:rFonts w:ascii="Cambria Math" w:hAnsi="Cambria Math" w:cs="Times New Roman"/>
            </w:rPr>
            <m:t>=</m:t>
          </m:r>
          <m:r>
            <m:rPr>
              <m:nor/>
            </m:rPr>
            <w:rPr>
              <w:rFonts w:ascii="Times New Roman" w:hAnsi="Times New Roman" w:cs="Times New Roman"/>
            </w:rPr>
            <m:t>migrações efetivas recebidas</m:t>
          </m:r>
        </m:oMath>
      </m:oMathPara>
    </w:p>
    <w:p w14:paraId="14EAB78B" w14:textId="4FC47F7D" w:rsidR="00441C5C" w:rsidRPr="00DD0E90" w:rsidRDefault="00441C5C" w:rsidP="00DD0E90">
      <w:pPr>
        <w:pStyle w:val="NoSpacing"/>
        <w:spacing w:line="360" w:lineRule="auto"/>
        <w:jc w:val="both"/>
        <w:rPr>
          <w:rFonts w:ascii="Times New Roman" w:hAnsi="Times New Roman" w:cs="Times New Roman"/>
        </w:rPr>
      </w:pPr>
      <w:r w:rsidRPr="00DD0E90">
        <w:rPr>
          <w:rFonts w:ascii="Times New Roman" w:hAnsi="Times New Roman" w:cs="Times New Roman"/>
        </w:rPr>
        <w:t>e</w:t>
      </w:r>
    </w:p>
    <w:p w14:paraId="313EA011" w14:textId="6709E085" w:rsidR="00441C5C" w:rsidRPr="00DD0E90" w:rsidRDefault="00441C5C" w:rsidP="00DD0E90">
      <w:pPr>
        <w:pStyle w:val="NoSpacing"/>
        <w:spacing w:line="360" w:lineRule="auto"/>
        <w:jc w:val="both"/>
        <w:rPr>
          <w:rFonts w:ascii="Times New Roman" w:hAnsi="Times New Roman" w:cs="Times New Roman"/>
        </w:rPr>
      </w:pPr>
      <m:oMathPara>
        <m:oMath>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it</m:t>
              </m:r>
            </m:sub>
          </m:sSub>
          <m:r>
            <w:rPr>
              <w:rFonts w:ascii="Cambria Math" w:hAnsi="Cambria Math" w:cs="Times New Roman"/>
            </w:rPr>
            <m:t>=</m:t>
          </m:r>
          <m:r>
            <m:rPr>
              <m:nor/>
            </m:rPr>
            <w:rPr>
              <w:rFonts w:ascii="Times New Roman" w:hAnsi="Times New Roman" w:cs="Times New Roman"/>
            </w:rPr>
            <m:t>migrações efetivas originadas</m:t>
          </m:r>
          <m:r>
            <m:rPr>
              <m:sty m:val="p"/>
            </m:rPr>
            <w:rPr>
              <w:rFonts w:ascii="Cambria Math" w:hAnsi="Cambria Math" w:cs="Times New Roman"/>
            </w:rPr>
            <m:t>.</m:t>
          </m:r>
          <m:r>
            <m:rPr>
              <m:sty m:val="p"/>
            </m:rPr>
            <w:rPr>
              <w:rFonts w:ascii="Cambria Math" w:hAnsi="Cambria Math" w:cs="Times New Roman"/>
            </w:rPr>
            <w:br/>
          </m:r>
        </m:oMath>
      </m:oMathPara>
      <w:r w:rsidR="00DD0E90" w:rsidRPr="009D233F">
        <w:rPr>
          <w:rFonts w:ascii="Times New Roman" w:hAnsi="Times New Roman" w:cs="Times New Roman"/>
        </w:rPr>
        <w:tab/>
      </w:r>
      <w:r w:rsidRPr="00DD0E90">
        <w:rPr>
          <w:rFonts w:ascii="Times New Roman" w:hAnsi="Times New Roman" w:cs="Times New Roman"/>
        </w:rPr>
        <w:t>Define-se:</w:t>
      </w:r>
    </w:p>
    <w:p w14:paraId="4A8F79A7" w14:textId="659EC716" w:rsidR="00441C5C" w:rsidRPr="00DD0E90" w:rsidRDefault="00367CE9" w:rsidP="00DD0E90">
      <w:pPr>
        <w:pStyle w:val="NoSpacing"/>
        <w:spacing w:line="360" w:lineRule="auto"/>
        <w:jc w:val="both"/>
        <w:rPr>
          <w:rFonts w:ascii="Times New Roman" w:hAnsi="Times New Roman" w:cs="Times New Roman"/>
        </w:rPr>
      </w:pPr>
      <m:oMathPara>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it</m:t>
              </m:r>
            </m:sub>
          </m:s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it</m:t>
              </m:r>
            </m:sub>
          </m:sSub>
        </m:oMath>
      </m:oMathPara>
    </w:p>
    <w:p w14:paraId="7D3ACE76" w14:textId="00F7472E"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Um valor positivo caracteriza uma escola como recetora líquida de mobilidade efetiva; um valor negativo caracteriza-a como emissora líquida.</w:t>
      </w:r>
    </w:p>
    <w:p w14:paraId="540F7A0E" w14:textId="297262AA"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 xml:space="preserve">Ao contrário de </w:t>
      </w:r>
      <m:oMath>
        <m:r>
          <w:rPr>
            <w:rFonts w:ascii="Cambria Math" w:hAnsi="Cambria Math" w:cs="Times New Roman"/>
          </w:rPr>
          <m:t>E</m:t>
        </m:r>
      </m:oMath>
      <w:r w:rsidR="00441C5C" w:rsidRPr="00DD0E90">
        <w:rPr>
          <w:rFonts w:ascii="Times New Roman" w:hAnsi="Times New Roman" w:cs="Times New Roman"/>
        </w:rPr>
        <w:t xml:space="preserve">e </w:t>
      </w:r>
      <m:oMath>
        <m:r>
          <w:rPr>
            <w:rFonts w:ascii="Cambria Math" w:hAnsi="Cambria Math" w:cs="Times New Roman"/>
          </w:rPr>
          <m:t>S</m:t>
        </m:r>
      </m:oMath>
      <w:r w:rsidR="00441C5C" w:rsidRPr="00DD0E90">
        <w:rPr>
          <w:rFonts w:ascii="Times New Roman" w:hAnsi="Times New Roman" w:cs="Times New Roman"/>
        </w:rPr>
        <w:t>, este cálculo exclui permanências e não colocações.</w:t>
      </w:r>
    </w:p>
    <w:p w14:paraId="1B418415" w14:textId="77777777" w:rsidR="00441C5C" w:rsidRPr="00DD0E90" w:rsidRDefault="00441C5C"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DD0E90">
        <w:rPr>
          <w:rFonts w:ascii="Times New Roman" w:eastAsia="Times New Roman" w:hAnsi="Times New Roman" w:cs="Times New Roman"/>
          <w:b/>
          <w:bCs/>
          <w:kern w:val="0"/>
          <w:sz w:val="32"/>
          <w:szCs w:val="32"/>
          <w:lang w:eastAsia="pt-PT"/>
          <w14:ligatures w14:val="none"/>
        </w:rPr>
        <w:t>9. Taxa interna de não colocação</w:t>
      </w:r>
    </w:p>
    <w:p w14:paraId="3B74D74C" w14:textId="14DFB0A0" w:rsidR="00441C5C" w:rsidRPr="00DD0E90" w:rsidRDefault="00DD0E90" w:rsidP="00DD0E90">
      <w:pPr>
        <w:pStyle w:val="NoSpacing"/>
        <w:spacing w:line="360" w:lineRule="auto"/>
        <w:jc w:val="both"/>
        <w:rPr>
          <w:rFonts w:ascii="Times New Roman" w:hAnsi="Times New Roman" w:cs="Times New Roman"/>
        </w:rPr>
      </w:pPr>
      <w:r w:rsidRPr="00DD0E90">
        <w:rPr>
          <w:rFonts w:ascii="Times New Roman" w:hAnsi="Times New Roman" w:cs="Times New Roman"/>
        </w:rPr>
        <w:tab/>
      </w:r>
      <w:r w:rsidR="00441C5C" w:rsidRPr="00DD0E90">
        <w:rPr>
          <w:rFonts w:ascii="Times New Roman" w:hAnsi="Times New Roman" w:cs="Times New Roman"/>
        </w:rPr>
        <w:t xml:space="preserve">Para captar a componente de mobilidade </w:t>
      </w:r>
      <w:r w:rsidRPr="00DD0E90">
        <w:rPr>
          <w:rFonts w:ascii="Times New Roman" w:hAnsi="Times New Roman" w:cs="Times New Roman"/>
        </w:rPr>
        <w:t>manifestada,</w:t>
      </w:r>
      <w:r w:rsidR="00441C5C" w:rsidRPr="00DD0E90">
        <w:rPr>
          <w:rFonts w:ascii="Times New Roman" w:hAnsi="Times New Roman" w:cs="Times New Roman"/>
        </w:rPr>
        <w:t xml:space="preserve"> mas não concretizada é utilizada:</w:t>
      </w:r>
    </w:p>
    <w:p w14:paraId="0C7444E5" w14:textId="4485EDA5" w:rsidR="00441C5C" w:rsidRPr="00DD0E90" w:rsidRDefault="00367CE9" w:rsidP="00DD0E90">
      <w:pPr>
        <w:pStyle w:val="NoSpacing"/>
        <w:spacing w:line="360" w:lineRule="auto"/>
        <w:jc w:val="both"/>
        <w:rPr>
          <w:rFonts w:ascii="Times New Roman" w:hAnsi="Times New Roman" w:cs="Times New Roman"/>
        </w:rPr>
      </w:pPr>
      <m:oMathPara>
        <m:oMath>
          <m:r>
            <w:rPr>
              <w:rFonts w:ascii="Cambria Math" w:hAnsi="Cambria Math" w:cs="Times New Roman"/>
            </w:rPr>
            <m:t>TN</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it</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it</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den>
          </m:f>
          <m:r>
            <w:rPr>
              <w:rFonts w:ascii="Cambria Math" w:hAnsi="Cambria Math" w:cs="Times New Roman"/>
            </w:rPr>
            <m:t>×100</m:t>
          </m:r>
        </m:oMath>
      </m:oMathPara>
    </w:p>
    <w:p w14:paraId="6383C734" w14:textId="363C89BD" w:rsidR="00441C5C" w:rsidRPr="00DD0E90" w:rsidRDefault="00441C5C" w:rsidP="00DD0E90">
      <w:pPr>
        <w:pStyle w:val="NoSpacing"/>
        <w:spacing w:line="360" w:lineRule="auto"/>
        <w:jc w:val="both"/>
        <w:rPr>
          <w:rFonts w:ascii="Times New Roman" w:hAnsi="Times New Roman" w:cs="Times New Roman"/>
        </w:rPr>
      </w:pPr>
      <w:r w:rsidRPr="00DD0E90">
        <w:rPr>
          <w:rFonts w:ascii="Times New Roman" w:hAnsi="Times New Roman" w:cs="Times New Roman"/>
        </w:rPr>
        <w:t xml:space="preserve">onde </w:t>
      </w:r>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it</m:t>
            </m:r>
          </m:sub>
        </m:sSub>
      </m:oMath>
      <w:r w:rsidRPr="00DD0E90">
        <w:rPr>
          <w:rFonts w:ascii="Times New Roman" w:hAnsi="Times New Roman" w:cs="Times New Roman"/>
        </w:rPr>
        <w:t xml:space="preserve">representa os candidatos não colocados associados à escola </w:t>
      </w:r>
      <m:oMath>
        <m:r>
          <w:rPr>
            <w:rFonts w:ascii="Cambria Math" w:hAnsi="Cambria Math" w:cs="Times New Roman"/>
          </w:rPr>
          <m:t>i</m:t>
        </m:r>
      </m:oMath>
      <w:r w:rsidRPr="00DD0E90">
        <w:rPr>
          <w:rFonts w:ascii="Times New Roman" w:hAnsi="Times New Roman" w:cs="Times New Roman"/>
        </w:rPr>
        <w:t>.</w:t>
      </w:r>
    </w:p>
    <w:p w14:paraId="517DF0B4" w14:textId="40C203D4" w:rsidR="00441C5C" w:rsidRPr="00DD0E90" w:rsidRDefault="00DD0E90" w:rsidP="00DD0E90">
      <w:pPr>
        <w:pStyle w:val="NoSpacing"/>
        <w:spacing w:line="360" w:lineRule="auto"/>
        <w:jc w:val="both"/>
        <w:rPr>
          <w:rFonts w:ascii="Times New Roman" w:hAnsi="Times New Roman" w:cs="Times New Roman"/>
        </w:rPr>
      </w:pPr>
      <w:r w:rsidRPr="00DD0E90">
        <w:rPr>
          <w:rFonts w:ascii="Times New Roman" w:hAnsi="Times New Roman" w:cs="Times New Roman"/>
        </w:rPr>
        <w:tab/>
      </w:r>
      <w:r w:rsidR="00441C5C" w:rsidRPr="00DD0E90">
        <w:rPr>
          <w:rFonts w:ascii="Times New Roman" w:hAnsi="Times New Roman" w:cs="Times New Roman"/>
        </w:rPr>
        <w:t xml:space="preserve">A TNC deve ser interpretada como indicador de </w:t>
      </w:r>
      <w:r w:rsidR="00441C5C" w:rsidRPr="00DD0E90">
        <w:rPr>
          <w:rFonts w:ascii="Times New Roman" w:hAnsi="Times New Roman" w:cs="Times New Roman"/>
          <w:b/>
          <w:bCs/>
        </w:rPr>
        <w:t>mobilidade latente</w:t>
      </w:r>
      <w:r w:rsidR="00441C5C" w:rsidRPr="00DD0E90">
        <w:rPr>
          <w:rFonts w:ascii="Times New Roman" w:hAnsi="Times New Roman" w:cs="Times New Roman"/>
        </w:rPr>
        <w:t xml:space="preserve"> ou não concretizada dentro do universo dos participantes na Mobilidade Interna.</w:t>
      </w:r>
    </w:p>
    <w:p w14:paraId="678808EC" w14:textId="1176CF45"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Não constitui uma taxa de retenção sobre o conjunto do corpo docente da escola.</w:t>
      </w:r>
    </w:p>
    <w:p w14:paraId="68CB3646" w14:textId="15FA3B13"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 xml:space="preserve">Esta distinção é consistente com a literatura de mobilidade laboral, que diferencia permanecer, mudar de posto e abandonar determinadas posições ou mercados. Por exemplo, Feng distingue explicitamente a permanência na escola de mudanças dentro ou fora do distrito e da saída da profissão. </w:t>
      </w:r>
    </w:p>
    <w:p w14:paraId="06A4332B" w14:textId="77777777" w:rsidR="00441C5C" w:rsidRPr="00DD0E90" w:rsidRDefault="00441C5C"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DD0E90">
        <w:rPr>
          <w:rFonts w:ascii="Times New Roman" w:eastAsia="Times New Roman" w:hAnsi="Times New Roman" w:cs="Times New Roman"/>
          <w:b/>
          <w:bCs/>
          <w:kern w:val="0"/>
          <w:sz w:val="32"/>
          <w:szCs w:val="32"/>
          <w:lang w:eastAsia="pt-PT"/>
          <w14:ligatures w14:val="none"/>
        </w:rPr>
        <w:t>10. Análise QA/QE e QZP</w:t>
      </w:r>
    </w:p>
    <w:p w14:paraId="644B9EE8" w14:textId="41C3C18C"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lastRenderedPageBreak/>
        <w:tab/>
      </w:r>
      <w:r w:rsidR="00441C5C" w:rsidRPr="00DD0E90">
        <w:rPr>
          <w:rFonts w:ascii="Times New Roman" w:hAnsi="Times New Roman" w:cs="Times New Roman"/>
        </w:rPr>
        <w:t>A composição do universo da Mobilidade Interna é analisada segundo o tipo de candidato.</w:t>
      </w:r>
    </w:p>
    <w:p w14:paraId="441C2384" w14:textId="0DE4DF32"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A proporção de QA/QE é:</w:t>
      </w:r>
    </w:p>
    <w:p w14:paraId="67E116F8" w14:textId="77777777" w:rsidR="00367CE9" w:rsidRPr="00DD0E90" w:rsidRDefault="00441C5C" w:rsidP="00DD0E90">
      <w:pPr>
        <w:pStyle w:val="NoSpacing"/>
        <w:spacing w:line="360" w:lineRule="auto"/>
        <w:jc w:val="both"/>
        <w:rPr>
          <w:rFonts w:ascii="Times New Roman" w:hAnsi="Times New Roman" w:cs="Times New Roman"/>
          <w:i/>
        </w:rPr>
      </w:pPr>
      <m:oMathPara>
        <m:oMath>
          <m:r>
            <w:rPr>
              <w:rFonts w:ascii="Cambria Math" w:hAnsi="Cambria Math" w:cs="Times New Roman"/>
            </w:rPr>
            <m:t>PQ</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QA,t</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den>
          </m:f>
          <m:r>
            <w:rPr>
              <w:rFonts w:ascii="Cambria Math" w:hAnsi="Cambria Math" w:cs="Times New Roman"/>
            </w:rPr>
            <m:t>×100,</m:t>
          </m:r>
        </m:oMath>
      </m:oMathPara>
    </w:p>
    <w:p w14:paraId="2A3EFC67" w14:textId="7B2C2700" w:rsidR="00441C5C" w:rsidRPr="00DD0E90" w:rsidRDefault="00441C5C" w:rsidP="00DD0E90">
      <w:pPr>
        <w:pStyle w:val="NoSpacing"/>
        <w:spacing w:line="360" w:lineRule="auto"/>
        <w:jc w:val="both"/>
        <w:rPr>
          <w:rFonts w:ascii="Times New Roman" w:hAnsi="Times New Roman" w:cs="Times New Roman"/>
        </w:rPr>
      </w:pPr>
      <w:r w:rsidRPr="00DD0E90">
        <w:rPr>
          <w:rFonts w:ascii="Times New Roman" w:hAnsi="Times New Roman" w:cs="Times New Roman"/>
        </w:rPr>
        <w:t>e a de QZP:</w:t>
      </w:r>
    </w:p>
    <w:p w14:paraId="4D65CD2A" w14:textId="413B1E8E" w:rsidR="00441C5C" w:rsidRPr="00DD0E90" w:rsidRDefault="00441C5C" w:rsidP="00DD0E90">
      <w:pPr>
        <w:pStyle w:val="NoSpacing"/>
        <w:spacing w:line="360" w:lineRule="auto"/>
        <w:jc w:val="both"/>
        <w:rPr>
          <w:rFonts w:ascii="Times New Roman" w:hAnsi="Times New Roman" w:cs="Times New Roman"/>
          <w:i/>
        </w:rPr>
      </w:pPr>
      <m:oMathPara>
        <m:oMath>
          <m:r>
            <w:rPr>
              <w:rFonts w:ascii="Cambria Math" w:hAnsi="Cambria Math" w:cs="Times New Roman"/>
            </w:rPr>
            <m:t>PQZ</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QZP,t</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den>
          </m:f>
          <m:r>
            <w:rPr>
              <w:rFonts w:ascii="Cambria Math" w:hAnsi="Cambria Math" w:cs="Times New Roman"/>
            </w:rPr>
            <m:t>×100.</m:t>
          </m:r>
        </m:oMath>
      </m:oMathPara>
    </w:p>
    <w:p w14:paraId="46F986C2" w14:textId="77777777" w:rsidR="00367CE9" w:rsidRPr="00DD0E90" w:rsidRDefault="00367CE9" w:rsidP="00DD0E90">
      <w:pPr>
        <w:pStyle w:val="NoSpacing"/>
        <w:spacing w:line="360" w:lineRule="auto"/>
        <w:jc w:val="both"/>
        <w:rPr>
          <w:rFonts w:ascii="Times New Roman" w:hAnsi="Times New Roman" w:cs="Times New Roman"/>
          <w:sz w:val="16"/>
          <w:szCs w:val="16"/>
        </w:rPr>
      </w:pPr>
    </w:p>
    <w:p w14:paraId="557CA49D" w14:textId="205331A5"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Estes indicadores devem ser interpretados como composição do universo observado na Mobilidade Interna, e não como taxas de participação em relação ao universo nacional de docentes de cada tipo.</w:t>
      </w:r>
    </w:p>
    <w:p w14:paraId="29C40B81" w14:textId="0401C7EC"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 xml:space="preserve">A literatura de matching entre professores e escolas fornece um enquadramento importante para esta componente. Boyd et al. (2013) tratam a colocação de professores como resultado de um processo de correspondência entre características e preferências de professores e empregadores, enquanto Combe, Tercieux e Terrier (2022) demonstram que as regras de atribuição de professores às escolas podem influenciar eficiência, equidade e volume de movimentos. Ahn (2015) salienta igualmente a existência de fricções e estratégias diferenciadas no mercado de transferências docentes. </w:t>
      </w:r>
    </w:p>
    <w:p w14:paraId="76AA1BBA" w14:textId="77777777" w:rsidR="00441C5C" w:rsidRPr="00DD0E90" w:rsidRDefault="00441C5C" w:rsidP="00B86D6C">
      <w:pPr>
        <w:spacing w:before="100" w:beforeAutospacing="1" w:after="100" w:afterAutospacing="1" w:line="240" w:lineRule="auto"/>
        <w:ind w:firstLine="708"/>
        <w:jc w:val="both"/>
        <w:outlineLvl w:val="1"/>
        <w:rPr>
          <w:rFonts w:ascii="Times New Roman" w:eastAsia="Times New Roman" w:hAnsi="Times New Roman" w:cs="Times New Roman"/>
          <w:b/>
          <w:bCs/>
          <w:kern w:val="0"/>
          <w:sz w:val="32"/>
          <w:szCs w:val="32"/>
          <w:lang w:eastAsia="pt-PT"/>
          <w14:ligatures w14:val="none"/>
        </w:rPr>
      </w:pPr>
      <w:r w:rsidRPr="00DD0E90">
        <w:rPr>
          <w:rFonts w:ascii="Times New Roman" w:eastAsia="Times New Roman" w:hAnsi="Times New Roman" w:cs="Times New Roman"/>
          <w:b/>
          <w:bCs/>
          <w:kern w:val="0"/>
          <w:sz w:val="32"/>
          <w:szCs w:val="32"/>
          <w:lang w:eastAsia="pt-PT"/>
          <w14:ligatures w14:val="none"/>
        </w:rPr>
        <w:t>10.1. Índice de Mobilidade Voluntária QA/QE</w:t>
      </w:r>
    </w:p>
    <w:p w14:paraId="76F6A135" w14:textId="5973DFB2"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Quando a estrutura regulamentar do ano permite identificar uma prioridade associada à participação voluntária de QA/QE, calcula-se:</w:t>
      </w:r>
    </w:p>
    <w:p w14:paraId="6E936B28" w14:textId="54C18E81" w:rsidR="00441C5C" w:rsidRPr="00DD0E90" w:rsidRDefault="00367CE9" w:rsidP="00DD0E90">
      <w:pPr>
        <w:pStyle w:val="NoSpacing"/>
        <w:spacing w:line="360" w:lineRule="auto"/>
        <w:jc w:val="both"/>
        <w:rPr>
          <w:rFonts w:ascii="Times New Roman" w:hAnsi="Times New Roman" w:cs="Times New Roman"/>
        </w:rPr>
      </w:pPr>
      <m:oMathPara>
        <m:oMath>
          <m:r>
            <w:rPr>
              <w:rFonts w:ascii="Cambria Math" w:hAnsi="Cambria Math" w:cs="Times New Roman"/>
            </w:rPr>
            <m:t>IMV</m:t>
          </m:r>
          <m:r>
            <m:rPr>
              <m:nor/>
            </m:rPr>
            <w:rPr>
              <w:rFonts w:ascii="Times New Roman" w:hAnsi="Times New Roman" w:cs="Times New Roman"/>
            </w:rPr>
            <m:t> </m:t>
          </m:r>
          <m:r>
            <w:rPr>
              <w:rFonts w:ascii="Cambria Math" w:hAnsi="Cambria Math" w:cs="Times New Roman"/>
            </w:rPr>
            <m:t>-</m:t>
          </m:r>
          <m:r>
            <m:rPr>
              <m:nor/>
            </m:rPr>
            <w:rPr>
              <w:rFonts w:ascii="Times New Roman" w:hAnsi="Times New Roman" w:cs="Times New Roman"/>
            </w:rPr>
            <m:t> </m:t>
          </m:r>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 xml:space="preserve">QA/QE </m:t>
              </m:r>
              <m:r>
                <w:rPr>
                  <w:rFonts w:ascii="Cambria Math" w:hAnsi="Cambria Math" w:cs="Times New Roman"/>
                </w:rPr>
                <m:t>na</m:t>
              </m:r>
              <m:r>
                <m:rPr>
                  <m:sty m:val="p"/>
                </m:rPr>
                <w:rPr>
                  <w:rFonts w:ascii="Cambria Math" w:hAnsi="Cambria Math" w:cs="Times New Roman"/>
                </w:rPr>
                <m:t xml:space="preserve"> </m:t>
              </m:r>
              <m:r>
                <w:rPr>
                  <w:rFonts w:ascii="Cambria Math" w:hAnsi="Cambria Math" w:cs="Times New Roman"/>
                </w:rPr>
                <m:t>prioridade</m:t>
              </m:r>
              <m:r>
                <m:rPr>
                  <m:sty m:val="p"/>
                </m:rPr>
                <w:rPr>
                  <w:rFonts w:ascii="Cambria Math" w:hAnsi="Cambria Math" w:cs="Times New Roman"/>
                </w:rPr>
                <m:t xml:space="preserve"> </m:t>
              </m:r>
              <m:r>
                <w:rPr>
                  <w:rFonts w:ascii="Cambria Math" w:hAnsi="Cambria Math" w:cs="Times New Roman"/>
                </w:rPr>
                <m:t>harmonizada</m:t>
              </m:r>
            </m:num>
            <m:den>
              <m:r>
                <w:rPr>
                  <w:rFonts w:ascii="Cambria Math" w:hAnsi="Cambria Math" w:cs="Times New Roman"/>
                </w:rPr>
                <m:t>Total</m:t>
              </m:r>
              <m:r>
                <m:rPr>
                  <m:sty m:val="p"/>
                </m:rPr>
                <w:rPr>
                  <w:rFonts w:ascii="Cambria Math" w:hAnsi="Cambria Math" w:cs="Times New Roman"/>
                </w:rPr>
                <m:t xml:space="preserve"> </m:t>
              </m:r>
              <m:r>
                <w:rPr>
                  <w:rFonts w:ascii="Cambria Math" w:hAnsi="Cambria Math" w:cs="Times New Roman"/>
                </w:rPr>
                <m:t>QA</m:t>
              </m:r>
              <m:r>
                <m:rPr>
                  <m:sty m:val="p"/>
                </m:rPr>
                <w:rPr>
                  <w:rFonts w:ascii="Cambria Math" w:hAnsi="Cambria Math" w:cs="Times New Roman"/>
                </w:rPr>
                <m:t>/</m:t>
              </m:r>
              <m:r>
                <w:rPr>
                  <w:rFonts w:ascii="Cambria Math" w:hAnsi="Cambria Math" w:cs="Times New Roman"/>
                </w:rPr>
                <m:t>QE</m:t>
              </m:r>
              <m:r>
                <m:rPr>
                  <m:sty m:val="p"/>
                </m:rPr>
                <w:rPr>
                  <w:rFonts w:ascii="Cambria Math" w:hAnsi="Cambria Math" w:cs="Times New Roman"/>
                </w:rPr>
                <m:t xml:space="preserve"> </m:t>
              </m:r>
              <m:r>
                <w:rPr>
                  <w:rFonts w:ascii="Cambria Math" w:hAnsi="Cambria Math" w:cs="Times New Roman"/>
                </w:rPr>
                <m:t>em MI</m:t>
              </m:r>
            </m:den>
          </m:f>
          <m:r>
            <w:rPr>
              <w:rFonts w:ascii="Cambria Math" w:hAnsi="Cambria Math" w:cs="Times New Roman"/>
            </w:rPr>
            <m:t>×100</m:t>
          </m:r>
        </m:oMath>
      </m:oMathPara>
    </w:p>
    <w:p w14:paraId="2882D5F1" w14:textId="4D5986CE"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O indicador deve ser interpretado como proxy administrativo de mobilidade voluntária, e não como inferência direta sobre a motivação psicológica de cada docente.</w:t>
      </w:r>
    </w:p>
    <w:p w14:paraId="10F44CBA" w14:textId="77777777" w:rsidR="00441C5C" w:rsidRPr="00DD0E90" w:rsidRDefault="00441C5C" w:rsidP="00B86D6C">
      <w:pPr>
        <w:spacing w:before="100" w:beforeAutospacing="1" w:after="100" w:afterAutospacing="1" w:line="240" w:lineRule="auto"/>
        <w:ind w:firstLine="708"/>
        <w:jc w:val="both"/>
        <w:outlineLvl w:val="1"/>
        <w:rPr>
          <w:rFonts w:ascii="Times New Roman" w:eastAsia="Times New Roman" w:hAnsi="Times New Roman" w:cs="Times New Roman"/>
          <w:b/>
          <w:bCs/>
          <w:kern w:val="0"/>
          <w:sz w:val="32"/>
          <w:szCs w:val="32"/>
          <w:lang w:eastAsia="pt-PT"/>
          <w14:ligatures w14:val="none"/>
        </w:rPr>
      </w:pPr>
      <w:r w:rsidRPr="00DD0E90">
        <w:rPr>
          <w:rFonts w:ascii="Times New Roman" w:eastAsia="Times New Roman" w:hAnsi="Times New Roman" w:cs="Times New Roman"/>
          <w:b/>
          <w:bCs/>
          <w:kern w:val="0"/>
          <w:sz w:val="32"/>
          <w:szCs w:val="32"/>
          <w:lang w:eastAsia="pt-PT"/>
          <w14:ligatures w14:val="none"/>
        </w:rPr>
        <w:t>10.2. Permanência dos QZP</w:t>
      </w:r>
    </w:p>
    <w:p w14:paraId="07304514" w14:textId="3DE46BE6"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São utilizadas duas medidas distintas:</w:t>
      </w:r>
    </w:p>
    <w:p w14:paraId="61D6CB02" w14:textId="00BAEA38" w:rsidR="00441C5C" w:rsidRPr="00DD0E90" w:rsidRDefault="00367CE9" w:rsidP="00DD0E90">
      <w:pPr>
        <w:pStyle w:val="NoSpacing"/>
        <w:spacing w:line="360" w:lineRule="auto"/>
        <w:jc w:val="both"/>
        <w:rPr>
          <w:rFonts w:ascii="Times New Roman" w:hAnsi="Times New Roman" w:cs="Times New Roman"/>
        </w:rPr>
      </w:pPr>
      <m:oMathPara>
        <m:oMath>
          <m:r>
            <w:rPr>
              <w:rFonts w:ascii="Cambria Math" w:hAnsi="Cambria Math" w:cs="Times New Roman"/>
            </w:rPr>
            <m:t>I</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QZP,t</m:t>
              </m:r>
            </m:sub>
            <m:sup>
              <m:r>
                <w:rPr>
                  <w:rFonts w:ascii="Cambria Math" w:hAnsi="Cambria Math" w:cs="Times New Roman"/>
                </w:rPr>
                <m:t>col</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QZP</m:t>
              </m:r>
              <m:r>
                <m:rPr>
                  <m:sty m:val="p"/>
                </m:rPr>
                <w:rPr>
                  <w:rFonts w:ascii="Cambria Math" w:hAnsi="Cambria Math" w:cs="Times New Roman"/>
                </w:rPr>
                <m:t xml:space="preserve"> </m:t>
              </m:r>
              <m:r>
                <w:rPr>
                  <w:rFonts w:ascii="Cambria Math" w:hAnsi="Cambria Math" w:cs="Times New Roman"/>
                </w:rPr>
                <m:t>colocados</m:t>
              </m:r>
              <m:r>
                <m:rPr>
                  <m:sty m:val="p"/>
                </m:rPr>
                <w:rPr>
                  <w:rFonts w:ascii="Cambria Math" w:hAnsi="Cambria Math" w:cs="Times New Roman"/>
                </w:rPr>
                <m:t xml:space="preserve"> </m:t>
              </m:r>
              <m:r>
                <w:rPr>
                  <w:rFonts w:ascii="Cambria Math" w:hAnsi="Cambria Math" w:cs="Times New Roman"/>
                </w:rPr>
                <m:t>na</m:t>
              </m:r>
              <m:r>
                <m:rPr>
                  <m:sty m:val="p"/>
                </m:rPr>
                <w:rPr>
                  <w:rFonts w:ascii="Cambria Math" w:hAnsi="Cambria Math" w:cs="Times New Roman"/>
                </w:rPr>
                <m:t xml:space="preserve"> </m:t>
              </m:r>
              <m:r>
                <w:rPr>
                  <w:rFonts w:ascii="Cambria Math" w:hAnsi="Cambria Math" w:cs="Times New Roman"/>
                </w:rPr>
                <m:t>escola</m:t>
              </m:r>
              <m:r>
                <m:rPr>
                  <m:sty m:val="p"/>
                </m:rPr>
                <w:rPr>
                  <w:rFonts w:ascii="Cambria Math" w:hAnsi="Cambria Math" w:cs="Times New Roman"/>
                </w:rPr>
                <m:t xml:space="preserve"> </m:t>
              </m:r>
              <m:r>
                <w:rPr>
                  <w:rFonts w:ascii="Cambria Math" w:hAnsi="Cambria Math" w:cs="Times New Roman"/>
                </w:rPr>
                <m:t>de</m:t>
              </m:r>
              <m:r>
                <m:rPr>
                  <m:sty m:val="p"/>
                </m:rPr>
                <w:rPr>
                  <w:rFonts w:ascii="Cambria Math" w:hAnsi="Cambria Math" w:cs="Times New Roman"/>
                </w:rPr>
                <m:t xml:space="preserve"> </m:t>
              </m:r>
              <m:r>
                <w:rPr>
                  <w:rFonts w:ascii="Cambria Math" w:hAnsi="Cambria Math" w:cs="Times New Roman"/>
                </w:rPr>
                <m:t>origem</m:t>
              </m:r>
            </m:num>
            <m:den>
              <m:r>
                <w:rPr>
                  <w:rFonts w:ascii="Cambria Math" w:hAnsi="Cambria Math" w:cs="Times New Roman"/>
                </w:rPr>
                <m:t>QZP</m:t>
              </m:r>
              <m:r>
                <m:rPr>
                  <m:sty m:val="p"/>
                </m:rPr>
                <w:rPr>
                  <w:rFonts w:ascii="Cambria Math" w:hAnsi="Cambria Math" w:cs="Times New Roman"/>
                </w:rPr>
                <m:t xml:space="preserve"> </m:t>
              </m:r>
              <m:r>
                <w:rPr>
                  <w:rFonts w:ascii="Cambria Math" w:hAnsi="Cambria Math" w:cs="Times New Roman"/>
                </w:rPr>
                <m:t>colocados</m:t>
              </m:r>
            </m:den>
          </m:f>
          <m:r>
            <w:rPr>
              <w:rFonts w:ascii="Cambria Math" w:hAnsi="Cambria Math" w:cs="Times New Roman"/>
            </w:rPr>
            <m:t>×100</m:t>
          </m:r>
        </m:oMath>
      </m:oMathPara>
    </w:p>
    <w:p w14:paraId="0836F528" w14:textId="77777777" w:rsidR="00441C5C" w:rsidRPr="00DD0E90" w:rsidRDefault="00441C5C" w:rsidP="00DD0E90">
      <w:pPr>
        <w:pStyle w:val="NoSpacing"/>
        <w:spacing w:line="360" w:lineRule="auto"/>
        <w:jc w:val="both"/>
        <w:rPr>
          <w:rFonts w:ascii="Times New Roman" w:hAnsi="Times New Roman" w:cs="Times New Roman"/>
        </w:rPr>
      </w:pPr>
      <w:r w:rsidRPr="00DD0E90">
        <w:rPr>
          <w:rFonts w:ascii="Times New Roman" w:hAnsi="Times New Roman" w:cs="Times New Roman"/>
        </w:rPr>
        <w:t>e:</w:t>
      </w:r>
    </w:p>
    <w:p w14:paraId="3F67A273" w14:textId="2D657195" w:rsidR="00441C5C" w:rsidRPr="00DD0E90" w:rsidRDefault="00367CE9" w:rsidP="00DD0E90">
      <w:pPr>
        <w:pStyle w:val="NoSpacing"/>
        <w:spacing w:line="360" w:lineRule="auto"/>
        <w:jc w:val="both"/>
        <w:rPr>
          <w:rFonts w:ascii="Times New Roman" w:hAnsi="Times New Roman" w:cs="Times New Roman"/>
        </w:rPr>
      </w:pPr>
      <m:oMathPara>
        <m:oMath>
          <m:r>
            <w:rPr>
              <w:rFonts w:ascii="Cambria Math" w:hAnsi="Cambria Math" w:cs="Times New Roman"/>
            </w:rPr>
            <m:t>I</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QZP,t</m:t>
              </m:r>
            </m:sub>
            <m:sup>
              <m:r>
                <w:rPr>
                  <w:rFonts w:ascii="Cambria Math" w:hAnsi="Cambria Math" w:cs="Times New Roman"/>
                </w:rPr>
                <m:t>total</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QZP</m:t>
              </m:r>
              <m:r>
                <m:rPr>
                  <m:sty m:val="p"/>
                </m:rPr>
                <w:rPr>
                  <w:rFonts w:ascii="Cambria Math" w:hAnsi="Cambria Math" w:cs="Times New Roman"/>
                </w:rPr>
                <m:t xml:space="preserve"> </m:t>
              </m:r>
              <m:r>
                <w:rPr>
                  <w:rFonts w:ascii="Cambria Math" w:hAnsi="Cambria Math" w:cs="Times New Roman"/>
                </w:rPr>
                <m:t>colocados</m:t>
              </m:r>
              <m:r>
                <m:rPr>
                  <m:sty m:val="p"/>
                </m:rPr>
                <w:rPr>
                  <w:rFonts w:ascii="Cambria Math" w:hAnsi="Cambria Math" w:cs="Times New Roman"/>
                </w:rPr>
                <m:t xml:space="preserve"> </m:t>
              </m:r>
              <m:r>
                <w:rPr>
                  <w:rFonts w:ascii="Cambria Math" w:hAnsi="Cambria Math" w:cs="Times New Roman"/>
                </w:rPr>
                <m:t>na</m:t>
              </m:r>
              <m:r>
                <m:rPr>
                  <m:sty m:val="p"/>
                </m:rPr>
                <w:rPr>
                  <w:rFonts w:ascii="Cambria Math" w:hAnsi="Cambria Math" w:cs="Times New Roman"/>
                </w:rPr>
                <m:t xml:space="preserve"> </m:t>
              </m:r>
              <m:r>
                <w:rPr>
                  <w:rFonts w:ascii="Cambria Math" w:hAnsi="Cambria Math" w:cs="Times New Roman"/>
                </w:rPr>
                <m:t>escola</m:t>
              </m:r>
              <m:r>
                <m:rPr>
                  <m:sty m:val="p"/>
                </m:rPr>
                <w:rPr>
                  <w:rFonts w:ascii="Cambria Math" w:hAnsi="Cambria Math" w:cs="Times New Roman"/>
                </w:rPr>
                <m:t xml:space="preserve"> </m:t>
              </m:r>
              <m:r>
                <w:rPr>
                  <w:rFonts w:ascii="Cambria Math" w:hAnsi="Cambria Math" w:cs="Times New Roman"/>
                </w:rPr>
                <m:t>de</m:t>
              </m:r>
              <m:r>
                <m:rPr>
                  <m:sty m:val="p"/>
                </m:rPr>
                <w:rPr>
                  <w:rFonts w:ascii="Cambria Math" w:hAnsi="Cambria Math" w:cs="Times New Roman"/>
                </w:rPr>
                <m:t xml:space="preserve"> </m:t>
              </m:r>
              <m:r>
                <w:rPr>
                  <w:rFonts w:ascii="Cambria Math" w:hAnsi="Cambria Math" w:cs="Times New Roman"/>
                </w:rPr>
                <m:t>origem</m:t>
              </m:r>
            </m:num>
            <m:den>
              <m:r>
                <w:rPr>
                  <w:rFonts w:ascii="Cambria Math" w:hAnsi="Cambria Math" w:cs="Times New Roman"/>
                </w:rPr>
                <m:t>Total</m:t>
              </m:r>
              <m:r>
                <m:rPr>
                  <m:sty m:val="p"/>
                </m:rPr>
                <w:rPr>
                  <w:rFonts w:ascii="Cambria Math" w:hAnsi="Cambria Math" w:cs="Times New Roman"/>
                </w:rPr>
                <m:t xml:space="preserve"> </m:t>
              </m:r>
              <m:r>
                <w:rPr>
                  <w:rFonts w:ascii="Cambria Math" w:hAnsi="Cambria Math" w:cs="Times New Roman"/>
                </w:rPr>
                <m:t>QZP</m:t>
              </m:r>
              <m:r>
                <m:rPr>
                  <m:sty m:val="p"/>
                </m:rPr>
                <w:rPr>
                  <w:rFonts w:ascii="Cambria Math" w:hAnsi="Cambria Math" w:cs="Times New Roman"/>
                </w:rPr>
                <m:t xml:space="preserve"> </m:t>
              </m:r>
              <m:r>
                <w:rPr>
                  <w:rFonts w:ascii="Cambria Math" w:hAnsi="Cambria Math" w:cs="Times New Roman"/>
                </w:rPr>
                <m:t>participantes</m:t>
              </m:r>
            </m:den>
          </m:f>
          <m:r>
            <w:rPr>
              <w:rFonts w:ascii="Cambria Math" w:hAnsi="Cambria Math" w:cs="Times New Roman"/>
            </w:rPr>
            <m:t>×100</m:t>
          </m:r>
        </m:oMath>
      </m:oMathPara>
    </w:p>
    <w:p w14:paraId="131D299C" w14:textId="7F0C1EDC"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lastRenderedPageBreak/>
        <w:tab/>
      </w:r>
      <w:r w:rsidR="00441C5C" w:rsidRPr="00DD0E90">
        <w:rPr>
          <w:rFonts w:ascii="Times New Roman" w:hAnsi="Times New Roman" w:cs="Times New Roman"/>
        </w:rPr>
        <w:t>A primeira responde à questão:</w:t>
      </w:r>
      <w:r w:rsidR="00367CE9" w:rsidRPr="00DD0E90">
        <w:rPr>
          <w:rFonts w:ascii="Times New Roman" w:hAnsi="Times New Roman" w:cs="Times New Roman"/>
        </w:rPr>
        <w:t xml:space="preserve"> “</w:t>
      </w:r>
      <w:r w:rsidR="00441C5C" w:rsidRPr="00DD0E90">
        <w:rPr>
          <w:rFonts w:ascii="Times New Roman" w:hAnsi="Times New Roman" w:cs="Times New Roman"/>
        </w:rPr>
        <w:t>entre os QZP que obtiveram colocação, qual a proporção que permaneceu na mesma escola?</w:t>
      </w:r>
      <w:r w:rsidR="00367CE9" w:rsidRPr="00DD0E90">
        <w:rPr>
          <w:rFonts w:ascii="Times New Roman" w:hAnsi="Times New Roman" w:cs="Times New Roman"/>
        </w:rPr>
        <w:t>”</w:t>
      </w:r>
    </w:p>
    <w:p w14:paraId="756954C8" w14:textId="0F08D9A2" w:rsidR="00441C5C"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441C5C" w:rsidRPr="00DD0E90">
        <w:rPr>
          <w:rFonts w:ascii="Times New Roman" w:hAnsi="Times New Roman" w:cs="Times New Roman"/>
        </w:rPr>
        <w:t>A segunda responde:</w:t>
      </w:r>
      <w:r w:rsidR="00367CE9" w:rsidRPr="00DD0E90">
        <w:rPr>
          <w:rFonts w:ascii="Times New Roman" w:hAnsi="Times New Roman" w:cs="Times New Roman"/>
        </w:rPr>
        <w:t xml:space="preserve"> “</w:t>
      </w:r>
      <w:r w:rsidR="00441C5C" w:rsidRPr="00DD0E90">
        <w:rPr>
          <w:rFonts w:ascii="Times New Roman" w:hAnsi="Times New Roman" w:cs="Times New Roman"/>
        </w:rPr>
        <w:t>relativamente ao universo total de QZP participantes, qual a proporção que terminou colocada na mesma escola?</w:t>
      </w:r>
      <w:r w:rsidR="00367CE9" w:rsidRPr="00DD0E90">
        <w:rPr>
          <w:rFonts w:ascii="Times New Roman" w:hAnsi="Times New Roman" w:cs="Times New Roman"/>
        </w:rPr>
        <w:t>”</w:t>
      </w:r>
    </w:p>
    <w:p w14:paraId="67C26F1C" w14:textId="39CC1618" w:rsidR="00C33F4C" w:rsidRPr="00DD0E90" w:rsidRDefault="00C33F4C" w:rsidP="00C33F4C">
      <w:pPr>
        <w:spacing w:before="100" w:beforeAutospacing="1" w:after="100" w:afterAutospacing="1" w:line="240" w:lineRule="auto"/>
        <w:ind w:firstLine="708"/>
        <w:jc w:val="both"/>
        <w:outlineLvl w:val="1"/>
        <w:rPr>
          <w:rFonts w:ascii="Times New Roman" w:eastAsia="Times New Roman" w:hAnsi="Times New Roman" w:cs="Times New Roman"/>
          <w:b/>
          <w:bCs/>
          <w:kern w:val="0"/>
          <w:sz w:val="32"/>
          <w:szCs w:val="32"/>
          <w:lang w:eastAsia="pt-PT"/>
          <w14:ligatures w14:val="none"/>
        </w:rPr>
      </w:pPr>
      <w:r w:rsidRPr="00DD0E90">
        <w:rPr>
          <w:rFonts w:ascii="Times New Roman" w:eastAsia="Times New Roman" w:hAnsi="Times New Roman" w:cs="Times New Roman"/>
          <w:b/>
          <w:bCs/>
          <w:kern w:val="0"/>
          <w:sz w:val="32"/>
          <w:szCs w:val="32"/>
          <w:lang w:eastAsia="pt-PT"/>
          <w14:ligatures w14:val="none"/>
        </w:rPr>
        <w:t>10.</w:t>
      </w:r>
      <w:r>
        <w:rPr>
          <w:rFonts w:ascii="Times New Roman" w:eastAsia="Times New Roman" w:hAnsi="Times New Roman" w:cs="Times New Roman"/>
          <w:b/>
          <w:bCs/>
          <w:kern w:val="0"/>
          <w:sz w:val="32"/>
          <w:szCs w:val="32"/>
          <w:lang w:eastAsia="pt-PT"/>
          <w14:ligatures w14:val="none"/>
        </w:rPr>
        <w:t>3</w:t>
      </w:r>
      <w:r w:rsidRPr="00DD0E90">
        <w:rPr>
          <w:rFonts w:ascii="Times New Roman" w:eastAsia="Times New Roman" w:hAnsi="Times New Roman" w:cs="Times New Roman"/>
          <w:b/>
          <w:bCs/>
          <w:kern w:val="0"/>
          <w:sz w:val="32"/>
          <w:szCs w:val="32"/>
          <w:lang w:eastAsia="pt-PT"/>
          <w14:ligatures w14:val="none"/>
        </w:rPr>
        <w:t xml:space="preserve">. </w:t>
      </w:r>
      <w:r w:rsidRPr="00C33F4C">
        <w:rPr>
          <w:rFonts w:ascii="Times New Roman" w:eastAsia="Times New Roman" w:hAnsi="Times New Roman" w:cs="Times New Roman"/>
          <w:b/>
          <w:bCs/>
          <w:kern w:val="0"/>
          <w:sz w:val="32"/>
          <w:szCs w:val="32"/>
          <w:lang w:eastAsia="pt-PT"/>
          <w14:ligatures w14:val="none"/>
        </w:rPr>
        <w:t>Comparação descritiva da não colocação entre QA/QE e QZP</w:t>
      </w:r>
    </w:p>
    <w:p w14:paraId="218A5627" w14:textId="3361A45A" w:rsidR="00DA7407" w:rsidRPr="00DA7407" w:rsidRDefault="00DA7407" w:rsidP="00DA7407">
      <w:pPr>
        <w:pStyle w:val="NoSpacing"/>
        <w:spacing w:line="360" w:lineRule="auto"/>
        <w:jc w:val="both"/>
        <w:rPr>
          <w:rFonts w:ascii="Times New Roman" w:hAnsi="Times New Roman" w:cs="Times New Roman"/>
        </w:rPr>
      </w:pPr>
      <w:r w:rsidRPr="009D233F">
        <w:rPr>
          <w:rFonts w:ascii="Times New Roman" w:hAnsi="Times New Roman" w:cs="Times New Roman"/>
        </w:rPr>
        <w:tab/>
      </w:r>
      <w:r w:rsidRPr="00DA7407">
        <w:rPr>
          <w:rFonts w:ascii="Times New Roman" w:hAnsi="Times New Roman" w:cs="Times New Roman"/>
        </w:rPr>
        <w:t>Para complementar a análise da composição e permanência dos dois tipos de candidatos, podem ser comparadas as respetivas proporções de não colocação.</w:t>
      </w:r>
    </w:p>
    <w:p w14:paraId="5317E31E" w14:textId="43EAE43E" w:rsidR="00DA7407" w:rsidRPr="00DA7407" w:rsidRDefault="00DA7407" w:rsidP="00DA7407">
      <w:pPr>
        <w:pStyle w:val="NoSpacing"/>
        <w:spacing w:line="360" w:lineRule="auto"/>
        <w:jc w:val="both"/>
        <w:rPr>
          <w:rFonts w:ascii="Times New Roman" w:hAnsi="Times New Roman" w:cs="Times New Roman"/>
        </w:rPr>
      </w:pPr>
      <w:r w:rsidRPr="009D233F">
        <w:rPr>
          <w:rFonts w:ascii="Times New Roman" w:hAnsi="Times New Roman" w:cs="Times New Roman"/>
        </w:rPr>
        <w:tab/>
      </w:r>
      <w:r w:rsidRPr="00DA7407">
        <w:rPr>
          <w:rFonts w:ascii="Times New Roman" w:hAnsi="Times New Roman" w:cs="Times New Roman"/>
        </w:rPr>
        <w:t>Define-se a diferença de não colocação:</w:t>
      </w:r>
    </w:p>
    <w:p w14:paraId="5670E4A4" w14:textId="628318F9" w:rsidR="00DA7407" w:rsidRPr="00DA7407" w:rsidRDefault="00DA7407" w:rsidP="00DA7407">
      <w:pPr>
        <w:pStyle w:val="NoSpacing"/>
        <w:spacing w:line="360" w:lineRule="auto"/>
        <w:jc w:val="both"/>
        <w:rPr>
          <w:rFonts w:ascii="Times New Roman" w:hAnsi="Times New Roman" w:cs="Times New Roman"/>
        </w:rPr>
      </w:pPr>
      <m:oMathPara>
        <m:oMath>
          <m:r>
            <w:rPr>
              <w:rFonts w:ascii="Cambria Math" w:hAnsi="Cambria Math" w:cs="Times New Roman"/>
            </w:rPr>
            <m:t xml:space="preserve">INCD = </m:t>
          </m:r>
          <m:sSub>
            <m:sSubPr>
              <m:ctrlPr>
                <w:rPr>
                  <w:rFonts w:ascii="Cambria Math" w:hAnsi="Cambria Math" w:cs="Times New Roman"/>
                  <w:i/>
                </w:rPr>
              </m:ctrlPr>
            </m:sSubPr>
            <m:e>
              <m:r>
                <w:rPr>
                  <w:rFonts w:ascii="Cambria Math" w:hAnsi="Cambria Math" w:cs="Times New Roman"/>
                </w:rPr>
                <m:t>P</m:t>
              </m:r>
              <m:r>
                <w:rPr>
                  <w:rFonts w:ascii="Cambria Math" w:hAnsi="Cambria Math" w:cs="Times New Roman"/>
                </w:rPr>
                <m:t>NC</m:t>
              </m:r>
            </m:e>
            <m:sub>
              <m:r>
                <w:rPr>
                  <w:rFonts w:ascii="Cambria Math" w:hAnsi="Cambria Math" w:cs="Times New Roman"/>
                </w:rPr>
                <m:t>QA/QE</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P</m:t>
              </m:r>
              <m:r>
                <w:rPr>
                  <w:rFonts w:ascii="Cambria Math" w:hAnsi="Cambria Math" w:cs="Times New Roman"/>
                </w:rPr>
                <m:t>NC</m:t>
              </m:r>
            </m:e>
            <m:sub>
              <m:r>
                <w:rPr>
                  <w:rFonts w:ascii="Cambria Math" w:hAnsi="Cambria Math" w:cs="Times New Roman"/>
                </w:rPr>
                <m:t>QZP</m:t>
              </m:r>
            </m:sub>
          </m:sSub>
        </m:oMath>
      </m:oMathPara>
    </w:p>
    <w:p w14:paraId="44005340" w14:textId="77777777" w:rsidR="00DA7407" w:rsidRPr="00DA7407" w:rsidRDefault="00DA7407" w:rsidP="00DA7407">
      <w:pPr>
        <w:pStyle w:val="NoSpacing"/>
        <w:spacing w:line="360" w:lineRule="auto"/>
        <w:jc w:val="both"/>
        <w:rPr>
          <w:rFonts w:ascii="Times New Roman" w:hAnsi="Times New Roman" w:cs="Times New Roman"/>
        </w:rPr>
      </w:pPr>
      <w:r w:rsidRPr="00DA7407">
        <w:rPr>
          <w:rFonts w:ascii="Times New Roman" w:hAnsi="Times New Roman" w:cs="Times New Roman"/>
        </w:rPr>
        <w:t>podendo igualmente calcular-se o risco relativo descritivo:</w:t>
      </w:r>
    </w:p>
    <w:p w14:paraId="5B8698C3" w14:textId="41F0BC19" w:rsidR="00DA7407" w:rsidRPr="00DA7407" w:rsidRDefault="00DA7407" w:rsidP="00DA7407">
      <w:pPr>
        <w:pStyle w:val="NoSpacing"/>
        <w:spacing w:line="360" w:lineRule="auto"/>
        <w:jc w:val="both"/>
        <w:rPr>
          <w:rFonts w:ascii="Times New Roman" w:hAnsi="Times New Roman" w:cs="Times New Roman"/>
        </w:rPr>
      </w:pPr>
      <m:oMathPara>
        <m:oMath>
          <m:r>
            <w:rPr>
              <w:rFonts w:ascii="Cambria Math" w:hAnsi="Cambria Math" w:cs="Times New Roman"/>
            </w:rPr>
            <m:t>RRNC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r>
                    <w:rPr>
                      <w:rFonts w:ascii="Cambria Math" w:hAnsi="Cambria Math" w:cs="Times New Roman"/>
                    </w:rPr>
                    <m:t>NC</m:t>
                  </m:r>
                </m:e>
                <m:sub>
                  <m:r>
                    <w:rPr>
                      <w:rFonts w:ascii="Cambria Math" w:hAnsi="Cambria Math" w:cs="Times New Roman"/>
                    </w:rPr>
                    <m:t>QA/QE</m:t>
                  </m:r>
                </m:sub>
              </m:sSub>
            </m:num>
            <m:den>
              <m:sSub>
                <m:sSubPr>
                  <m:ctrlPr>
                    <w:rPr>
                      <w:rFonts w:ascii="Cambria Math" w:hAnsi="Cambria Math" w:cs="Times New Roman"/>
                      <w:i/>
                    </w:rPr>
                  </m:ctrlPr>
                </m:sSubPr>
                <m:e>
                  <m:r>
                    <w:rPr>
                      <w:rFonts w:ascii="Cambria Math" w:hAnsi="Cambria Math" w:cs="Times New Roman"/>
                    </w:rPr>
                    <m:t>P</m:t>
                  </m:r>
                  <m:r>
                    <w:rPr>
                      <w:rFonts w:ascii="Cambria Math" w:hAnsi="Cambria Math" w:cs="Times New Roman"/>
                    </w:rPr>
                    <m:t>NC</m:t>
                  </m:r>
                </m:e>
                <m:sub>
                  <m:r>
                    <w:rPr>
                      <w:rFonts w:ascii="Cambria Math" w:hAnsi="Cambria Math" w:cs="Times New Roman"/>
                    </w:rPr>
                    <m:t>QZP</m:t>
                  </m:r>
                </m:sub>
              </m:sSub>
            </m:den>
          </m:f>
          <m:r>
            <w:rPr>
              <w:rFonts w:ascii="Cambria Math" w:hAnsi="Cambria Math" w:cs="Times New Roman"/>
            </w:rPr>
            <m:t xml:space="preserve"> </m:t>
          </m:r>
        </m:oMath>
      </m:oMathPara>
    </w:p>
    <w:p w14:paraId="559F5ADD" w14:textId="1BD44F78" w:rsidR="00DA7407" w:rsidRPr="00DA7407" w:rsidRDefault="00DA7407" w:rsidP="00DA7407">
      <w:pPr>
        <w:pStyle w:val="NoSpacing"/>
        <w:spacing w:line="360" w:lineRule="auto"/>
        <w:jc w:val="both"/>
        <w:rPr>
          <w:rFonts w:ascii="Times New Roman" w:hAnsi="Times New Roman" w:cs="Times New Roman"/>
        </w:rPr>
      </w:pPr>
      <w:r w:rsidRPr="009D233F">
        <w:rPr>
          <w:rFonts w:ascii="Times New Roman" w:hAnsi="Times New Roman" w:cs="Times New Roman"/>
        </w:rPr>
        <w:tab/>
      </w:r>
      <w:r w:rsidRPr="00DA7407">
        <w:rPr>
          <w:rFonts w:ascii="Times New Roman" w:hAnsi="Times New Roman" w:cs="Times New Roman"/>
        </w:rPr>
        <w:t>O primeiro indicador expressa a diferença, em pontos percentuais, entre as proporções observadas de não colocação dos dois grupos. O segundo expressa a razão entre essas proporções e deve ser utilizado apenas quando o denominador é diferente de zero.</w:t>
      </w:r>
    </w:p>
    <w:p w14:paraId="5D6DAAF2" w14:textId="3AF9770D" w:rsidR="00DA7407" w:rsidRPr="00DA7407" w:rsidRDefault="00DA7407" w:rsidP="00DA7407">
      <w:pPr>
        <w:pStyle w:val="NoSpacing"/>
        <w:spacing w:line="360" w:lineRule="auto"/>
        <w:jc w:val="both"/>
        <w:rPr>
          <w:rFonts w:ascii="Times New Roman" w:hAnsi="Times New Roman" w:cs="Times New Roman"/>
        </w:rPr>
      </w:pPr>
      <w:r w:rsidRPr="009D233F">
        <w:rPr>
          <w:rFonts w:ascii="Times New Roman" w:hAnsi="Times New Roman" w:cs="Times New Roman"/>
        </w:rPr>
        <w:tab/>
      </w:r>
      <w:r w:rsidRPr="00DA7407">
        <w:rPr>
          <w:rFonts w:ascii="Times New Roman" w:hAnsi="Times New Roman" w:cs="Times New Roman"/>
        </w:rPr>
        <w:t>Ambos constituem medidas descritivas do universo observado na Mobilidade Interna e não devem ser interpretados como estimativas causais de risco nem como medidas relativas ao universo nacional de QA/QE ou QZP.</w:t>
      </w:r>
    </w:p>
    <w:p w14:paraId="3C7E449B" w14:textId="77777777" w:rsidR="00367CE9" w:rsidRPr="00DD0E90" w:rsidRDefault="00367CE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DD0E90">
        <w:rPr>
          <w:rFonts w:ascii="Times New Roman" w:eastAsia="Times New Roman" w:hAnsi="Times New Roman" w:cs="Times New Roman"/>
          <w:b/>
          <w:bCs/>
          <w:kern w:val="0"/>
          <w:sz w:val="32"/>
          <w:szCs w:val="32"/>
          <w:lang w:eastAsia="pt-PT"/>
          <w14:ligatures w14:val="none"/>
        </w:rPr>
        <w:t>11. Rede dirigida e ponderada de mobilidade</w:t>
      </w:r>
    </w:p>
    <w:p w14:paraId="531ABF01" w14:textId="6F3931AE" w:rsidR="00367CE9"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367CE9" w:rsidRPr="00DD0E90">
        <w:rPr>
          <w:rFonts w:ascii="Times New Roman" w:hAnsi="Times New Roman" w:cs="Times New Roman"/>
        </w:rPr>
        <w:t>A análise das migrações efetivas é formalizada através de uma rede dirigida e ponderada:</w:t>
      </w:r>
    </w:p>
    <w:p w14:paraId="441E7B41" w14:textId="6D4E20B1" w:rsidR="00367CE9" w:rsidRPr="00DD0E90" w:rsidRDefault="00000000" w:rsidP="00DD0E90">
      <w:pPr>
        <w:pStyle w:val="NoSpacing"/>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m:t>
          </m:r>
        </m:oMath>
      </m:oMathPara>
    </w:p>
    <w:p w14:paraId="606B4A0C" w14:textId="00BC3EE7" w:rsidR="00367CE9" w:rsidRPr="00DD0E90" w:rsidRDefault="00367CE9" w:rsidP="00DD0E90">
      <w:pPr>
        <w:pStyle w:val="NoSpacing"/>
        <w:spacing w:line="360" w:lineRule="auto"/>
        <w:jc w:val="both"/>
        <w:rPr>
          <w:rFonts w:ascii="Times New Roman" w:hAnsi="Times New Roman" w:cs="Times New Roman"/>
        </w:rPr>
      </w:pPr>
      <w:r w:rsidRPr="00DD0E90">
        <w:rPr>
          <w:rFonts w:ascii="Times New Roman" w:hAnsi="Times New Roman" w:cs="Times New Roman"/>
        </w:rPr>
        <w:t xml:space="preserve">onde </w:t>
      </w:r>
      <m:oMath>
        <m:r>
          <w:rPr>
            <w:rFonts w:ascii="Cambria Math" w:hAnsi="Cambria Math" w:cs="Times New Roman"/>
          </w:rPr>
          <m:t>V</m:t>
        </m:r>
      </m:oMath>
      <w:r w:rsidRPr="00DD0E90">
        <w:rPr>
          <w:rFonts w:ascii="Times New Roman" w:hAnsi="Times New Roman" w:cs="Times New Roman"/>
        </w:rPr>
        <w:t xml:space="preserve">representa o conjunto de escolas 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oMath>
      <w:r w:rsidRPr="00DD0E90">
        <w:rPr>
          <w:rFonts w:ascii="Times New Roman" w:hAnsi="Times New Roman" w:cs="Times New Roman"/>
        </w:rPr>
        <w:t xml:space="preserve">o conjunto de movimentos docentes observados no ano </w:t>
      </w:r>
      <m:oMath>
        <m:r>
          <w:rPr>
            <w:rFonts w:ascii="Cambria Math" w:hAnsi="Cambria Math" w:cs="Times New Roman"/>
          </w:rPr>
          <m:t>t</m:t>
        </m:r>
      </m:oMath>
      <w:r w:rsidRPr="00DD0E90">
        <w:rPr>
          <w:rFonts w:ascii="Times New Roman" w:hAnsi="Times New Roman" w:cs="Times New Roman"/>
        </w:rPr>
        <w:t>.</w:t>
      </w:r>
    </w:p>
    <w:p w14:paraId="0F049B9C" w14:textId="0033D46E" w:rsidR="00367CE9"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367CE9" w:rsidRPr="00DD0E90">
        <w:rPr>
          <w:rFonts w:ascii="Times New Roman" w:hAnsi="Times New Roman" w:cs="Times New Roman"/>
        </w:rPr>
        <w:t>Cada ligação dirigida:</w:t>
      </w:r>
    </w:p>
    <w:p w14:paraId="3ED25CB4" w14:textId="78A21CF4" w:rsidR="00367CE9" w:rsidRPr="00DD0E90" w:rsidRDefault="00367CE9" w:rsidP="00DD0E90">
      <w:pPr>
        <w:pStyle w:val="NoSpacing"/>
        <w:spacing w:line="360" w:lineRule="auto"/>
        <w:jc w:val="both"/>
        <w:rPr>
          <w:rFonts w:ascii="Times New Roman" w:hAnsi="Times New Roman" w:cs="Times New Roman"/>
        </w:rPr>
      </w:pPr>
      <m:oMathPara>
        <m:oMath>
          <m:r>
            <w:rPr>
              <w:rFonts w:ascii="Cambria Math" w:hAnsi="Cambria Math" w:cs="Times New Roman"/>
            </w:rPr>
            <m:t>i→j</m:t>
          </m:r>
        </m:oMath>
      </m:oMathPara>
    </w:p>
    <w:p w14:paraId="273B459A" w14:textId="3DE083EF" w:rsidR="00367CE9" w:rsidRPr="00DD0E90" w:rsidRDefault="00367CE9" w:rsidP="00DD0E90">
      <w:pPr>
        <w:pStyle w:val="NoSpacing"/>
        <w:spacing w:line="360" w:lineRule="auto"/>
        <w:jc w:val="both"/>
        <w:rPr>
          <w:rFonts w:ascii="Times New Roman" w:hAnsi="Times New Roman" w:cs="Times New Roman"/>
        </w:rPr>
      </w:pPr>
      <w:r w:rsidRPr="00DD0E90">
        <w:rPr>
          <w:rFonts w:ascii="Times New Roman" w:hAnsi="Times New Roman" w:cs="Times New Roman"/>
        </w:rPr>
        <w:t xml:space="preserve">significa que pelo menos um docente foi colocado na escola </w:t>
      </w:r>
      <m:oMath>
        <m:r>
          <w:rPr>
            <w:rFonts w:ascii="Cambria Math" w:hAnsi="Cambria Math" w:cs="Times New Roman"/>
          </w:rPr>
          <m:t>j</m:t>
        </m:r>
      </m:oMath>
      <w:r w:rsidRPr="00DD0E90">
        <w:rPr>
          <w:rFonts w:ascii="Times New Roman" w:hAnsi="Times New Roman" w:cs="Times New Roman"/>
        </w:rPr>
        <w:t xml:space="preserve">tendo como origem a escola </w:t>
      </w:r>
      <m:oMath>
        <m:r>
          <w:rPr>
            <w:rFonts w:ascii="Cambria Math" w:hAnsi="Cambria Math" w:cs="Times New Roman"/>
          </w:rPr>
          <m:t>i</m:t>
        </m:r>
      </m:oMath>
      <w:r w:rsidRPr="00DD0E90">
        <w:rPr>
          <w:rFonts w:ascii="Times New Roman" w:hAnsi="Times New Roman" w:cs="Times New Roman"/>
        </w:rPr>
        <w:t>.</w:t>
      </w:r>
    </w:p>
    <w:p w14:paraId="27E9E11D" w14:textId="5F6928F2" w:rsidR="00367CE9"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367CE9" w:rsidRPr="00DD0E90">
        <w:rPr>
          <w:rFonts w:ascii="Times New Roman" w:hAnsi="Times New Roman" w:cs="Times New Roman"/>
        </w:rPr>
        <w:t>A ponderação da aresta é:</w:t>
      </w:r>
    </w:p>
    <w:p w14:paraId="526DE9E7" w14:textId="4A840641" w:rsidR="00367CE9" w:rsidRPr="00DD0E90" w:rsidRDefault="00000000" w:rsidP="00DD0E90">
      <w:pPr>
        <w:pStyle w:val="NoSpacing"/>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ij,t</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r>
            <m:rPr>
              <m:nor/>
            </m:rPr>
            <w:rPr>
              <w:rFonts w:ascii="Times New Roman" w:hAnsi="Times New Roman" w:cs="Times New Roman"/>
            </w:rPr>
            <m:t xml:space="preserve">docentes que migraram de </m:t>
          </m:r>
          <m:r>
            <w:rPr>
              <w:rFonts w:ascii="Cambria Math" w:hAnsi="Cambria Math" w:cs="Times New Roman"/>
            </w:rPr>
            <m:t>i</m:t>
          </m:r>
          <m:r>
            <m:rPr>
              <m:nor/>
            </m:rPr>
            <w:rPr>
              <w:rFonts w:ascii="Times New Roman" w:hAnsi="Times New Roman" w:cs="Times New Roman"/>
            </w:rPr>
            <m:t xml:space="preserve"> para </m:t>
          </m:r>
          <m:r>
            <w:rPr>
              <w:rFonts w:ascii="Cambria Math" w:hAnsi="Cambria Math" w:cs="Times New Roman"/>
            </w:rPr>
            <m:t>j}</m:t>
          </m:r>
        </m:oMath>
      </m:oMathPara>
    </w:p>
    <w:p w14:paraId="5DB330FC" w14:textId="6054B377" w:rsidR="00367CE9"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367CE9" w:rsidRPr="00DD0E90">
        <w:rPr>
          <w:rFonts w:ascii="Times New Roman" w:hAnsi="Times New Roman" w:cs="Times New Roman"/>
        </w:rPr>
        <w:t xml:space="preserve">O tamanho visual do nó é relacionado com o movimento total da escola, enquanto a espessura da aresta representa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ij,t</m:t>
            </m:r>
          </m:sub>
        </m:sSub>
      </m:oMath>
      <w:r w:rsidR="00367CE9" w:rsidRPr="00DD0E90">
        <w:rPr>
          <w:rFonts w:ascii="Times New Roman" w:hAnsi="Times New Roman" w:cs="Times New Roman"/>
        </w:rPr>
        <w:t>.</w:t>
      </w:r>
    </w:p>
    <w:p w14:paraId="0456257A" w14:textId="5552A11D" w:rsidR="00DA7407" w:rsidRDefault="00DA7407"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Pr="00DA7407">
        <w:rPr>
          <w:rFonts w:ascii="Times New Roman" w:hAnsi="Times New Roman" w:cs="Times New Roman"/>
        </w:rPr>
        <w:t>Na representação gráfica, a cor do nó pode ser utilizada para distinguir a predominância relativa de entradas, saídas ou situações de maior equilíbrio. Quando a visualização impõe um limite ao número de nós representados simultaneamente, esse limite possui exclusivamente uma função de legibilidade e não constitui um critério de exclusão da base analítica. Consequentemente, a pesquisa individual de uma escola deve permitir a sua localização mesmo quando esta não integra o conjunto de nós inicialmente apresentado.</w:t>
      </w:r>
    </w:p>
    <w:p w14:paraId="3E6B2D3B" w14:textId="578E2CB6" w:rsidR="00367CE9"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367CE9" w:rsidRPr="00DD0E90">
        <w:rPr>
          <w:rFonts w:ascii="Times New Roman" w:hAnsi="Times New Roman" w:cs="Times New Roman"/>
        </w:rPr>
        <w:t xml:space="preserve">A utilização de redes para estudar mobilidade laboral permite ultrapassar classificações baseadas apenas em setores ou categorias isoladas, representando explicitamente o sistema de transições existente entre posições. Uma abordagem deste género foi utilizada por Guerrero e Axtell na análise de redes de mobilidade profissional, demonstrando a utilidade de representar empregos e movimentos enquanto estrutura relacional. </w:t>
      </w:r>
    </w:p>
    <w:p w14:paraId="30B309AD" w14:textId="3D26C792" w:rsidR="00367CE9"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367CE9" w:rsidRPr="00DD0E90">
        <w:rPr>
          <w:rFonts w:ascii="Times New Roman" w:hAnsi="Times New Roman" w:cs="Times New Roman"/>
        </w:rPr>
        <w:t xml:space="preserve">Em contexto educativo, McFarland (2006) mostrou igualmente a complementaridade entre análise de redes e modelos de transição para estudar volume, direção e progressão de trajetórias dentro de sistemas educativos. </w:t>
      </w:r>
    </w:p>
    <w:p w14:paraId="5703FCB5" w14:textId="77777777" w:rsidR="00367CE9" w:rsidRPr="00DD0E90" w:rsidRDefault="00367CE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DD0E90">
        <w:rPr>
          <w:rFonts w:ascii="Times New Roman" w:eastAsia="Times New Roman" w:hAnsi="Times New Roman" w:cs="Times New Roman"/>
          <w:b/>
          <w:bCs/>
          <w:kern w:val="0"/>
          <w:sz w:val="32"/>
          <w:szCs w:val="32"/>
          <w:lang w:eastAsia="pt-PT"/>
          <w14:ligatures w14:val="none"/>
        </w:rPr>
        <w:t>12. Persistência dos corredores de mobilidade</w:t>
      </w:r>
    </w:p>
    <w:p w14:paraId="4F029D58" w14:textId="6E70021B" w:rsidR="00367CE9"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367CE9" w:rsidRPr="00DD0E90">
        <w:rPr>
          <w:rFonts w:ascii="Times New Roman" w:hAnsi="Times New Roman" w:cs="Times New Roman"/>
        </w:rPr>
        <w:t xml:space="preserve">Para uma ligação </w:t>
      </w:r>
      <m:oMath>
        <m:r>
          <w:rPr>
            <w:rFonts w:ascii="Cambria Math" w:hAnsi="Cambria Math" w:cs="Times New Roman"/>
          </w:rPr>
          <m:t>i→j</m:t>
        </m:r>
      </m:oMath>
      <w:r w:rsidR="00513847" w:rsidRPr="00DD0E90">
        <w:rPr>
          <w:rFonts w:ascii="Times New Roman" w:eastAsiaTheme="minorEastAsia" w:hAnsi="Times New Roman" w:cs="Times New Roman"/>
        </w:rPr>
        <w:t xml:space="preserve"> </w:t>
      </w:r>
      <w:r w:rsidR="00367CE9" w:rsidRPr="00DD0E90">
        <w:rPr>
          <w:rFonts w:ascii="Times New Roman" w:hAnsi="Times New Roman" w:cs="Times New Roman"/>
        </w:rPr>
        <w:t xml:space="preserve">observada ao longo de </w:t>
      </w:r>
      <m:oMath>
        <m:r>
          <w:rPr>
            <w:rFonts w:ascii="Cambria Math" w:hAnsi="Cambria Math" w:cs="Times New Roman"/>
          </w:rPr>
          <m:t>T</m:t>
        </m:r>
      </m:oMath>
      <w:r w:rsidR="00367CE9" w:rsidRPr="00DD0E90">
        <w:rPr>
          <w:rFonts w:ascii="Times New Roman" w:hAnsi="Times New Roman" w:cs="Times New Roman"/>
        </w:rPr>
        <w:t>anos, define-se:</w:t>
      </w:r>
    </w:p>
    <w:p w14:paraId="325B20E5" w14:textId="7EFF1D36" w:rsidR="00367CE9" w:rsidRPr="00DD0E90" w:rsidRDefault="00513847" w:rsidP="00DD0E90">
      <w:pPr>
        <w:pStyle w:val="NoSpacing"/>
        <w:spacing w:line="360" w:lineRule="auto"/>
        <w:jc w:val="both"/>
        <w:rPr>
          <w:rFonts w:ascii="Times New Roman" w:hAnsi="Times New Roman" w:cs="Times New Roman"/>
        </w:rPr>
      </w:pPr>
      <m:oMathPara>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ij</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m:rPr>
                  <m:nor/>
                </m:rPr>
                <w:rPr>
                  <w:rFonts w:ascii="Times New Roman" w:hAnsi="Times New Roman" w:cs="Times New Roman"/>
                </w:rPr>
                <m:t xml:space="preserve">º </m:t>
              </m:r>
              <m:r>
                <w:rPr>
                  <w:rFonts w:ascii="Cambria Math" w:hAnsi="Cambria Math" w:cs="Times New Roman"/>
                </w:rPr>
                <m:t>de</m:t>
              </m:r>
              <m:r>
                <m:rPr>
                  <m:sty m:val="p"/>
                </m:rPr>
                <w:rPr>
                  <w:rFonts w:ascii="Cambria Math" w:hAnsi="Cambria Math" w:cs="Times New Roman"/>
                </w:rPr>
                <m:t xml:space="preserve"> </m:t>
              </m:r>
              <m:r>
                <w:rPr>
                  <w:rFonts w:ascii="Cambria Math" w:hAnsi="Cambria Math" w:cs="Times New Roman"/>
                </w:rPr>
                <m:t>anos</m:t>
              </m:r>
              <m:r>
                <m:rPr>
                  <m:sty m:val="p"/>
                </m:rPr>
                <w:rPr>
                  <w:rFonts w:ascii="Cambria Math" w:hAnsi="Cambria Math" w:cs="Times New Roman"/>
                </w:rPr>
                <m:t xml:space="preserve"> </m:t>
              </m:r>
              <m:r>
                <w:rPr>
                  <w:rFonts w:ascii="Cambria Math" w:hAnsi="Cambria Math" w:cs="Times New Roman"/>
                </w:rPr>
                <m:t>em</m:t>
              </m:r>
              <m:r>
                <m:rPr>
                  <m:sty m:val="p"/>
                </m:rPr>
                <w:rPr>
                  <w:rFonts w:ascii="Cambria Math" w:hAnsi="Cambria Math" w:cs="Times New Roman"/>
                </w:rPr>
                <m:t xml:space="preserve"> </m:t>
              </m:r>
              <m:r>
                <w:rPr>
                  <w:rFonts w:ascii="Cambria Math" w:hAnsi="Cambria Math" w:cs="Times New Roman"/>
                </w:rPr>
                <m:t>que</m:t>
              </m:r>
              <m:r>
                <m:rPr>
                  <m:sty m:val="p"/>
                </m:rPr>
                <w:rPr>
                  <w:rFonts w:ascii="Cambria Math" w:hAnsi="Cambria Math" w:cs="Times New Roman"/>
                </w:rPr>
                <m:t xml:space="preserve"> </m:t>
              </m:r>
              <m:r>
                <w:rPr>
                  <w:rFonts w:ascii="Cambria Math" w:hAnsi="Cambria Math" w:cs="Times New Roman"/>
                </w:rPr>
                <m:t>i→j</m:t>
              </m:r>
              <m:r>
                <m:rPr>
                  <m:sty m:val="p"/>
                </m:rPr>
                <w:rPr>
                  <w:rFonts w:ascii="Cambria Math" w:hAnsi="Cambria Math" w:cs="Times New Roman"/>
                </w:rPr>
                <m:t xml:space="preserve"> </m:t>
              </m:r>
              <m:r>
                <w:rPr>
                  <w:rFonts w:ascii="Cambria Math" w:hAnsi="Cambria Math" w:cs="Times New Roman"/>
                </w:rPr>
                <m:t>foi</m:t>
              </m:r>
              <m:r>
                <m:rPr>
                  <m:sty m:val="p"/>
                </m:rPr>
                <w:rPr>
                  <w:rFonts w:ascii="Cambria Math" w:hAnsi="Cambria Math" w:cs="Times New Roman"/>
                </w:rPr>
                <m:t xml:space="preserve"> </m:t>
              </m:r>
              <m:r>
                <w:rPr>
                  <w:rFonts w:ascii="Cambria Math" w:hAnsi="Cambria Math" w:cs="Times New Roman"/>
                </w:rPr>
                <m:t>observado</m:t>
              </m:r>
            </m:num>
            <m:den>
              <m:r>
                <w:rPr>
                  <w:rFonts w:ascii="Cambria Math" w:hAnsi="Cambria Math" w:cs="Times New Roman"/>
                </w:rPr>
                <m:t>T</m:t>
              </m:r>
            </m:den>
          </m:f>
          <m:r>
            <w:rPr>
              <w:rFonts w:ascii="Cambria Math" w:hAnsi="Cambria Math" w:cs="Times New Roman"/>
            </w:rPr>
            <m:t>×100</m:t>
          </m:r>
        </m:oMath>
      </m:oMathPara>
    </w:p>
    <w:p w14:paraId="6D09C88E" w14:textId="5A0DB78C" w:rsidR="00367CE9" w:rsidRPr="00DD0E90" w:rsidRDefault="00DD0E90" w:rsidP="00DD0E90">
      <w:pPr>
        <w:pStyle w:val="NoSpacing"/>
        <w:spacing w:line="360" w:lineRule="auto"/>
        <w:jc w:val="both"/>
        <w:rPr>
          <w:rFonts w:ascii="Times New Roman" w:hAnsi="Times New Roman" w:cs="Times New Roman"/>
        </w:rPr>
      </w:pPr>
      <w:r w:rsidRPr="009D233F">
        <w:rPr>
          <w:rFonts w:ascii="Times New Roman" w:hAnsi="Times New Roman" w:cs="Times New Roman"/>
        </w:rPr>
        <w:tab/>
      </w:r>
      <w:r w:rsidR="00367CE9" w:rsidRPr="00DD0E90">
        <w:rPr>
          <w:rFonts w:ascii="Times New Roman" w:hAnsi="Times New Roman" w:cs="Times New Roman"/>
        </w:rPr>
        <w:t>Na configuração padrão do Observatório, um corredor pode ser classificado descritivamente como persistente quando:</w:t>
      </w:r>
    </w:p>
    <w:p w14:paraId="2B5FE7D9" w14:textId="1C108A7E" w:rsidR="00367CE9" w:rsidRPr="00DD0E90" w:rsidRDefault="00367CE9" w:rsidP="00DD0E90">
      <w:pPr>
        <w:pStyle w:val="NoSpacing"/>
        <w:spacing w:line="360" w:lineRule="auto"/>
        <w:jc w:val="both"/>
        <w:rPr>
          <w:rFonts w:ascii="Times New Roman" w:hAnsi="Times New Roman" w:cs="Times New Roman"/>
        </w:rPr>
      </w:pPr>
      <m:oMathPara>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ij</m:t>
              </m:r>
            </m:sub>
          </m:sSub>
          <m:r>
            <w:rPr>
              <w:rFonts w:ascii="Cambria Math" w:hAnsi="Cambria Math" w:cs="Times New Roman"/>
            </w:rPr>
            <m:t>≥60</m:t>
          </m:r>
          <m:r>
            <m:rPr>
              <m:sty m:val="p"/>
            </m:rPr>
            <w:rPr>
              <w:rFonts w:ascii="Cambria Math" w:hAnsi="Cambria Math" w:cs="Times New Roman"/>
            </w:rPr>
            <m:t>%</m:t>
          </m:r>
        </m:oMath>
      </m:oMathPara>
    </w:p>
    <w:p w14:paraId="194E37D7" w14:textId="77777777" w:rsidR="00367CE9" w:rsidRPr="00DD0E90" w:rsidRDefault="00367CE9" w:rsidP="00DD0E90">
      <w:pPr>
        <w:pStyle w:val="NoSpacing"/>
        <w:spacing w:line="360" w:lineRule="auto"/>
        <w:jc w:val="both"/>
        <w:rPr>
          <w:rFonts w:ascii="Times New Roman" w:hAnsi="Times New Roman" w:cs="Times New Roman"/>
        </w:rPr>
      </w:pPr>
      <w:r w:rsidRPr="00DD0E90">
        <w:rPr>
          <w:rFonts w:ascii="Times New Roman" w:hAnsi="Times New Roman" w:cs="Times New Roman"/>
        </w:rPr>
        <w:t>e é observado em, pelo menos, dois anos.</w:t>
      </w:r>
    </w:p>
    <w:p w14:paraId="68C0FBEF" w14:textId="5B476BDF" w:rsidR="00367CE9" w:rsidRDefault="00DD0E90" w:rsidP="00DD0E90">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DD0E90">
        <w:rPr>
          <w:rFonts w:ascii="Times New Roman" w:hAnsi="Times New Roman" w:cs="Times New Roman"/>
        </w:rPr>
        <w:t>Este limiar não constitui uma constante universal estabelecida na literatura; trata-se de uma regra heurística operacional, devendo ser objeto de análise de sensibilidade através da comparação de limiares alternativos.</w:t>
      </w:r>
    </w:p>
    <w:p w14:paraId="7EDA824D" w14:textId="00F24792" w:rsidR="003B21F6" w:rsidRPr="00DD0E90" w:rsidRDefault="003B21F6" w:rsidP="00DD0E90">
      <w:pPr>
        <w:pStyle w:val="NoSpacing"/>
        <w:spacing w:line="360" w:lineRule="auto"/>
        <w:jc w:val="both"/>
        <w:rPr>
          <w:rFonts w:ascii="Times New Roman" w:hAnsi="Times New Roman" w:cs="Times New Roman"/>
        </w:rPr>
      </w:pPr>
      <w:r w:rsidRPr="00DD0E90">
        <w:rPr>
          <w:rFonts w:ascii="Times New Roman" w:hAnsi="Times New Roman" w:cs="Times New Roman"/>
        </w:rPr>
        <w:tab/>
      </w:r>
      <w:r w:rsidRPr="003B21F6">
        <w:rPr>
          <w:rFonts w:ascii="Times New Roman" w:hAnsi="Times New Roman" w:cs="Times New Roman"/>
        </w:rPr>
        <w:t xml:space="preserve">Na configuração de referência da aplicação, o limiar percentual é fixado em 60%, mantendo-se igualmente a exigência de observação do corredor em pelo menos dois anos. </w:t>
      </w:r>
      <w:r w:rsidRPr="003B21F6">
        <w:rPr>
          <w:rFonts w:ascii="Times New Roman" w:hAnsi="Times New Roman" w:cs="Times New Roman"/>
        </w:rPr>
        <w:lastRenderedPageBreak/>
        <w:t>Para avaliação da robustez desta classificação, recomenda-se a comparação com limiares alternativos, designadamente 50%, 70% e 80%. A estabilidade ou alteração substantiva dos resultados perante estas especificações deve ser considerada na interpretação dos corredores identificados como persistentes.</w:t>
      </w:r>
    </w:p>
    <w:p w14:paraId="36147BB4" w14:textId="77777777" w:rsidR="00367CE9" w:rsidRPr="00DD0E90" w:rsidRDefault="00367CE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DD0E90">
        <w:rPr>
          <w:rFonts w:ascii="Times New Roman" w:eastAsia="Times New Roman" w:hAnsi="Times New Roman" w:cs="Times New Roman"/>
          <w:b/>
          <w:bCs/>
          <w:kern w:val="0"/>
          <w:sz w:val="32"/>
          <w:szCs w:val="32"/>
          <w:lang w:eastAsia="pt-PT"/>
          <w14:ligatures w14:val="none"/>
        </w:rPr>
        <w:t>13. Análise longitudinal das escolas</w:t>
      </w:r>
    </w:p>
    <w:p w14:paraId="4ADA6E4C" w14:textId="2B2B2395"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Para cada escola é construída uma série temporal:</w:t>
      </w:r>
    </w:p>
    <w:p w14:paraId="38C64582" w14:textId="64C06B7D" w:rsidR="00367CE9" w:rsidRPr="005444A6" w:rsidRDefault="00367CE9" w:rsidP="005444A6">
      <w:pPr>
        <w:pStyle w:val="NoSpacing"/>
        <w:spacing w:line="360" w:lineRule="auto"/>
        <w:jc w:val="both"/>
        <w:rPr>
          <w:rFonts w:ascii="Times New Roman" w:hAnsi="Times New Roman" w:cs="Times New Roman"/>
        </w:rPr>
      </w:pPr>
      <m:oMathPara>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i1</m:t>
              </m:r>
            </m:sub>
          </m:sSub>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i2</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r>
            <m:rPr>
              <m:sty m:val="p"/>
            </m:rPr>
            <w:rPr>
              <w:rFonts w:ascii="Cambria Math" w:hAnsi="Cambria Math" w:cs="Times New Roman"/>
            </w:rPr>
            <m:t>.</m:t>
          </m:r>
        </m:oMath>
      </m:oMathPara>
    </w:p>
    <w:p w14:paraId="29655549" w14:textId="3100E738"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Nos cálculos de classificação longitudinal é utilizado um limiar mínimo de movimento, por defeito:</w:t>
      </w:r>
    </w:p>
    <w:p w14:paraId="2F8588D1" w14:textId="44E8875B" w:rsidR="00367CE9" w:rsidRPr="005444A6" w:rsidRDefault="00000000" w:rsidP="005444A6">
      <w:pPr>
        <w:pStyle w:val="NoSpacing"/>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it</m:t>
              </m:r>
            </m:sub>
          </m:sSub>
          <m:r>
            <w:rPr>
              <w:rFonts w:ascii="Cambria Math" w:hAnsi="Cambria Math" w:cs="Times New Roman"/>
            </w:rPr>
            <m:t>≥10,</m:t>
          </m:r>
        </m:oMath>
      </m:oMathPara>
    </w:p>
    <w:p w14:paraId="30DE95B7" w14:textId="77777777" w:rsidR="00367CE9" w:rsidRPr="005444A6" w:rsidRDefault="00367CE9" w:rsidP="005444A6">
      <w:pPr>
        <w:pStyle w:val="NoSpacing"/>
        <w:spacing w:line="360" w:lineRule="auto"/>
        <w:jc w:val="both"/>
        <w:rPr>
          <w:rFonts w:ascii="Times New Roman" w:hAnsi="Times New Roman" w:cs="Times New Roman"/>
        </w:rPr>
      </w:pPr>
      <w:r w:rsidRPr="005444A6">
        <w:rPr>
          <w:rFonts w:ascii="Times New Roman" w:hAnsi="Times New Roman" w:cs="Times New Roman"/>
        </w:rPr>
        <w:t>com o objetivo de reduzir a influência de percentagens calculadas sobre volumes residuais.</w:t>
      </w:r>
    </w:p>
    <w:p w14:paraId="66225483" w14:textId="65078775"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 xml:space="preserve">Importa notar que o limiar é aplicado à classificação longitudinal e aos rankings, não à existência dos dados da escola: a série individual apresentada ao utilizador pode incluir anos com </w:t>
      </w:r>
      <m:oMath>
        <m:r>
          <w:rPr>
            <w:rFonts w:ascii="Cambria Math" w:hAnsi="Cambria Math" w:cs="Times New Roman"/>
          </w:rPr>
          <m:t>M&lt;10</m:t>
        </m:r>
      </m:oMath>
      <w:r w:rsidR="00367CE9" w:rsidRPr="005444A6">
        <w:rPr>
          <w:rFonts w:ascii="Times New Roman" w:hAnsi="Times New Roman" w:cs="Times New Roman"/>
        </w:rPr>
        <w:t>.</w:t>
      </w:r>
      <w:r w:rsidR="003B21F6">
        <w:rPr>
          <w:rFonts w:ascii="Times New Roman" w:hAnsi="Times New Roman" w:cs="Times New Roman"/>
        </w:rPr>
        <w:t xml:space="preserve"> </w:t>
      </w:r>
      <w:r w:rsidR="003B21F6" w:rsidRPr="003B21F6">
        <w:rPr>
          <w:rFonts w:ascii="Times New Roman" w:hAnsi="Times New Roman" w:cs="Times New Roman"/>
        </w:rPr>
        <w:t xml:space="preserve">O limiar constitui um parâmetro metodológico da aplicação e pode ser alterado pelo utilizador. Na configuração de referência é frequentemente utilizado </w:t>
      </w:r>
      <m:oMath>
        <m:r>
          <w:rPr>
            <w:rFonts w:ascii="Cambria Math" w:hAnsi="Cambria Math" w:cs="Times New Roman"/>
          </w:rPr>
          <m:t>M≥10</m:t>
        </m:r>
      </m:oMath>
      <w:r w:rsidR="003B21F6" w:rsidRPr="003B21F6">
        <w:rPr>
          <w:rFonts w:ascii="Times New Roman" w:hAnsi="Times New Roman" w:cs="Times New Roman"/>
        </w:rPr>
        <w:t>, procurando reduzir a influência de proporções extremas suportadas por volumes muito reduzidos. A alteração deste parâmetro não elimina observações da base, modificando apenas o conjunto de anos e escolas elegíveis para determinadas classificações e rankings.</w:t>
      </w:r>
    </w:p>
    <w:p w14:paraId="7E4363B2" w14:textId="77777777" w:rsidR="00367CE9" w:rsidRPr="005444A6" w:rsidRDefault="00367CE9" w:rsidP="00B86D6C">
      <w:pPr>
        <w:spacing w:before="100" w:beforeAutospacing="1" w:after="100" w:afterAutospacing="1" w:line="240" w:lineRule="auto"/>
        <w:ind w:firstLine="708"/>
        <w:jc w:val="both"/>
        <w:outlineLvl w:val="1"/>
        <w:rPr>
          <w:rFonts w:ascii="Times New Roman" w:eastAsia="Times New Roman" w:hAnsi="Times New Roman" w:cs="Times New Roman"/>
          <w:b/>
          <w:bCs/>
          <w:kern w:val="0"/>
          <w:sz w:val="32"/>
          <w:szCs w:val="32"/>
          <w:lang w:eastAsia="pt-PT"/>
          <w14:ligatures w14:val="none"/>
        </w:rPr>
      </w:pPr>
      <w:r w:rsidRPr="005444A6">
        <w:rPr>
          <w:rFonts w:ascii="Times New Roman" w:eastAsia="Times New Roman" w:hAnsi="Times New Roman" w:cs="Times New Roman"/>
          <w:b/>
          <w:bCs/>
          <w:kern w:val="0"/>
          <w:sz w:val="32"/>
          <w:szCs w:val="32"/>
          <w:lang w:eastAsia="pt-PT"/>
          <w14:ligatures w14:val="none"/>
        </w:rPr>
        <w:t>13.1. Índice de Persistência da Pressão de Saída</w:t>
      </w:r>
    </w:p>
    <w:p w14:paraId="7A54AD4E" w14:textId="03626E7E"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Define-se:</w:t>
      </w:r>
    </w:p>
    <w:p w14:paraId="1D897D1A" w14:textId="4A7FD0BA" w:rsidR="00367CE9" w:rsidRPr="005444A6" w:rsidRDefault="00513847" w:rsidP="005444A6">
      <w:pPr>
        <w:pStyle w:val="NoSpacing"/>
        <w:spacing w:line="360" w:lineRule="auto"/>
        <w:jc w:val="both"/>
        <w:rPr>
          <w:rFonts w:ascii="Times New Roman" w:hAnsi="Times New Roman" w:cs="Times New Roman"/>
        </w:rPr>
      </w:pPr>
      <m:oMathPara>
        <m:oMath>
          <m:r>
            <w:rPr>
              <w:rFonts w:ascii="Cambria Math" w:hAnsi="Cambria Math" w:cs="Times New Roman"/>
            </w:rPr>
            <m:t>IPP</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t</m:t>
                  </m:r>
                </m:sub>
                <m:sup/>
                <m:e>
                  <m:r>
                    <w:rPr>
                      <w:rFonts w:ascii="Cambria Math" w:hAnsi="Cambria Math" w:cs="Times New Roman"/>
                    </w:rPr>
                    <m:t>I(P</m:t>
                  </m:r>
                </m:e>
              </m:nary>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r>
                <w:rPr>
                  <w:rFonts w:ascii="Cambria Math" w:hAnsi="Cambria Math" w:cs="Times New Roman"/>
                </w:rPr>
                <m:t>&gt;60</m:t>
              </m:r>
              <m:r>
                <m:rPr>
                  <m:sty m:val="p"/>
                </m:rPr>
                <w:rPr>
                  <w:rFonts w:ascii="Cambria Math" w:hAnsi="Cambria Math" w:cs="Times New Roman"/>
                </w:rPr>
                <m:t>%</m:t>
              </m:r>
              <m:r>
                <w:rPr>
                  <w:rFonts w:ascii="Cambria Math" w:hAnsi="Cambria Math" w:cs="Times New Roman"/>
                </w:rPr>
                <m:t>)</m:t>
              </m:r>
            </m:num>
            <m:den>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ativo</m:t>
                  </m:r>
                </m:sup>
              </m:sSubSup>
            </m:den>
          </m:f>
          <m:r>
            <w:rPr>
              <w:rFonts w:ascii="Cambria Math" w:hAnsi="Cambria Math" w:cs="Times New Roman"/>
            </w:rPr>
            <m:t>×100</m:t>
          </m:r>
        </m:oMath>
      </m:oMathPara>
    </w:p>
    <w:p w14:paraId="3E911A59" w14:textId="7C929F8D" w:rsidR="00367CE9" w:rsidRPr="005444A6" w:rsidRDefault="00367CE9" w:rsidP="005444A6">
      <w:pPr>
        <w:pStyle w:val="NoSpacing"/>
        <w:spacing w:line="360" w:lineRule="auto"/>
        <w:jc w:val="both"/>
        <w:rPr>
          <w:rFonts w:ascii="Times New Roman" w:hAnsi="Times New Roman" w:cs="Times New Roman"/>
        </w:rPr>
      </w:pPr>
      <w:r w:rsidRPr="005444A6">
        <w:rPr>
          <w:rFonts w:ascii="Times New Roman" w:hAnsi="Times New Roman" w:cs="Times New Roman"/>
        </w:rPr>
        <w:t xml:space="preserve">onde </w:t>
      </w:r>
      <m:oMath>
        <m:r>
          <w:rPr>
            <w:rFonts w:ascii="Cambria Math" w:hAnsi="Cambria Math" w:cs="Times New Roman"/>
          </w:rPr>
          <m:t>I(⋅)</m:t>
        </m:r>
      </m:oMath>
      <w:r w:rsidRPr="005444A6">
        <w:rPr>
          <w:rFonts w:ascii="Times New Roman" w:hAnsi="Times New Roman" w:cs="Times New Roman"/>
        </w:rPr>
        <w:t xml:space="preserve">é uma função indicadora e </w:t>
      </w:r>
      <m:oMath>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ativo</m:t>
            </m:r>
          </m:sup>
        </m:sSubSup>
      </m:oMath>
      <w:r w:rsidRPr="005444A6">
        <w:rPr>
          <w:rFonts w:ascii="Times New Roman" w:hAnsi="Times New Roman" w:cs="Times New Roman"/>
        </w:rPr>
        <w:t>representa o número de anos em que a escola satisfaz o critério mínimo de movimento.</w:t>
      </w:r>
    </w:p>
    <w:p w14:paraId="5FACA23F" w14:textId="7235839B"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Analogamente:</w:t>
      </w:r>
    </w:p>
    <w:p w14:paraId="7CD92386" w14:textId="224D329E" w:rsidR="00367CE9" w:rsidRPr="005444A6" w:rsidRDefault="00513847" w:rsidP="005444A6">
      <w:pPr>
        <w:pStyle w:val="NoSpacing"/>
        <w:spacing w:line="360" w:lineRule="auto"/>
        <w:jc w:val="both"/>
        <w:rPr>
          <w:rFonts w:ascii="Times New Roman" w:hAnsi="Times New Roman" w:cs="Times New Roman"/>
        </w:rPr>
      </w:pPr>
      <m:oMathPara>
        <m:oMath>
          <m:r>
            <w:rPr>
              <w:rFonts w:ascii="Cambria Math" w:hAnsi="Cambria Math" w:cs="Times New Roman"/>
            </w:rPr>
            <m:t>IPP</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t</m:t>
                  </m:r>
                </m:sub>
                <m:sup/>
                <m:e>
                  <m:r>
                    <w:rPr>
                      <w:rFonts w:ascii="Cambria Math" w:hAnsi="Cambria Math" w:cs="Times New Roman"/>
                    </w:rPr>
                    <m:t>I(P</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it</m:t>
                  </m:r>
                </m:sub>
              </m:sSub>
              <m:r>
                <w:rPr>
                  <w:rFonts w:ascii="Cambria Math" w:hAnsi="Cambria Math" w:cs="Times New Roman"/>
                </w:rPr>
                <m:t>&gt;60</m:t>
              </m:r>
              <m:r>
                <m:rPr>
                  <m:sty m:val="p"/>
                </m:rPr>
                <w:rPr>
                  <w:rFonts w:ascii="Cambria Math" w:hAnsi="Cambria Math" w:cs="Times New Roman"/>
                </w:rPr>
                <m:t>%</m:t>
              </m:r>
              <m:r>
                <w:rPr>
                  <w:rFonts w:ascii="Cambria Math" w:hAnsi="Cambria Math" w:cs="Times New Roman"/>
                </w:rPr>
                <m:t>)</m:t>
              </m:r>
            </m:num>
            <m:den>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ativo</m:t>
                  </m:r>
                </m:sup>
              </m:sSubSup>
            </m:den>
          </m:f>
          <m:r>
            <w:rPr>
              <w:rFonts w:ascii="Cambria Math" w:hAnsi="Cambria Math" w:cs="Times New Roman"/>
            </w:rPr>
            <m:t>×100</m:t>
          </m:r>
        </m:oMath>
      </m:oMathPara>
    </w:p>
    <w:p w14:paraId="3134C750" w14:textId="0A06B51E"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Estes indicadores permitem distinguir um episódio ocasional de pressão de um padrão repetido no tempo.</w:t>
      </w:r>
    </w:p>
    <w:p w14:paraId="50CF16D0" w14:textId="3E5EF147"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lastRenderedPageBreak/>
        <w:tab/>
      </w:r>
      <w:r w:rsidR="00367CE9" w:rsidRPr="005444A6">
        <w:rPr>
          <w:rFonts w:ascii="Times New Roman" w:hAnsi="Times New Roman" w:cs="Times New Roman"/>
        </w:rPr>
        <w:t>Tal como PS e PE, IPPS e IPPE constituem operacionalizações específicas do Observatório.</w:t>
      </w:r>
    </w:p>
    <w:p w14:paraId="42217E6D" w14:textId="77777777" w:rsidR="00367CE9" w:rsidRPr="005444A6" w:rsidRDefault="00367CE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5444A6">
        <w:rPr>
          <w:rFonts w:ascii="Times New Roman" w:eastAsia="Times New Roman" w:hAnsi="Times New Roman" w:cs="Times New Roman"/>
          <w:b/>
          <w:bCs/>
          <w:kern w:val="0"/>
          <w:sz w:val="32"/>
          <w:szCs w:val="32"/>
          <w:lang w:eastAsia="pt-PT"/>
          <w14:ligatures w14:val="none"/>
        </w:rPr>
        <w:t>14. Volatilidade da pressão</w:t>
      </w:r>
    </w:p>
    <w:p w14:paraId="19FBFF1B" w14:textId="5CBD5250"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 xml:space="preserve">A instabilidade temporal de </w:t>
      </w:r>
      <m:oMath>
        <m:r>
          <w:rPr>
            <w:rFonts w:ascii="Cambria Math" w:hAnsi="Cambria Math" w:cs="Times New Roman"/>
          </w:rPr>
          <m:t>PS</m:t>
        </m:r>
      </m:oMath>
      <w:r w:rsidR="00367CE9" w:rsidRPr="005444A6">
        <w:rPr>
          <w:rFonts w:ascii="Times New Roman" w:hAnsi="Times New Roman" w:cs="Times New Roman"/>
        </w:rPr>
        <w:t>é estimada pelo desvio-padrão amostral:</w:t>
      </w:r>
    </w:p>
    <w:p w14:paraId="36C785DA" w14:textId="77777777" w:rsidR="00513847" w:rsidRPr="005444A6" w:rsidRDefault="00513847" w:rsidP="005444A6">
      <w:pPr>
        <w:pStyle w:val="NoSpacing"/>
        <w:spacing w:line="360" w:lineRule="auto"/>
        <w:jc w:val="both"/>
        <w:rPr>
          <w:rFonts w:ascii="Times New Roman" w:hAnsi="Times New Roman" w:cs="Times New Roman"/>
        </w:rPr>
      </w:pPr>
      <m:oMathPara>
        <m:oMath>
          <m:r>
            <w:rPr>
              <w:rFonts w:ascii="Cambria Math" w:hAnsi="Cambria Math" w:cs="Times New Roman"/>
            </w:rPr>
            <m:t>Vo</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sub>
          </m:sSub>
          <m:r>
            <w:rPr>
              <w:rFonts w:ascii="Cambria Math" w:hAnsi="Cambria Math" w:cs="Times New Roman"/>
            </w:rPr>
            <m:t>=s(P</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r>
            <w:rPr>
              <w:rFonts w:ascii="Cambria Math" w:hAnsi="Cambria Math" w:cs="Times New Roman"/>
            </w:rPr>
            <m:t>)</m:t>
          </m:r>
        </m:oMath>
      </m:oMathPara>
    </w:p>
    <w:p w14:paraId="20E74DB6" w14:textId="57997FC5" w:rsidR="00367CE9" w:rsidRPr="005444A6" w:rsidRDefault="00367CE9" w:rsidP="005444A6">
      <w:pPr>
        <w:pStyle w:val="NoSpacing"/>
        <w:spacing w:line="360" w:lineRule="auto"/>
        <w:jc w:val="both"/>
        <w:rPr>
          <w:rFonts w:ascii="Times New Roman" w:hAnsi="Times New Roman" w:cs="Times New Roman"/>
        </w:rPr>
      </w:pPr>
      <w:r w:rsidRPr="005444A6">
        <w:rPr>
          <w:rFonts w:ascii="Times New Roman" w:hAnsi="Times New Roman" w:cs="Times New Roman"/>
        </w:rPr>
        <w:t>calculado sobre os anos ativos.</w:t>
      </w:r>
    </w:p>
    <w:p w14:paraId="649CF118" w14:textId="660BAFF6"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Um valor elevado significa que a posição relativa da escola como emissora/recetora varia substancialmente entre anos, enquanto um valor reduzido indica maior estabilidade do perfil observado.</w:t>
      </w:r>
    </w:p>
    <w:p w14:paraId="73DA0579" w14:textId="696A5598"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Esta medida permite distinguir, por exemplo, uma escola persistentemente emissora de outra cuja média é semelhante, mas resulta da alternância entre anos de forte entrada e forte saída.</w:t>
      </w:r>
    </w:p>
    <w:p w14:paraId="3C167497" w14:textId="77777777" w:rsidR="00367CE9" w:rsidRPr="005444A6" w:rsidRDefault="00367CE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5444A6">
        <w:rPr>
          <w:rFonts w:ascii="Times New Roman" w:eastAsia="Times New Roman" w:hAnsi="Times New Roman" w:cs="Times New Roman"/>
          <w:b/>
          <w:bCs/>
          <w:kern w:val="0"/>
          <w:sz w:val="32"/>
          <w:szCs w:val="32"/>
          <w:lang w:eastAsia="pt-PT"/>
          <w14:ligatures w14:val="none"/>
        </w:rPr>
        <w:t>15. Tendência temporal</w:t>
      </w:r>
    </w:p>
    <w:p w14:paraId="44839148" w14:textId="59F1C850"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Para cada escola com observações suficientes é estimada uma tendência linear simples:</w:t>
      </w:r>
    </w:p>
    <w:p w14:paraId="06695B7D" w14:textId="78E6669B" w:rsidR="00367CE9" w:rsidRPr="005444A6" w:rsidRDefault="00513847" w:rsidP="005444A6">
      <w:pPr>
        <w:pStyle w:val="NoSpacing"/>
        <w:spacing w:line="360" w:lineRule="auto"/>
        <w:jc w:val="both"/>
        <w:rPr>
          <w:rFonts w:ascii="Times New Roman" w:hAnsi="Times New Roman" w:cs="Times New Roman"/>
        </w:rPr>
      </w:pPr>
      <m:oMathPara>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m:t>
              </m:r>
            </m:sub>
          </m:sSub>
        </m:oMath>
      </m:oMathPara>
    </w:p>
    <w:p w14:paraId="12E78635" w14:textId="2B9E90E3"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O coeficiente:</w:t>
      </w:r>
    </w:p>
    <w:p w14:paraId="416BE4F8" w14:textId="7D29168C"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r>
          <w:rPr>
            <w:rFonts w:ascii="Cambria Math" w:hAnsi="Cambria Math" w:cs="Times New Roman"/>
          </w:rPr>
          <m:t xml:space="preserve"> </m:t>
        </m:r>
      </m:oMath>
      <w:r w:rsidR="00513847" w:rsidRPr="005444A6">
        <w:rPr>
          <w:rFonts w:ascii="Cambria Math" w:hAnsi="Cambria Math" w:cs="Cambria Math"/>
        </w:rPr>
        <w:t>⟶</w:t>
      </w:r>
      <w:r w:rsidR="00513847" w:rsidRPr="005444A6">
        <w:rPr>
          <w:rFonts w:ascii="Times New Roman" w:hAnsi="Times New Roman" w:cs="Times New Roman"/>
        </w:rPr>
        <w:t xml:space="preserve"> </w:t>
      </w:r>
      <w:r w:rsidR="00367CE9" w:rsidRPr="005444A6">
        <w:rPr>
          <w:rFonts w:ascii="Times New Roman" w:hAnsi="Times New Roman" w:cs="Times New Roman"/>
        </w:rPr>
        <w:t>representa a variação média estimada, em pontos percentuais por ano, da pressão de saída.</w:t>
      </w:r>
    </w:p>
    <w:p w14:paraId="0895CBFC" w14:textId="2C530101"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Valores positivos indicam tendência crescente; valores negativos, tendência decrescente.</w:t>
      </w:r>
      <w:r w:rsidR="00513847" w:rsidRPr="005444A6">
        <w:rPr>
          <w:rFonts w:ascii="Times New Roman" w:hAnsi="Times New Roman" w:cs="Times New Roman"/>
        </w:rPr>
        <w:t xml:space="preserve"> </w:t>
      </w:r>
      <w:r w:rsidR="00367CE9" w:rsidRPr="005444A6">
        <w:rPr>
          <w:rFonts w:ascii="Times New Roman" w:hAnsi="Times New Roman" w:cs="Times New Roman"/>
        </w:rPr>
        <w:t>Na aplicação pública esta variável assume essencialmente função descritiva e exploratória, não devendo ser interpretada isoladamente como teste causal.</w:t>
      </w:r>
    </w:p>
    <w:p w14:paraId="43A5148F" w14:textId="77777777" w:rsidR="00367CE9" w:rsidRPr="005444A6" w:rsidRDefault="00367CE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5444A6">
        <w:rPr>
          <w:rFonts w:ascii="Times New Roman" w:eastAsia="Times New Roman" w:hAnsi="Times New Roman" w:cs="Times New Roman"/>
          <w:b/>
          <w:bCs/>
          <w:kern w:val="0"/>
          <w:sz w:val="32"/>
          <w:szCs w:val="32"/>
          <w:lang w:eastAsia="pt-PT"/>
          <w14:ligatures w14:val="none"/>
        </w:rPr>
        <w:t>16. Tipologias longitudinais das escolas</w:t>
      </w:r>
    </w:p>
    <w:p w14:paraId="2F12887E" w14:textId="0EC7C59A"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Os indicadores anteriores são combinados para construir perfis descritivos como:</w:t>
      </w:r>
    </w:p>
    <w:p w14:paraId="750B1BBE" w14:textId="77777777" w:rsidR="00367CE9" w:rsidRPr="005444A6" w:rsidRDefault="00367CE9" w:rsidP="005444A6">
      <w:pPr>
        <w:pStyle w:val="NoSpacing"/>
        <w:spacing w:line="360" w:lineRule="auto"/>
        <w:jc w:val="center"/>
        <w:rPr>
          <w:rFonts w:ascii="Times New Roman" w:hAnsi="Times New Roman" w:cs="Times New Roman"/>
        </w:rPr>
      </w:pPr>
      <w:r w:rsidRPr="005444A6">
        <w:rPr>
          <w:rFonts w:ascii="Times New Roman" w:hAnsi="Times New Roman" w:cs="Times New Roman"/>
          <w:b/>
          <w:bCs/>
        </w:rPr>
        <w:t>emissora persistente</w:t>
      </w:r>
      <w:r w:rsidRPr="005444A6">
        <w:rPr>
          <w:rFonts w:ascii="Times New Roman" w:hAnsi="Times New Roman" w:cs="Times New Roman"/>
        </w:rPr>
        <w:t xml:space="preserve">, </w:t>
      </w:r>
      <w:r w:rsidRPr="005444A6">
        <w:rPr>
          <w:rFonts w:ascii="Times New Roman" w:hAnsi="Times New Roman" w:cs="Times New Roman"/>
          <w:b/>
          <w:bCs/>
        </w:rPr>
        <w:t>recetora persistente</w:t>
      </w:r>
      <w:r w:rsidRPr="005444A6">
        <w:rPr>
          <w:rFonts w:ascii="Times New Roman" w:hAnsi="Times New Roman" w:cs="Times New Roman"/>
        </w:rPr>
        <w:t xml:space="preserve">, </w:t>
      </w:r>
      <w:r w:rsidRPr="005444A6">
        <w:rPr>
          <w:rFonts w:ascii="Times New Roman" w:hAnsi="Times New Roman" w:cs="Times New Roman"/>
          <w:b/>
          <w:bCs/>
        </w:rPr>
        <w:t>alta rotação</w:t>
      </w:r>
      <w:r w:rsidRPr="005444A6">
        <w:rPr>
          <w:rFonts w:ascii="Times New Roman" w:hAnsi="Times New Roman" w:cs="Times New Roman"/>
        </w:rPr>
        <w:t xml:space="preserve">, </w:t>
      </w:r>
      <w:r w:rsidRPr="005444A6">
        <w:rPr>
          <w:rFonts w:ascii="Times New Roman" w:hAnsi="Times New Roman" w:cs="Times New Roman"/>
          <w:b/>
          <w:bCs/>
        </w:rPr>
        <w:t>mobilidade latente elevada</w:t>
      </w:r>
      <w:r w:rsidRPr="005444A6">
        <w:rPr>
          <w:rFonts w:ascii="Times New Roman" w:hAnsi="Times New Roman" w:cs="Times New Roman"/>
        </w:rPr>
        <w:t xml:space="preserve">, </w:t>
      </w:r>
      <w:r w:rsidRPr="005444A6">
        <w:rPr>
          <w:rFonts w:ascii="Times New Roman" w:hAnsi="Times New Roman" w:cs="Times New Roman"/>
          <w:b/>
          <w:bCs/>
        </w:rPr>
        <w:t>volátil</w:t>
      </w:r>
      <w:r w:rsidRPr="005444A6">
        <w:rPr>
          <w:rFonts w:ascii="Times New Roman" w:hAnsi="Times New Roman" w:cs="Times New Roman"/>
        </w:rPr>
        <w:t xml:space="preserve">, </w:t>
      </w:r>
      <w:r w:rsidRPr="005444A6">
        <w:rPr>
          <w:rFonts w:ascii="Times New Roman" w:hAnsi="Times New Roman" w:cs="Times New Roman"/>
          <w:b/>
          <w:bCs/>
        </w:rPr>
        <w:t>estável/baixa rotação</w:t>
      </w:r>
      <w:r w:rsidRPr="005444A6">
        <w:rPr>
          <w:rFonts w:ascii="Times New Roman" w:hAnsi="Times New Roman" w:cs="Times New Roman"/>
        </w:rPr>
        <w:t xml:space="preserve"> e </w:t>
      </w:r>
      <w:r w:rsidRPr="005444A6">
        <w:rPr>
          <w:rFonts w:ascii="Times New Roman" w:hAnsi="Times New Roman" w:cs="Times New Roman"/>
          <w:b/>
          <w:bCs/>
        </w:rPr>
        <w:t>misto</w:t>
      </w:r>
      <w:r w:rsidRPr="005444A6">
        <w:rPr>
          <w:rFonts w:ascii="Times New Roman" w:hAnsi="Times New Roman" w:cs="Times New Roman"/>
        </w:rPr>
        <w:t>.</w:t>
      </w:r>
    </w:p>
    <w:p w14:paraId="2F549040" w14:textId="6807CBB2"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As tipologias baseiam-se em regras explícitas que combinam persistência, volume, equilíbrio e volatilidade.</w:t>
      </w:r>
      <w:r w:rsidR="00513847" w:rsidRPr="005444A6">
        <w:rPr>
          <w:rFonts w:ascii="Times New Roman" w:hAnsi="Times New Roman" w:cs="Times New Roman"/>
        </w:rPr>
        <w:t xml:space="preserve"> </w:t>
      </w:r>
      <w:r w:rsidR="00367CE9" w:rsidRPr="005444A6">
        <w:rPr>
          <w:rFonts w:ascii="Times New Roman" w:hAnsi="Times New Roman" w:cs="Times New Roman"/>
        </w:rPr>
        <w:t>A classificação não é supervisionada por uma variável de “qualidade” e não deve ser entendida como ranking de desempenho escolar.</w:t>
      </w:r>
      <w:r w:rsidR="00513847" w:rsidRPr="005444A6">
        <w:rPr>
          <w:rFonts w:ascii="Times New Roman" w:hAnsi="Times New Roman" w:cs="Times New Roman"/>
        </w:rPr>
        <w:t xml:space="preserve"> </w:t>
      </w:r>
      <w:r w:rsidR="00367CE9" w:rsidRPr="005444A6">
        <w:rPr>
          <w:rFonts w:ascii="Times New Roman" w:hAnsi="Times New Roman" w:cs="Times New Roman"/>
        </w:rPr>
        <w:t xml:space="preserve">A sua </w:t>
      </w:r>
      <w:r w:rsidR="00367CE9" w:rsidRPr="005444A6">
        <w:rPr>
          <w:rFonts w:ascii="Times New Roman" w:hAnsi="Times New Roman" w:cs="Times New Roman"/>
        </w:rPr>
        <w:lastRenderedPageBreak/>
        <w:t>função é reduzir a complexidade multidimensional a perfis interpretáveis, permitindo selecionar unidades para investigação posterior.</w:t>
      </w:r>
    </w:p>
    <w:p w14:paraId="49E41861" w14:textId="77777777" w:rsidR="00367CE9" w:rsidRPr="005444A6" w:rsidRDefault="00367CE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5444A6">
        <w:rPr>
          <w:rFonts w:ascii="Times New Roman" w:eastAsia="Times New Roman" w:hAnsi="Times New Roman" w:cs="Times New Roman"/>
          <w:b/>
          <w:bCs/>
          <w:kern w:val="0"/>
          <w:sz w:val="32"/>
          <w:szCs w:val="32"/>
          <w:lang w:eastAsia="pt-PT"/>
          <w14:ligatures w14:val="none"/>
        </w:rPr>
        <w:t>17. Trajetórias longitudinais dos docentes</w:t>
      </w:r>
    </w:p>
    <w:p w14:paraId="4E8819BA" w14:textId="313A5F01"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Para garantir coerência analítica, a unidade das trajetórias é:</w:t>
      </w:r>
    </w:p>
    <w:p w14:paraId="564FE244" w14:textId="7139937C" w:rsidR="00367CE9" w:rsidRPr="005444A6" w:rsidRDefault="00513847" w:rsidP="005444A6">
      <w:pPr>
        <w:pStyle w:val="NoSpacing"/>
        <w:spacing w:line="360" w:lineRule="auto"/>
        <w:jc w:val="both"/>
        <w:rPr>
          <w:rFonts w:ascii="Times New Roman" w:hAnsi="Times New Roman" w:cs="Times New Roman"/>
        </w:rPr>
      </w:pPr>
      <m:oMathPara>
        <m:oMath>
          <m:r>
            <w:rPr>
              <w:rFonts w:ascii="Cambria Math" w:hAnsi="Cambria Math" w:cs="Times New Roman"/>
            </w:rPr>
            <m:t>Docente×Grupo</m:t>
          </m:r>
          <m:r>
            <m:rPr>
              <m:sty m:val="p"/>
            </m:rPr>
            <w:rPr>
              <w:rFonts w:ascii="Cambria Math" w:hAnsi="Cambria Math" w:cs="Times New Roman"/>
            </w:rPr>
            <m:t xml:space="preserve"> </m:t>
          </m:r>
          <m:r>
            <w:rPr>
              <w:rFonts w:ascii="Cambria Math" w:hAnsi="Cambria Math" w:cs="Times New Roman"/>
            </w:rPr>
            <m:t>de</m:t>
          </m:r>
          <m:r>
            <m:rPr>
              <m:sty m:val="p"/>
            </m:rPr>
            <w:rPr>
              <w:rFonts w:ascii="Cambria Math" w:hAnsi="Cambria Math" w:cs="Times New Roman"/>
            </w:rPr>
            <m:t xml:space="preserve"> </m:t>
          </m:r>
          <m:r>
            <w:rPr>
              <w:rFonts w:ascii="Cambria Math" w:hAnsi="Cambria Math" w:cs="Times New Roman"/>
            </w:rPr>
            <m:t>Recrutamento</m:t>
          </m:r>
        </m:oMath>
      </m:oMathPara>
    </w:p>
    <w:p w14:paraId="51A8218B" w14:textId="77777777" w:rsidR="00367CE9" w:rsidRPr="005444A6" w:rsidRDefault="00367CE9" w:rsidP="005444A6">
      <w:pPr>
        <w:pStyle w:val="NoSpacing"/>
        <w:spacing w:line="360" w:lineRule="auto"/>
        <w:jc w:val="both"/>
        <w:rPr>
          <w:rFonts w:ascii="Times New Roman" w:hAnsi="Times New Roman" w:cs="Times New Roman"/>
        </w:rPr>
      </w:pPr>
      <w:r w:rsidRPr="005444A6">
        <w:rPr>
          <w:rFonts w:ascii="Times New Roman" w:hAnsi="Times New Roman" w:cs="Times New Roman"/>
        </w:rPr>
        <w:t>e não apenas docente.</w:t>
      </w:r>
    </w:p>
    <w:p w14:paraId="3A1BBF57" w14:textId="275B7C29"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Esta opção evita atribuir simultaneamente estados contraditórios a um professor que participe em mais do que um grupo.</w:t>
      </w:r>
    </w:p>
    <w:p w14:paraId="55885162" w14:textId="7BB6FFB7"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Para cada painel são observados três estados fundamentais:</w:t>
      </w:r>
    </w:p>
    <w:p w14:paraId="1A47087D" w14:textId="77777777" w:rsidR="00513847" w:rsidRPr="005444A6" w:rsidRDefault="00367CE9" w:rsidP="005444A6">
      <w:pPr>
        <w:pStyle w:val="NoSpacing"/>
        <w:spacing w:line="360" w:lineRule="auto"/>
        <w:jc w:val="both"/>
        <w:rPr>
          <w:rFonts w:ascii="Times New Roman" w:hAnsi="Times New Roman" w:cs="Times New Roman"/>
        </w:rPr>
      </w:pPr>
      <m:oMathPara>
        <m:oMath>
          <m:r>
            <w:rPr>
              <w:rFonts w:ascii="Cambria Math" w:hAnsi="Cambria Math" w:cs="Times New Roman"/>
            </w:rPr>
            <m:t>P=</m:t>
          </m:r>
          <m:r>
            <m:rPr>
              <m:nor/>
            </m:rPr>
            <w:rPr>
              <w:rFonts w:ascii="Times New Roman" w:hAnsi="Times New Roman" w:cs="Times New Roman"/>
            </w:rPr>
            <m:t>permanece</m:t>
          </m:r>
        </m:oMath>
      </m:oMathPara>
    </w:p>
    <w:p w14:paraId="3396655D" w14:textId="77777777" w:rsidR="00513847" w:rsidRPr="005444A6" w:rsidRDefault="00367CE9" w:rsidP="005444A6">
      <w:pPr>
        <w:pStyle w:val="NoSpacing"/>
        <w:spacing w:line="360" w:lineRule="auto"/>
        <w:jc w:val="both"/>
        <w:rPr>
          <w:rFonts w:ascii="Times New Roman" w:hAnsi="Times New Roman" w:cs="Times New Roman"/>
        </w:rPr>
      </w:pPr>
      <m:oMathPara>
        <m:oMath>
          <m:r>
            <w:rPr>
              <w:rFonts w:ascii="Cambria Math" w:hAnsi="Cambria Math" w:cs="Times New Roman"/>
            </w:rPr>
            <m:t>M=</m:t>
          </m:r>
          <m:r>
            <m:rPr>
              <m:nor/>
            </m:rPr>
            <w:rPr>
              <w:rFonts w:ascii="Times New Roman" w:hAnsi="Times New Roman" w:cs="Times New Roman"/>
            </w:rPr>
            <m:t>muda de escola</m:t>
          </m:r>
        </m:oMath>
      </m:oMathPara>
    </w:p>
    <w:p w14:paraId="69A70234" w14:textId="2BBB7036" w:rsidR="00367CE9" w:rsidRPr="005444A6" w:rsidRDefault="00367CE9" w:rsidP="005444A6">
      <w:pPr>
        <w:pStyle w:val="NoSpacing"/>
        <w:spacing w:line="360" w:lineRule="auto"/>
        <w:jc w:val="both"/>
        <w:rPr>
          <w:rFonts w:ascii="Times New Roman" w:hAnsi="Times New Roman" w:cs="Times New Roman"/>
        </w:rPr>
      </w:pPr>
      <m:oMathPara>
        <m:oMath>
          <m:r>
            <w:rPr>
              <w:rFonts w:ascii="Cambria Math" w:hAnsi="Cambria Math" w:cs="Times New Roman"/>
            </w:rPr>
            <m:t>NC=</m:t>
          </m:r>
          <m:r>
            <m:rPr>
              <m:nor/>
            </m:rPr>
            <w:rPr>
              <w:rFonts w:ascii="Times New Roman" w:hAnsi="Times New Roman" w:cs="Times New Roman"/>
            </w:rPr>
            <m:t>n</m:t>
          </m:r>
          <m:acc>
            <m:accPr>
              <m:chr m:val="̃"/>
              <m:ctrlPr>
                <w:rPr>
                  <w:rFonts w:ascii="Cambria Math" w:hAnsi="Cambria Math" w:cs="Times New Roman"/>
                </w:rPr>
              </m:ctrlPr>
            </m:accPr>
            <m:e>
              <m:r>
                <m:rPr>
                  <m:nor/>
                </m:rPr>
                <w:rPr>
                  <w:rFonts w:ascii="Times New Roman" w:hAnsi="Times New Roman" w:cs="Times New Roman"/>
                </w:rPr>
                <m:t>a</m:t>
              </m:r>
            </m:e>
          </m:acc>
          <m:r>
            <m:rPr>
              <m:nor/>
            </m:rPr>
            <w:rPr>
              <w:rFonts w:ascii="Times New Roman" w:hAnsi="Times New Roman" w:cs="Times New Roman"/>
            </w:rPr>
            <m:t>o colocado</m:t>
          </m:r>
          <m:r>
            <m:rPr>
              <m:sty m:val="p"/>
            </m:rPr>
            <w:rPr>
              <w:rFonts w:ascii="Cambria Math" w:hAnsi="Cambria Math" w:cs="Times New Roman"/>
            </w:rPr>
            <m:t>.</m:t>
          </m:r>
        </m:oMath>
      </m:oMathPara>
    </w:p>
    <w:p w14:paraId="470C6A6B" w14:textId="367D12FB"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Uma trajetória pode, por exemplo, assumir a forma:</w:t>
      </w:r>
    </w:p>
    <w:p w14:paraId="425B696E" w14:textId="7E435B7F" w:rsidR="00367CE9" w:rsidRPr="005444A6" w:rsidRDefault="00367CE9" w:rsidP="005444A6">
      <w:pPr>
        <w:pStyle w:val="NoSpacing"/>
        <w:spacing w:line="360" w:lineRule="auto"/>
        <w:jc w:val="both"/>
        <w:rPr>
          <w:rFonts w:ascii="Times New Roman" w:eastAsiaTheme="minorEastAsia" w:hAnsi="Times New Roman" w:cs="Times New Roman"/>
        </w:rPr>
      </w:pPr>
      <m:oMathPara>
        <m:oMath>
          <m:r>
            <w:rPr>
              <w:rFonts w:ascii="Cambria Math" w:hAnsi="Cambria Math" w:cs="Times New Roman"/>
            </w:rPr>
            <m:t>M→M→NC→P</m:t>
          </m:r>
          <m:r>
            <m:rPr>
              <m:sty m:val="p"/>
            </m:rPr>
            <w:rPr>
              <w:rFonts w:ascii="Cambria Math" w:hAnsi="Cambria Math" w:cs="Times New Roman"/>
            </w:rPr>
            <m:t>.</m:t>
          </m:r>
        </m:oMath>
      </m:oMathPara>
    </w:p>
    <w:p w14:paraId="3E0F0CE2" w14:textId="77777777" w:rsidR="00367CE9" w:rsidRPr="005444A6" w:rsidRDefault="00367CE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5444A6">
        <w:rPr>
          <w:rFonts w:ascii="Times New Roman" w:eastAsia="Times New Roman" w:hAnsi="Times New Roman" w:cs="Times New Roman"/>
          <w:b/>
          <w:bCs/>
          <w:kern w:val="0"/>
          <w:sz w:val="32"/>
          <w:szCs w:val="32"/>
          <w:lang w:eastAsia="pt-PT"/>
          <w14:ligatures w14:val="none"/>
        </w:rPr>
        <w:t>18. Taxa de participação recorrente</w:t>
      </w:r>
    </w:p>
    <w:p w14:paraId="626E1FED" w14:textId="464F8270"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Define-se:</w:t>
      </w:r>
    </w:p>
    <w:p w14:paraId="35CBC188" w14:textId="2F69A4C3" w:rsidR="00367CE9" w:rsidRPr="005444A6" w:rsidRDefault="00513847" w:rsidP="005444A6">
      <w:pPr>
        <w:pStyle w:val="NoSpacing"/>
        <w:spacing w:line="360" w:lineRule="auto"/>
        <w:jc w:val="both"/>
        <w:rPr>
          <w:rFonts w:ascii="Times New Roman" w:hAnsi="Times New Roman" w:cs="Times New Roman"/>
        </w:rPr>
      </w:pPr>
      <m:oMathPara>
        <m:oMath>
          <m:r>
            <w:rPr>
              <w:rFonts w:ascii="Cambria Math" w:hAnsi="Cambria Math" w:cs="Times New Roman"/>
            </w:rPr>
            <m:t>TP</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N</m:t>
                  </m:r>
                  <m:r>
                    <m:rPr>
                      <m:sty m:val="p"/>
                    </m:rPr>
                    <w:rPr>
                      <w:rFonts w:ascii="Cambria Math" w:hAnsi="Cambria Math" w:cs="Times New Roman"/>
                    </w:rPr>
                    <m:t>.</m:t>
                  </m:r>
                  <m:r>
                    <m:rPr>
                      <m:nor/>
                    </m:rPr>
                    <w:rPr>
                      <w:rFonts w:ascii="Times New Roman" w:hAnsi="Times New Roman" w:cs="Times New Roman"/>
                    </w:rPr>
                    <m:t xml:space="preserve">º </m:t>
                  </m:r>
                  <m:r>
                    <w:rPr>
                      <w:rFonts w:ascii="Cambria Math" w:hAnsi="Cambria Math" w:cs="Times New Roman"/>
                    </w:rPr>
                    <m:t>de</m:t>
                  </m:r>
                  <m:r>
                    <m:rPr>
                      <m:sty m:val="p"/>
                    </m:rPr>
                    <w:rPr>
                      <w:rFonts w:ascii="Cambria Math" w:hAnsi="Cambria Math" w:cs="Times New Roman"/>
                    </w:rPr>
                    <m:t xml:space="preserve"> </m:t>
                  </m:r>
                  <m:r>
                    <w:rPr>
                      <w:rFonts w:ascii="Cambria Math" w:hAnsi="Cambria Math" w:cs="Times New Roman"/>
                    </w:rPr>
                    <m:t>anos</m:t>
                  </m:r>
                  <m:r>
                    <m:rPr>
                      <m:sty m:val="p"/>
                    </m:rPr>
                    <w:rPr>
                      <w:rFonts w:ascii="Cambria Math" w:hAnsi="Cambria Math" w:cs="Times New Roman"/>
                    </w:rPr>
                    <m:t xml:space="preserve"> </m:t>
                  </m:r>
                  <m:r>
                    <w:rPr>
                      <w:rFonts w:ascii="Cambria Math" w:hAnsi="Cambria Math" w:cs="Times New Roman"/>
                    </w:rPr>
                    <m:t>de</m:t>
                  </m:r>
                  <m:r>
                    <m:rPr>
                      <m:sty m:val="p"/>
                    </m:rPr>
                    <w:rPr>
                      <w:rFonts w:ascii="Cambria Math" w:hAnsi="Cambria Math" w:cs="Times New Roman"/>
                    </w:rPr>
                    <m:t xml:space="preserve"> </m:t>
                  </m:r>
                  <m:r>
                    <w:rPr>
                      <w:rFonts w:ascii="Cambria Math" w:hAnsi="Cambria Math" w:cs="Times New Roman"/>
                    </w:rPr>
                    <m:t>participação</m:t>
                  </m:r>
                </m:e>
                <m:sub>
                  <m:r>
                    <w:rPr>
                      <w:rFonts w:ascii="Cambria Math" w:hAnsi="Cambria Math" w:cs="Times New Roman"/>
                    </w:rPr>
                    <m:t>j</m:t>
                  </m:r>
                </m:sub>
              </m:sSub>
            </m:num>
            <m:den>
              <m:r>
                <w:rPr>
                  <w:rFonts w:ascii="Cambria Math" w:hAnsi="Cambria Math" w:cs="Times New Roman"/>
                </w:rPr>
                <m:t>N</m:t>
              </m:r>
              <m:r>
                <m:rPr>
                  <m:sty m:val="p"/>
                </m:rPr>
                <w:rPr>
                  <w:rFonts w:ascii="Cambria Math" w:hAnsi="Cambria Math" w:cs="Times New Roman"/>
                </w:rPr>
                <m:t>.</m:t>
              </m:r>
              <m:r>
                <m:rPr>
                  <m:nor/>
                </m:rPr>
                <w:rPr>
                  <w:rFonts w:ascii="Times New Roman" w:hAnsi="Times New Roman" w:cs="Times New Roman"/>
                </w:rPr>
                <m:t xml:space="preserve">º </m:t>
              </m:r>
              <m:r>
                <w:rPr>
                  <w:rFonts w:ascii="Cambria Math" w:hAnsi="Cambria Math" w:cs="Times New Roman"/>
                </w:rPr>
                <m:t>de</m:t>
              </m:r>
              <m:r>
                <m:rPr>
                  <m:sty m:val="p"/>
                </m:rPr>
                <w:rPr>
                  <w:rFonts w:ascii="Cambria Math" w:hAnsi="Cambria Math" w:cs="Times New Roman"/>
                </w:rPr>
                <m:t xml:space="preserve"> </m:t>
              </m:r>
              <m:r>
                <w:rPr>
                  <w:rFonts w:ascii="Cambria Math" w:hAnsi="Cambria Math" w:cs="Times New Roman"/>
                </w:rPr>
                <m:t>anos</m:t>
              </m:r>
              <m:r>
                <m:rPr>
                  <m:sty m:val="p"/>
                </m:rPr>
                <w:rPr>
                  <w:rFonts w:ascii="Cambria Math" w:hAnsi="Cambria Math" w:cs="Times New Roman"/>
                </w:rPr>
                <m:t xml:space="preserve"> </m:t>
              </m:r>
              <m:r>
                <w:rPr>
                  <w:rFonts w:ascii="Cambria Math" w:hAnsi="Cambria Math" w:cs="Times New Roman"/>
                </w:rPr>
                <m:t>observ</m:t>
              </m:r>
              <m:acc>
                <m:accPr>
                  <m:chr m:val="ˊ"/>
                  <m:ctrlPr>
                    <w:rPr>
                      <w:rFonts w:ascii="Cambria Math" w:hAnsi="Cambria Math" w:cs="Times New Roman"/>
                    </w:rPr>
                  </m:ctrlPr>
                </m:accPr>
                <m:e>
                  <m:r>
                    <w:rPr>
                      <w:rFonts w:ascii="Cambria Math" w:hAnsi="Cambria Math" w:cs="Times New Roman"/>
                    </w:rPr>
                    <m:t>a</m:t>
                  </m:r>
                </m:e>
              </m:acc>
              <m:r>
                <w:rPr>
                  <w:rFonts w:ascii="Cambria Math" w:hAnsi="Cambria Math" w:cs="Times New Roman"/>
                </w:rPr>
                <m:t>veis</m:t>
              </m:r>
            </m:den>
          </m:f>
        </m:oMath>
      </m:oMathPara>
    </w:p>
    <w:p w14:paraId="64CC509A" w14:textId="734BD94D"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A TPR quantifica a presença recorrente do painel docente×grupo na Mobilidade Interna.</w:t>
      </w:r>
    </w:p>
    <w:p w14:paraId="795F287D" w14:textId="77777777" w:rsidR="00367CE9" w:rsidRPr="005444A6" w:rsidRDefault="00367CE9"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5444A6">
        <w:rPr>
          <w:rFonts w:ascii="Times New Roman" w:eastAsia="Times New Roman" w:hAnsi="Times New Roman" w:cs="Times New Roman"/>
          <w:b/>
          <w:bCs/>
          <w:kern w:val="0"/>
          <w:sz w:val="32"/>
          <w:szCs w:val="32"/>
          <w:lang w:eastAsia="pt-PT"/>
          <w14:ligatures w14:val="none"/>
        </w:rPr>
        <w:t>19. Taxa de mudança efetiva</w:t>
      </w:r>
    </w:p>
    <w:p w14:paraId="52A13826" w14:textId="762E93ED"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Define-se:</w:t>
      </w:r>
    </w:p>
    <w:p w14:paraId="0DF3E3A6" w14:textId="0FA79123" w:rsidR="00367CE9" w:rsidRPr="005444A6" w:rsidRDefault="00513847" w:rsidP="005444A6">
      <w:pPr>
        <w:pStyle w:val="NoSpacing"/>
        <w:spacing w:line="360" w:lineRule="auto"/>
        <w:jc w:val="both"/>
        <w:rPr>
          <w:rFonts w:ascii="Times New Roman" w:hAnsi="Times New Roman" w:cs="Times New Roman"/>
        </w:rPr>
      </w:pPr>
      <m:oMathPara>
        <m:oMath>
          <m:r>
            <w:rPr>
              <w:rFonts w:ascii="Cambria Math" w:hAnsi="Cambria Math" w:cs="Times New Roman"/>
            </w:rPr>
            <m:t>TM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m:rPr>
                  <m:nor/>
                </m:rPr>
                <w:rPr>
                  <w:rFonts w:ascii="Times New Roman" w:hAnsi="Times New Roman" w:cs="Times New Roman"/>
                </w:rPr>
                <m:t xml:space="preserve">º </m:t>
              </m:r>
              <m:r>
                <w:rPr>
                  <w:rFonts w:ascii="Cambria Math" w:hAnsi="Cambria Math" w:cs="Times New Roman"/>
                </w:rPr>
                <m:t>de</m:t>
              </m:r>
              <m:r>
                <m:rPr>
                  <m:sty m:val="p"/>
                </m:rPr>
                <w:rPr>
                  <w:rFonts w:ascii="Cambria Math" w:hAnsi="Cambria Math" w:cs="Times New Roman"/>
                </w:rPr>
                <m:t xml:space="preserve"> </m:t>
              </m:r>
              <m:r>
                <w:rPr>
                  <w:rFonts w:ascii="Cambria Math" w:hAnsi="Cambria Math" w:cs="Times New Roman"/>
                </w:rPr>
                <m:t xml:space="preserve">estados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j</m:t>
                  </m:r>
                </m:sub>
              </m:sSub>
            </m:num>
            <m:den>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N</m:t>
                  </m:r>
                  <m:r>
                    <m:rPr>
                      <m:sty m:val="p"/>
                    </m:rPr>
                    <w:rPr>
                      <w:rFonts w:ascii="Cambria Math" w:hAnsi="Cambria Math" w:cs="Times New Roman"/>
                    </w:rPr>
                    <m:t>.</m:t>
                  </m:r>
                  <m:r>
                    <m:rPr>
                      <m:nor/>
                    </m:rPr>
                    <w:rPr>
                      <w:rFonts w:ascii="Times New Roman" w:hAnsi="Times New Roman" w:cs="Times New Roman"/>
                    </w:rPr>
                    <m:t xml:space="preserve">º </m:t>
                  </m:r>
                  <m:r>
                    <w:rPr>
                      <w:rFonts w:ascii="Cambria Math" w:hAnsi="Cambria Math" w:cs="Times New Roman"/>
                    </w:rPr>
                    <m:t>de</m:t>
                  </m:r>
                  <m:r>
                    <m:rPr>
                      <m:sty m:val="p"/>
                    </m:rPr>
                    <w:rPr>
                      <w:rFonts w:ascii="Cambria Math" w:hAnsi="Cambria Math" w:cs="Times New Roman"/>
                    </w:rPr>
                    <m:t xml:space="preserve"> </m:t>
                  </m:r>
                  <m:r>
                    <w:rPr>
                      <w:rFonts w:ascii="Cambria Math" w:hAnsi="Cambria Math" w:cs="Times New Roman"/>
                    </w:rPr>
                    <m:t>participações</m:t>
                  </m:r>
                </m:e>
                <m:sub>
                  <m:r>
                    <w:rPr>
                      <w:rFonts w:ascii="Cambria Math" w:hAnsi="Cambria Math" w:cs="Times New Roman"/>
                    </w:rPr>
                    <m:t>j</m:t>
                  </m:r>
                </m:sub>
              </m:sSub>
            </m:den>
          </m:f>
        </m:oMath>
      </m:oMathPara>
    </w:p>
    <w:p w14:paraId="6A7E1A6C" w14:textId="73EDDA70" w:rsidR="00367CE9" w:rsidRPr="005444A6" w:rsidRDefault="005444A6" w:rsidP="005444A6">
      <w:pPr>
        <w:pStyle w:val="NoSpacing"/>
        <w:spacing w:line="360" w:lineRule="auto"/>
        <w:jc w:val="both"/>
        <w:rPr>
          <w:rFonts w:ascii="Times New Roman" w:hAnsi="Times New Roman" w:cs="Times New Roman"/>
        </w:rPr>
      </w:pPr>
      <w:r w:rsidRPr="00DD0E90">
        <w:rPr>
          <w:rFonts w:ascii="Times New Roman" w:hAnsi="Times New Roman" w:cs="Times New Roman"/>
        </w:rPr>
        <w:tab/>
      </w:r>
      <w:r w:rsidR="00367CE9" w:rsidRPr="005444A6">
        <w:rPr>
          <w:rFonts w:ascii="Times New Roman" w:hAnsi="Times New Roman" w:cs="Times New Roman"/>
        </w:rPr>
        <w:t>A TME distingue participação administrativa recorrente de mudança efetiva recorrente.</w:t>
      </w:r>
      <w:r w:rsidR="00513847" w:rsidRPr="005444A6">
        <w:rPr>
          <w:rFonts w:ascii="Times New Roman" w:hAnsi="Times New Roman" w:cs="Times New Roman"/>
        </w:rPr>
        <w:t xml:space="preserve"> </w:t>
      </w:r>
      <w:r w:rsidR="00367CE9" w:rsidRPr="005444A6">
        <w:rPr>
          <w:rFonts w:ascii="Times New Roman" w:hAnsi="Times New Roman" w:cs="Times New Roman"/>
        </w:rPr>
        <w:t>Um professor pode possuir TPR elevada e TME baixa se participar repetidamente mas permanecer frequentemente na escola de origem.</w:t>
      </w:r>
    </w:p>
    <w:p w14:paraId="3F7F4706" w14:textId="77777777" w:rsidR="00513847" w:rsidRPr="005444A6" w:rsidRDefault="00513847"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5444A6">
        <w:rPr>
          <w:rFonts w:ascii="Times New Roman" w:eastAsia="Times New Roman" w:hAnsi="Times New Roman" w:cs="Times New Roman"/>
          <w:b/>
          <w:bCs/>
          <w:kern w:val="0"/>
          <w:sz w:val="32"/>
          <w:szCs w:val="32"/>
          <w:lang w:eastAsia="pt-PT"/>
          <w14:ligatures w14:val="none"/>
        </w:rPr>
        <w:t>20. Índice composto de recorrência</w:t>
      </w:r>
    </w:p>
    <w:p w14:paraId="10D49669" w14:textId="0FFD6B4B" w:rsidR="00513847" w:rsidRPr="005444A6" w:rsidRDefault="005444A6" w:rsidP="005444A6">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5444A6">
        <w:rPr>
          <w:rFonts w:ascii="Times New Roman" w:hAnsi="Times New Roman" w:cs="Times New Roman"/>
          <w:lang w:eastAsia="pt-PT"/>
        </w:rPr>
        <w:t>Para exploração das trajetórias foi construído um índice descritivo que combina:</w:t>
      </w:r>
    </w:p>
    <w:p w14:paraId="469AFCD5" w14:textId="77777777" w:rsidR="00513847" w:rsidRPr="005444A6" w:rsidRDefault="00513847" w:rsidP="005444A6">
      <w:pPr>
        <w:pStyle w:val="NoSpacing"/>
        <w:spacing w:line="360" w:lineRule="auto"/>
        <w:jc w:val="both"/>
        <w:rPr>
          <w:rFonts w:ascii="Times New Roman" w:hAnsi="Times New Roman" w:cs="Times New Roman"/>
          <w:lang w:eastAsia="pt-PT"/>
        </w:rPr>
      </w:pPr>
      <w:r w:rsidRPr="005444A6">
        <w:rPr>
          <w:rFonts w:ascii="Times New Roman" w:hAnsi="Times New Roman" w:cs="Times New Roman"/>
          <w:lang w:eastAsia="pt-PT"/>
        </w:rPr>
        <w:lastRenderedPageBreak/>
        <w:t xml:space="preserve">intensidade da participação; </w:t>
      </w:r>
    </w:p>
    <w:p w14:paraId="42E2442E" w14:textId="77777777" w:rsidR="00513847" w:rsidRPr="005444A6" w:rsidRDefault="00513847" w:rsidP="000655B9">
      <w:pPr>
        <w:pStyle w:val="NoSpacing"/>
        <w:numPr>
          <w:ilvl w:val="0"/>
          <w:numId w:val="11"/>
        </w:numPr>
        <w:spacing w:line="360" w:lineRule="auto"/>
        <w:jc w:val="both"/>
        <w:rPr>
          <w:rFonts w:ascii="Times New Roman" w:hAnsi="Times New Roman" w:cs="Times New Roman"/>
          <w:lang w:eastAsia="pt-PT"/>
        </w:rPr>
      </w:pPr>
      <w:r w:rsidRPr="005444A6">
        <w:rPr>
          <w:rFonts w:ascii="Times New Roman" w:hAnsi="Times New Roman" w:cs="Times New Roman"/>
          <w:lang w:eastAsia="pt-PT"/>
        </w:rPr>
        <w:t xml:space="preserve">frequência das mudanças; </w:t>
      </w:r>
    </w:p>
    <w:p w14:paraId="7D5E7984" w14:textId="77777777" w:rsidR="00513847" w:rsidRPr="005444A6" w:rsidRDefault="00513847" w:rsidP="000655B9">
      <w:pPr>
        <w:pStyle w:val="NoSpacing"/>
        <w:numPr>
          <w:ilvl w:val="0"/>
          <w:numId w:val="11"/>
        </w:numPr>
        <w:spacing w:line="360" w:lineRule="auto"/>
        <w:jc w:val="both"/>
        <w:rPr>
          <w:rFonts w:ascii="Times New Roman" w:hAnsi="Times New Roman" w:cs="Times New Roman"/>
          <w:lang w:eastAsia="pt-PT"/>
        </w:rPr>
      </w:pPr>
      <w:r w:rsidRPr="005444A6">
        <w:rPr>
          <w:rFonts w:ascii="Times New Roman" w:hAnsi="Times New Roman" w:cs="Times New Roman"/>
          <w:lang w:eastAsia="pt-PT"/>
        </w:rPr>
        <w:t xml:space="preserve">continuidade temporal da participação; </w:t>
      </w:r>
    </w:p>
    <w:p w14:paraId="2C68B0DE" w14:textId="77777777" w:rsidR="00513847" w:rsidRPr="005444A6" w:rsidRDefault="00513847" w:rsidP="000655B9">
      <w:pPr>
        <w:pStyle w:val="NoSpacing"/>
        <w:numPr>
          <w:ilvl w:val="0"/>
          <w:numId w:val="11"/>
        </w:numPr>
        <w:spacing w:line="360" w:lineRule="auto"/>
        <w:jc w:val="both"/>
        <w:rPr>
          <w:rFonts w:ascii="Times New Roman" w:hAnsi="Times New Roman" w:cs="Times New Roman"/>
          <w:lang w:eastAsia="pt-PT"/>
        </w:rPr>
      </w:pPr>
      <w:r w:rsidRPr="005444A6">
        <w:rPr>
          <w:rFonts w:ascii="Times New Roman" w:hAnsi="Times New Roman" w:cs="Times New Roman"/>
          <w:lang w:eastAsia="pt-PT"/>
        </w:rPr>
        <w:t xml:space="preserve">diversidade de escolas observadas. </w:t>
      </w:r>
    </w:p>
    <w:p w14:paraId="47560E7D" w14:textId="77777777" w:rsidR="00513847" w:rsidRPr="005444A6" w:rsidRDefault="00513847" w:rsidP="005444A6">
      <w:pPr>
        <w:pStyle w:val="NoSpacing"/>
        <w:spacing w:line="360" w:lineRule="auto"/>
        <w:jc w:val="both"/>
        <w:rPr>
          <w:rFonts w:ascii="Times New Roman" w:hAnsi="Times New Roman" w:cs="Times New Roman"/>
          <w:lang w:eastAsia="pt-PT"/>
        </w:rPr>
      </w:pPr>
      <w:r w:rsidRPr="005444A6">
        <w:rPr>
          <w:rFonts w:ascii="Times New Roman" w:hAnsi="Times New Roman" w:cs="Times New Roman"/>
          <w:lang w:eastAsia="pt-PT"/>
        </w:rPr>
        <w:t>Na implementação atual:</w:t>
      </w:r>
    </w:p>
    <w:p w14:paraId="0AA4F26B" w14:textId="2DC44561" w:rsidR="00513847" w:rsidRPr="005444A6" w:rsidRDefault="00513847" w:rsidP="005444A6">
      <w:pPr>
        <w:pStyle w:val="NoSpacing"/>
        <w:spacing w:line="360" w:lineRule="auto"/>
        <w:jc w:val="both"/>
        <w:rPr>
          <w:rFonts w:ascii="Times New Roman" w:hAnsi="Times New Roman" w:cs="Times New Roman"/>
          <w:lang w:eastAsia="pt-PT"/>
        </w:rPr>
      </w:pPr>
      <m:oMathPara>
        <m:oMath>
          <m:r>
            <w:rPr>
              <w:rFonts w:ascii="Cambria Math" w:hAnsi="Cambria Math" w:cs="Times New Roman"/>
              <w:lang w:eastAsia="pt-PT"/>
            </w:rPr>
            <m:t>I</m:t>
          </m:r>
          <m:sSub>
            <m:sSubPr>
              <m:ctrlPr>
                <w:rPr>
                  <w:rFonts w:ascii="Cambria Math" w:hAnsi="Cambria Math" w:cs="Times New Roman"/>
                  <w:lang w:eastAsia="pt-PT"/>
                </w:rPr>
              </m:ctrlPr>
            </m:sSubPr>
            <m:e>
              <m:r>
                <w:rPr>
                  <w:rFonts w:ascii="Cambria Math" w:hAnsi="Cambria Math" w:cs="Times New Roman"/>
                  <w:lang w:eastAsia="pt-PT"/>
                </w:rPr>
                <m:t>R</m:t>
              </m:r>
            </m:e>
            <m:sub>
              <m:r>
                <w:rPr>
                  <w:rFonts w:ascii="Cambria Math" w:hAnsi="Cambria Math" w:cs="Times New Roman"/>
                  <w:lang w:eastAsia="pt-PT"/>
                </w:rPr>
                <m:t>j</m:t>
              </m:r>
            </m:sub>
          </m:sSub>
          <m:r>
            <w:rPr>
              <w:rFonts w:ascii="Cambria Math" w:hAnsi="Cambria Math" w:cs="Times New Roman"/>
              <w:lang w:eastAsia="pt-PT"/>
            </w:rPr>
            <m:t>=100[0.35</m:t>
          </m:r>
          <m:r>
            <m:rPr>
              <m:nor/>
            </m:rPr>
            <w:rPr>
              <w:rFonts w:ascii="Times New Roman" w:hAnsi="Times New Roman" w:cs="Times New Roman"/>
              <w:lang w:eastAsia="pt-PT"/>
            </w:rPr>
            <m:t> </m:t>
          </m:r>
          <m:r>
            <w:rPr>
              <w:rFonts w:ascii="Cambria Math" w:hAnsi="Cambria Math" w:cs="Times New Roman"/>
              <w:lang w:eastAsia="pt-PT"/>
            </w:rPr>
            <m:t>TP</m:t>
          </m:r>
          <m:sSub>
            <m:sSubPr>
              <m:ctrlPr>
                <w:rPr>
                  <w:rFonts w:ascii="Cambria Math" w:hAnsi="Cambria Math" w:cs="Times New Roman"/>
                  <w:lang w:eastAsia="pt-PT"/>
                </w:rPr>
              </m:ctrlPr>
            </m:sSubPr>
            <m:e>
              <m:r>
                <w:rPr>
                  <w:rFonts w:ascii="Cambria Math" w:hAnsi="Cambria Math" w:cs="Times New Roman"/>
                  <w:lang w:eastAsia="pt-PT"/>
                </w:rPr>
                <m:t>R</m:t>
              </m:r>
            </m:e>
            <m:sub>
              <m:r>
                <w:rPr>
                  <w:rFonts w:ascii="Cambria Math" w:hAnsi="Cambria Math" w:cs="Times New Roman"/>
                  <w:lang w:eastAsia="pt-PT"/>
                </w:rPr>
                <m:t>j</m:t>
              </m:r>
            </m:sub>
          </m:sSub>
          <m:r>
            <w:rPr>
              <w:rFonts w:ascii="Cambria Math" w:hAnsi="Cambria Math" w:cs="Times New Roman"/>
              <w:lang w:eastAsia="pt-PT"/>
            </w:rPr>
            <m:t>+0.35</m:t>
          </m:r>
          <m:r>
            <m:rPr>
              <m:nor/>
            </m:rPr>
            <w:rPr>
              <w:rFonts w:ascii="Times New Roman" w:hAnsi="Times New Roman" w:cs="Times New Roman"/>
              <w:lang w:eastAsia="pt-PT"/>
            </w:rPr>
            <m:t> </m:t>
          </m:r>
          <m:r>
            <w:rPr>
              <w:rFonts w:ascii="Cambria Math" w:hAnsi="Cambria Math" w:cs="Times New Roman"/>
              <w:lang w:eastAsia="pt-PT"/>
            </w:rPr>
            <m:t>TM</m:t>
          </m:r>
          <m:sSub>
            <m:sSubPr>
              <m:ctrlPr>
                <w:rPr>
                  <w:rFonts w:ascii="Cambria Math" w:hAnsi="Cambria Math" w:cs="Times New Roman"/>
                  <w:lang w:eastAsia="pt-PT"/>
                </w:rPr>
              </m:ctrlPr>
            </m:sSubPr>
            <m:e>
              <m:r>
                <w:rPr>
                  <w:rFonts w:ascii="Cambria Math" w:hAnsi="Cambria Math" w:cs="Times New Roman"/>
                  <w:lang w:eastAsia="pt-PT"/>
                </w:rPr>
                <m:t>E</m:t>
              </m:r>
            </m:e>
            <m:sub>
              <m:r>
                <w:rPr>
                  <w:rFonts w:ascii="Cambria Math" w:hAnsi="Cambria Math" w:cs="Times New Roman"/>
                  <w:lang w:eastAsia="pt-PT"/>
                </w:rPr>
                <m:t>j</m:t>
              </m:r>
            </m:sub>
          </m:sSub>
          <m:r>
            <w:rPr>
              <w:rFonts w:ascii="Cambria Math" w:hAnsi="Cambria Math" w:cs="Times New Roman"/>
              <w:lang w:eastAsia="pt-PT"/>
            </w:rPr>
            <m:t>+0.15</m:t>
          </m:r>
          <m:r>
            <m:rPr>
              <m:nor/>
            </m:rPr>
            <w:rPr>
              <w:rFonts w:ascii="Times New Roman" w:hAnsi="Times New Roman" w:cs="Times New Roman"/>
              <w:lang w:eastAsia="pt-PT"/>
            </w:rPr>
            <m:t> </m:t>
          </m:r>
          <m:sSub>
            <m:sSubPr>
              <m:ctrlPr>
                <w:rPr>
                  <w:rFonts w:ascii="Cambria Math" w:hAnsi="Cambria Math" w:cs="Times New Roman"/>
                  <w:lang w:eastAsia="pt-PT"/>
                </w:rPr>
              </m:ctrlPr>
            </m:sSubPr>
            <m:e>
              <m:r>
                <w:rPr>
                  <w:rFonts w:ascii="Cambria Math" w:hAnsi="Cambria Math" w:cs="Times New Roman"/>
                  <w:lang w:eastAsia="pt-PT"/>
                </w:rPr>
                <m:t>C</m:t>
              </m:r>
            </m:e>
            <m:sub>
              <m:r>
                <w:rPr>
                  <w:rFonts w:ascii="Cambria Math" w:hAnsi="Cambria Math" w:cs="Times New Roman"/>
                  <w:lang w:eastAsia="pt-PT"/>
                </w:rPr>
                <m:t>j</m:t>
              </m:r>
            </m:sub>
          </m:sSub>
          <m:r>
            <w:rPr>
              <w:rFonts w:ascii="Cambria Math" w:hAnsi="Cambria Math" w:cs="Times New Roman"/>
              <w:lang w:eastAsia="pt-PT"/>
            </w:rPr>
            <m:t>+0.15</m:t>
          </m:r>
          <m:r>
            <m:rPr>
              <m:nor/>
            </m:rPr>
            <w:rPr>
              <w:rFonts w:ascii="Times New Roman" w:hAnsi="Times New Roman" w:cs="Times New Roman"/>
              <w:lang w:eastAsia="pt-PT"/>
            </w:rPr>
            <m:t> </m:t>
          </m:r>
          <m:sSub>
            <m:sSubPr>
              <m:ctrlPr>
                <w:rPr>
                  <w:rFonts w:ascii="Cambria Math" w:hAnsi="Cambria Math" w:cs="Times New Roman"/>
                  <w:lang w:eastAsia="pt-PT"/>
                </w:rPr>
              </m:ctrlPr>
            </m:sSubPr>
            <m:e>
              <m:r>
                <w:rPr>
                  <w:rFonts w:ascii="Cambria Math" w:hAnsi="Cambria Math" w:cs="Times New Roman"/>
                  <w:lang w:eastAsia="pt-PT"/>
                </w:rPr>
                <m:t>D</m:t>
              </m:r>
            </m:e>
            <m:sub>
              <m:r>
                <w:rPr>
                  <w:rFonts w:ascii="Cambria Math" w:hAnsi="Cambria Math" w:cs="Times New Roman"/>
                  <w:lang w:eastAsia="pt-PT"/>
                </w:rPr>
                <m:t>j</m:t>
              </m:r>
            </m:sub>
          </m:sSub>
          <m:r>
            <w:rPr>
              <w:rFonts w:ascii="Cambria Math" w:hAnsi="Cambria Math" w:cs="Times New Roman"/>
              <w:lang w:eastAsia="pt-PT"/>
            </w:rPr>
            <m:t>]</m:t>
          </m:r>
        </m:oMath>
      </m:oMathPara>
    </w:p>
    <w:p w14:paraId="215B3605" w14:textId="17D58C67" w:rsidR="00513847" w:rsidRPr="005444A6" w:rsidRDefault="00513847" w:rsidP="005444A6">
      <w:pPr>
        <w:pStyle w:val="NoSpacing"/>
        <w:spacing w:line="360" w:lineRule="auto"/>
        <w:jc w:val="both"/>
        <w:rPr>
          <w:rFonts w:ascii="Times New Roman" w:hAnsi="Times New Roman" w:cs="Times New Roman"/>
          <w:lang w:eastAsia="pt-PT"/>
        </w:rPr>
      </w:pPr>
      <w:r w:rsidRPr="005444A6">
        <w:rPr>
          <w:rFonts w:ascii="Times New Roman" w:hAnsi="Times New Roman" w:cs="Times New Roman"/>
          <w:lang w:eastAsia="pt-PT"/>
        </w:rPr>
        <w:t>em que:</w:t>
      </w:r>
    </w:p>
    <w:p w14:paraId="3A778FD6" w14:textId="6F26C09E" w:rsidR="00513847" w:rsidRPr="005444A6" w:rsidRDefault="00000000" w:rsidP="005444A6">
      <w:pPr>
        <w:pStyle w:val="NoSpacing"/>
        <w:spacing w:line="360" w:lineRule="auto"/>
        <w:jc w:val="both"/>
        <w:rPr>
          <w:rFonts w:ascii="Times New Roman" w:hAnsi="Times New Roman" w:cs="Times New Roman"/>
          <w:lang w:eastAsia="pt-PT"/>
        </w:rPr>
      </w:pPr>
      <m:oMathPara>
        <m:oMath>
          <m:sSub>
            <m:sSubPr>
              <m:ctrlPr>
                <w:rPr>
                  <w:rFonts w:ascii="Cambria Math" w:hAnsi="Cambria Math" w:cs="Times New Roman"/>
                  <w:lang w:eastAsia="pt-PT"/>
                </w:rPr>
              </m:ctrlPr>
            </m:sSubPr>
            <m:e>
              <m:r>
                <w:rPr>
                  <w:rFonts w:ascii="Cambria Math" w:hAnsi="Cambria Math" w:cs="Times New Roman"/>
                  <w:lang w:eastAsia="pt-PT"/>
                </w:rPr>
                <m:t>C</m:t>
              </m:r>
            </m:e>
            <m:sub>
              <m:r>
                <w:rPr>
                  <w:rFonts w:ascii="Cambria Math" w:hAnsi="Cambria Math" w:cs="Times New Roman"/>
                  <w:lang w:eastAsia="pt-PT"/>
                </w:rPr>
                <m:t>j</m:t>
              </m:r>
            </m:sub>
          </m:sSub>
          <m:r>
            <w:rPr>
              <w:rFonts w:ascii="Cambria Math" w:hAnsi="Cambria Math" w:cs="Times New Roman"/>
              <w:lang w:eastAsia="pt-PT"/>
            </w:rPr>
            <m:t>=</m:t>
          </m:r>
          <m:f>
            <m:fPr>
              <m:ctrlPr>
                <w:rPr>
                  <w:rFonts w:ascii="Cambria Math" w:hAnsi="Cambria Math" w:cs="Times New Roman"/>
                  <w:i/>
                  <w:lang w:eastAsia="pt-PT"/>
                </w:rPr>
              </m:ctrlPr>
            </m:fPr>
            <m:num>
              <m:r>
                <w:rPr>
                  <w:rFonts w:ascii="Cambria Math" w:hAnsi="Cambria Math" w:cs="Times New Roman"/>
                  <w:lang w:eastAsia="pt-PT"/>
                </w:rPr>
                <m:t>maior sequência de anos consecutivos</m:t>
              </m:r>
            </m:num>
            <m:den>
              <m:r>
                <w:rPr>
                  <w:rFonts w:ascii="Cambria Math" w:hAnsi="Cambria Math" w:cs="Times New Roman"/>
                  <w:lang w:eastAsia="pt-PT"/>
                </w:rPr>
                <m:t>T</m:t>
              </m:r>
            </m:den>
          </m:f>
        </m:oMath>
      </m:oMathPara>
    </w:p>
    <w:p w14:paraId="438A6DC0" w14:textId="77777777" w:rsidR="00513847" w:rsidRPr="005444A6" w:rsidRDefault="00513847" w:rsidP="005444A6">
      <w:pPr>
        <w:pStyle w:val="NoSpacing"/>
        <w:spacing w:line="360" w:lineRule="auto"/>
        <w:jc w:val="both"/>
        <w:rPr>
          <w:rFonts w:ascii="Times New Roman" w:hAnsi="Times New Roman" w:cs="Times New Roman"/>
          <w:lang w:eastAsia="pt-PT"/>
        </w:rPr>
      </w:pPr>
      <w:r w:rsidRPr="005444A6">
        <w:rPr>
          <w:rFonts w:ascii="Times New Roman" w:hAnsi="Times New Roman" w:cs="Times New Roman"/>
          <w:lang w:eastAsia="pt-PT"/>
        </w:rPr>
        <w:t xml:space="preserve">e </w:t>
      </w:r>
      <m:oMath>
        <m:sSub>
          <m:sSubPr>
            <m:ctrlPr>
              <w:rPr>
                <w:rFonts w:ascii="Cambria Math" w:hAnsi="Cambria Math" w:cs="Times New Roman"/>
                <w:lang w:eastAsia="pt-PT"/>
              </w:rPr>
            </m:ctrlPr>
          </m:sSubPr>
          <m:e>
            <m:r>
              <w:rPr>
                <w:rFonts w:ascii="Cambria Math" w:hAnsi="Cambria Math" w:cs="Times New Roman"/>
                <w:lang w:eastAsia="pt-PT"/>
              </w:rPr>
              <m:t>D</m:t>
            </m:r>
          </m:e>
          <m:sub>
            <m:r>
              <w:rPr>
                <w:rFonts w:ascii="Cambria Math" w:hAnsi="Cambria Math" w:cs="Times New Roman"/>
                <w:lang w:eastAsia="pt-PT"/>
              </w:rPr>
              <m:t>j</m:t>
            </m:r>
          </m:sub>
        </m:sSub>
      </m:oMath>
      <w:r w:rsidRPr="005444A6">
        <w:rPr>
          <w:rFonts w:ascii="Times New Roman" w:hAnsi="Times New Roman" w:cs="Times New Roman"/>
          <w:lang w:eastAsia="pt-PT"/>
        </w:rPr>
        <w:t>é uma transformação limitada da diversidade de escolas observadas.</w:t>
      </w:r>
    </w:p>
    <w:p w14:paraId="31F10274" w14:textId="374B7EE1" w:rsidR="00513847" w:rsidRPr="005444A6" w:rsidRDefault="000655B9" w:rsidP="005444A6">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5444A6">
        <w:rPr>
          <w:rFonts w:ascii="Times New Roman" w:hAnsi="Times New Roman" w:cs="Times New Roman"/>
          <w:lang w:eastAsia="pt-PT"/>
        </w:rPr>
        <w:t xml:space="preserve">Os pesos são assumidos como </w:t>
      </w:r>
      <w:r w:rsidR="00513847" w:rsidRPr="000655B9">
        <w:rPr>
          <w:rFonts w:ascii="Times New Roman" w:hAnsi="Times New Roman" w:cs="Times New Roman"/>
          <w:lang w:eastAsia="pt-PT"/>
        </w:rPr>
        <w:t>parâmetros metodológicos explícitos do artefacto,</w:t>
      </w:r>
      <w:r w:rsidR="00513847" w:rsidRPr="005444A6">
        <w:rPr>
          <w:rFonts w:ascii="Times New Roman" w:hAnsi="Times New Roman" w:cs="Times New Roman"/>
          <w:lang w:eastAsia="pt-PT"/>
        </w:rPr>
        <w:t xml:space="preserve"> e não como coeficientes estimados empiricamente na literatura. Por esse motivo, a aplicação não utiliza atualmente um valor absoluto arbitrário como “75 pontos” para definir elevada recorrência.</w:t>
      </w:r>
    </w:p>
    <w:p w14:paraId="05F7F0AA" w14:textId="724EA40D" w:rsidR="00513847" w:rsidRPr="005444A6" w:rsidRDefault="000655B9" w:rsidP="005444A6">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E067CC" w:rsidRPr="00E067CC">
        <w:rPr>
          <w:rFonts w:ascii="Times New Roman" w:hAnsi="Times New Roman" w:cs="Times New Roman"/>
        </w:rPr>
        <w:t>A classificação é feita relativamente à distribuição observada entre os painéis com pelo menos duas participações</w:t>
      </w:r>
      <w:r w:rsidR="00513847" w:rsidRPr="005444A6">
        <w:rPr>
          <w:rFonts w:ascii="Times New Roman" w:hAnsi="Times New Roman" w:cs="Times New Roman"/>
          <w:lang w:eastAsia="pt-PT"/>
        </w:rPr>
        <w:t>:</w:t>
      </w:r>
    </w:p>
    <w:p w14:paraId="4A02A67F" w14:textId="1DF742AA" w:rsidR="00513847" w:rsidRPr="005444A6" w:rsidRDefault="00513847" w:rsidP="005444A6">
      <w:pPr>
        <w:pStyle w:val="NoSpacing"/>
        <w:spacing w:line="360" w:lineRule="auto"/>
        <w:jc w:val="both"/>
        <w:rPr>
          <w:rFonts w:ascii="Times New Roman" w:hAnsi="Times New Roman" w:cs="Times New Roman"/>
          <w:lang w:eastAsia="pt-PT"/>
        </w:rPr>
      </w:pPr>
      <m:oMathPara>
        <m:oMath>
          <m:r>
            <w:rPr>
              <w:rFonts w:ascii="Cambria Math" w:hAnsi="Cambria Math" w:cs="Times New Roman"/>
              <w:lang w:eastAsia="pt-PT"/>
            </w:rPr>
            <m:t>I</m:t>
          </m:r>
          <m:sSub>
            <m:sSubPr>
              <m:ctrlPr>
                <w:rPr>
                  <w:rFonts w:ascii="Cambria Math" w:hAnsi="Cambria Math" w:cs="Times New Roman"/>
                  <w:lang w:eastAsia="pt-PT"/>
                </w:rPr>
              </m:ctrlPr>
            </m:sSubPr>
            <m:e>
              <m:r>
                <w:rPr>
                  <w:rFonts w:ascii="Cambria Math" w:hAnsi="Cambria Math" w:cs="Times New Roman"/>
                  <w:lang w:eastAsia="pt-PT"/>
                </w:rPr>
                <m:t>R</m:t>
              </m:r>
            </m:e>
            <m:sub>
              <m:r>
                <w:rPr>
                  <w:rFonts w:ascii="Cambria Math" w:hAnsi="Cambria Math" w:cs="Times New Roman"/>
                  <w:lang w:eastAsia="pt-PT"/>
                </w:rPr>
                <m:t>j</m:t>
              </m:r>
            </m:sub>
          </m:sSub>
          <m:r>
            <w:rPr>
              <w:rFonts w:ascii="Cambria Math" w:hAnsi="Cambria Math" w:cs="Times New Roman"/>
              <w:lang w:eastAsia="pt-PT"/>
            </w:rPr>
            <m:t>≥</m:t>
          </m:r>
          <m:sSub>
            <m:sSubPr>
              <m:ctrlPr>
                <w:rPr>
                  <w:rFonts w:ascii="Cambria Math" w:hAnsi="Cambria Math" w:cs="Times New Roman"/>
                  <w:lang w:eastAsia="pt-PT"/>
                </w:rPr>
              </m:ctrlPr>
            </m:sSubPr>
            <m:e>
              <m:r>
                <w:rPr>
                  <w:rFonts w:ascii="Cambria Math" w:hAnsi="Cambria Math" w:cs="Times New Roman"/>
                  <w:lang w:eastAsia="pt-PT"/>
                </w:rPr>
                <m:t>P</m:t>
              </m:r>
            </m:e>
            <m:sub>
              <m:r>
                <w:rPr>
                  <w:rFonts w:ascii="Cambria Math" w:hAnsi="Cambria Math" w:cs="Times New Roman"/>
                  <w:lang w:eastAsia="pt-PT"/>
                </w:rPr>
                <m:t>75</m:t>
              </m:r>
            </m:sub>
          </m:sSub>
          <m:r>
            <w:rPr>
              <w:rFonts w:ascii="Cambria Math" w:hAnsi="Cambria Math" w:cs="Times New Roman"/>
              <w:lang w:eastAsia="pt-PT"/>
            </w:rPr>
            <m:t>(IR)</m:t>
          </m:r>
        </m:oMath>
      </m:oMathPara>
    </w:p>
    <w:p w14:paraId="43E7E31B" w14:textId="76C09A16" w:rsidR="00513847" w:rsidRPr="00E067CC" w:rsidRDefault="000655B9" w:rsidP="005444A6">
      <w:pPr>
        <w:pStyle w:val="NoSpacing"/>
        <w:spacing w:line="360" w:lineRule="auto"/>
        <w:jc w:val="both"/>
        <w:rPr>
          <w:rFonts w:ascii="Times New Roman" w:hAnsi="Times New Roman" w:cs="Times New Roman"/>
        </w:rPr>
      </w:pPr>
      <w:r w:rsidRPr="00E067CC">
        <w:rPr>
          <w:rFonts w:ascii="Times New Roman" w:hAnsi="Times New Roman" w:cs="Times New Roman"/>
        </w:rPr>
        <w:tab/>
      </w:r>
      <w:r w:rsidR="00E067CC" w:rsidRPr="00E067CC">
        <w:rPr>
          <w:rFonts w:ascii="Times New Roman" w:hAnsi="Times New Roman" w:cs="Times New Roman"/>
        </w:rPr>
        <w:t>Assim, “elevada recorrência” significa pertencer aproximadamente ao quartil superior da distribuição dos painéis elegíveis com pelo menos duas participações, e não ultrapassar uma suposta fronteira universal.</w:t>
      </w:r>
    </w:p>
    <w:p w14:paraId="53CF53E3" w14:textId="77777777" w:rsidR="00513847" w:rsidRPr="000655B9" w:rsidRDefault="00513847"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0655B9">
        <w:rPr>
          <w:rFonts w:ascii="Times New Roman" w:eastAsia="Times New Roman" w:hAnsi="Times New Roman" w:cs="Times New Roman"/>
          <w:b/>
          <w:bCs/>
          <w:kern w:val="0"/>
          <w:sz w:val="32"/>
          <w:szCs w:val="32"/>
          <w:lang w:eastAsia="pt-PT"/>
          <w14:ligatures w14:val="none"/>
        </w:rPr>
        <w:t>21. Modelo de transição de Markov</w:t>
      </w:r>
    </w:p>
    <w:p w14:paraId="53D21CAE" w14:textId="78238526"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As trajetórias permitem construir uma matriz de transição empírica entre os estados:</w:t>
      </w:r>
    </w:p>
    <w:p w14:paraId="3EA32AA9" w14:textId="31955AC4" w:rsidR="00513847" w:rsidRPr="000655B9" w:rsidRDefault="00513847" w:rsidP="000655B9">
      <w:pPr>
        <w:pStyle w:val="NoSpacing"/>
        <w:spacing w:line="360" w:lineRule="auto"/>
        <w:jc w:val="both"/>
        <w:rPr>
          <w:rFonts w:ascii="Times New Roman" w:hAnsi="Times New Roman" w:cs="Times New Roman"/>
          <w:lang w:eastAsia="pt-PT"/>
        </w:rPr>
      </w:pPr>
      <m:oMathPara>
        <m:oMath>
          <m:r>
            <m:rPr>
              <m:scr m:val="script"/>
            </m:rPr>
            <w:rPr>
              <w:rFonts w:ascii="Cambria Math" w:hAnsi="Cambria Math" w:cs="Times New Roman"/>
              <w:lang w:eastAsia="pt-PT"/>
            </w:rPr>
            <m:t>S={</m:t>
          </m:r>
          <m:r>
            <w:rPr>
              <w:rFonts w:ascii="Cambria Math" w:hAnsi="Cambria Math" w:cs="Times New Roman"/>
              <w:lang w:eastAsia="pt-PT"/>
            </w:rPr>
            <m:t>P,M,NC}</m:t>
          </m:r>
          <m:r>
            <m:rPr>
              <m:sty m:val="p"/>
            </m:rPr>
            <w:rPr>
              <w:rFonts w:ascii="Cambria Math" w:hAnsi="Cambria Math" w:cs="Times New Roman"/>
              <w:lang w:eastAsia="pt-PT"/>
            </w:rPr>
            <m:t>.</m:t>
          </m:r>
        </m:oMath>
      </m:oMathPara>
    </w:p>
    <w:p w14:paraId="14A85B02" w14:textId="05B80CE7"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Para dois anos consecutivos:</w:t>
      </w:r>
    </w:p>
    <w:p w14:paraId="19B80564" w14:textId="1421BA1E" w:rsidR="00513847" w:rsidRPr="000655B9" w:rsidRDefault="00000000" w:rsidP="000655B9">
      <w:pPr>
        <w:pStyle w:val="NoSpacing"/>
        <w:spacing w:line="360" w:lineRule="auto"/>
        <w:jc w:val="both"/>
        <w:rPr>
          <w:rFonts w:ascii="Times New Roman" w:hAnsi="Times New Roman" w:cs="Times New Roman"/>
          <w:lang w:eastAsia="pt-PT"/>
        </w:rPr>
      </w:pPr>
      <m:oMathPara>
        <m:oMath>
          <m:sSub>
            <m:sSubPr>
              <m:ctrlPr>
                <w:rPr>
                  <w:rFonts w:ascii="Cambria Math" w:hAnsi="Cambria Math" w:cs="Times New Roman"/>
                  <w:lang w:eastAsia="pt-PT"/>
                </w:rPr>
              </m:ctrlPr>
            </m:sSubPr>
            <m:e>
              <m:r>
                <w:rPr>
                  <w:rFonts w:ascii="Cambria Math" w:hAnsi="Cambria Math" w:cs="Times New Roman"/>
                  <w:lang w:eastAsia="pt-PT"/>
                </w:rPr>
                <m:t>p</m:t>
              </m:r>
            </m:e>
            <m:sub>
              <m:r>
                <w:rPr>
                  <w:rFonts w:ascii="Cambria Math" w:hAnsi="Cambria Math" w:cs="Times New Roman"/>
                  <w:lang w:eastAsia="pt-PT"/>
                </w:rPr>
                <m:t>ab</m:t>
              </m:r>
            </m:sub>
          </m:sSub>
          <m:r>
            <w:rPr>
              <w:rFonts w:ascii="Cambria Math" w:hAnsi="Cambria Math" w:cs="Times New Roman"/>
              <w:lang w:eastAsia="pt-PT"/>
            </w:rPr>
            <m:t>=P(</m:t>
          </m:r>
          <m:sSub>
            <m:sSubPr>
              <m:ctrlPr>
                <w:rPr>
                  <w:rFonts w:ascii="Cambria Math" w:hAnsi="Cambria Math" w:cs="Times New Roman"/>
                  <w:lang w:eastAsia="pt-PT"/>
                </w:rPr>
              </m:ctrlPr>
            </m:sSubPr>
            <m:e>
              <m:r>
                <w:rPr>
                  <w:rFonts w:ascii="Cambria Math" w:hAnsi="Cambria Math" w:cs="Times New Roman"/>
                  <w:lang w:eastAsia="pt-PT"/>
                </w:rPr>
                <m:t>X</m:t>
              </m:r>
            </m:e>
            <m:sub>
              <m:r>
                <w:rPr>
                  <w:rFonts w:ascii="Cambria Math" w:hAnsi="Cambria Math" w:cs="Times New Roman"/>
                  <w:lang w:eastAsia="pt-PT"/>
                </w:rPr>
                <m:t>t+1</m:t>
              </m:r>
            </m:sub>
          </m:sSub>
          <m:r>
            <w:rPr>
              <w:rFonts w:ascii="Cambria Math" w:hAnsi="Cambria Math" w:cs="Times New Roman"/>
              <w:lang w:eastAsia="pt-PT"/>
            </w:rPr>
            <m:t>=b∣</m:t>
          </m:r>
          <m:sSub>
            <m:sSubPr>
              <m:ctrlPr>
                <w:rPr>
                  <w:rFonts w:ascii="Cambria Math" w:hAnsi="Cambria Math" w:cs="Times New Roman"/>
                  <w:lang w:eastAsia="pt-PT"/>
                </w:rPr>
              </m:ctrlPr>
            </m:sSubPr>
            <m:e>
              <m:r>
                <w:rPr>
                  <w:rFonts w:ascii="Cambria Math" w:hAnsi="Cambria Math" w:cs="Times New Roman"/>
                  <w:lang w:eastAsia="pt-PT"/>
                </w:rPr>
                <m:t>X</m:t>
              </m:r>
            </m:e>
            <m:sub>
              <m:r>
                <w:rPr>
                  <w:rFonts w:ascii="Cambria Math" w:hAnsi="Cambria Math" w:cs="Times New Roman"/>
                  <w:lang w:eastAsia="pt-PT"/>
                </w:rPr>
                <m:t>t</m:t>
              </m:r>
            </m:sub>
          </m:sSub>
          <m:r>
            <w:rPr>
              <w:rFonts w:ascii="Cambria Math" w:hAnsi="Cambria Math" w:cs="Times New Roman"/>
              <w:lang w:eastAsia="pt-PT"/>
            </w:rPr>
            <m:t>=a)=</m:t>
          </m:r>
          <m:f>
            <m:fPr>
              <m:ctrlPr>
                <w:rPr>
                  <w:rFonts w:ascii="Cambria Math" w:hAnsi="Cambria Math" w:cs="Times New Roman"/>
                  <w:lang w:eastAsia="pt-PT"/>
                </w:rPr>
              </m:ctrlPr>
            </m:fPr>
            <m:num>
              <m:sSub>
                <m:sSubPr>
                  <m:ctrlPr>
                    <w:rPr>
                      <w:rFonts w:ascii="Cambria Math" w:hAnsi="Cambria Math" w:cs="Times New Roman"/>
                      <w:lang w:eastAsia="pt-PT"/>
                    </w:rPr>
                  </m:ctrlPr>
                </m:sSubPr>
                <m:e>
                  <m:r>
                    <w:rPr>
                      <w:rFonts w:ascii="Cambria Math" w:hAnsi="Cambria Math" w:cs="Times New Roman"/>
                      <w:lang w:eastAsia="pt-PT"/>
                    </w:rPr>
                    <m:t>N</m:t>
                  </m:r>
                </m:e>
                <m:sub>
                  <m:r>
                    <w:rPr>
                      <w:rFonts w:ascii="Cambria Math" w:hAnsi="Cambria Math" w:cs="Times New Roman"/>
                      <w:lang w:eastAsia="pt-PT"/>
                    </w:rPr>
                    <m:t>ab</m:t>
                  </m:r>
                </m:sub>
              </m:sSub>
            </m:num>
            <m:den>
              <m:nary>
                <m:naryPr>
                  <m:chr m:val="∑"/>
                  <m:limLoc m:val="undOvr"/>
                  <m:grow m:val="1"/>
                  <m:supHide m:val="1"/>
                  <m:ctrlPr>
                    <w:rPr>
                      <w:rFonts w:ascii="Cambria Math" w:hAnsi="Cambria Math" w:cs="Times New Roman"/>
                      <w:lang w:eastAsia="pt-PT"/>
                    </w:rPr>
                  </m:ctrlPr>
                </m:naryPr>
                <m:sub>
                  <m:r>
                    <w:rPr>
                      <w:rFonts w:ascii="Cambria Math" w:hAnsi="Cambria Math" w:cs="Times New Roman"/>
                      <w:lang w:eastAsia="pt-PT"/>
                    </w:rPr>
                    <m:t>k</m:t>
                  </m:r>
                </m:sub>
                <m:sup/>
                <m:e>
                  <m:sSub>
                    <m:sSubPr>
                      <m:ctrlPr>
                        <w:rPr>
                          <w:rFonts w:ascii="Cambria Math" w:hAnsi="Cambria Math" w:cs="Times New Roman"/>
                          <w:lang w:eastAsia="pt-PT"/>
                        </w:rPr>
                      </m:ctrlPr>
                    </m:sSubPr>
                    <m:e>
                      <m:r>
                        <w:rPr>
                          <w:rFonts w:ascii="Cambria Math" w:hAnsi="Cambria Math" w:cs="Times New Roman"/>
                          <w:lang w:eastAsia="pt-PT"/>
                        </w:rPr>
                        <m:t>N</m:t>
                      </m:r>
                    </m:e>
                    <m:sub>
                      <m:r>
                        <w:rPr>
                          <w:rFonts w:ascii="Cambria Math" w:hAnsi="Cambria Math" w:cs="Times New Roman"/>
                          <w:lang w:eastAsia="pt-PT"/>
                        </w:rPr>
                        <m:t>ak</m:t>
                      </m:r>
                    </m:sub>
                  </m:sSub>
                </m:e>
              </m:nary>
            </m:den>
          </m:f>
        </m:oMath>
      </m:oMathPara>
    </w:p>
    <w:p w14:paraId="43B38081" w14:textId="6CEDCAF7" w:rsidR="00513847" w:rsidRPr="000655B9" w:rsidRDefault="00513847" w:rsidP="000655B9">
      <w:pPr>
        <w:pStyle w:val="NoSpacing"/>
        <w:spacing w:line="360" w:lineRule="auto"/>
        <w:jc w:val="both"/>
        <w:rPr>
          <w:rFonts w:ascii="Times New Roman" w:hAnsi="Times New Roman" w:cs="Times New Roman"/>
          <w:lang w:eastAsia="pt-PT"/>
        </w:rPr>
      </w:pPr>
      <w:r w:rsidRPr="000655B9">
        <w:rPr>
          <w:rFonts w:ascii="Times New Roman" w:hAnsi="Times New Roman" w:cs="Times New Roman"/>
          <w:lang w:eastAsia="pt-PT"/>
        </w:rPr>
        <w:t xml:space="preserve">onde </w:t>
      </w:r>
      <m:oMath>
        <m:sSub>
          <m:sSubPr>
            <m:ctrlPr>
              <w:rPr>
                <w:rFonts w:ascii="Cambria Math" w:hAnsi="Cambria Math" w:cs="Times New Roman"/>
                <w:lang w:eastAsia="pt-PT"/>
              </w:rPr>
            </m:ctrlPr>
          </m:sSubPr>
          <m:e>
            <m:r>
              <w:rPr>
                <w:rFonts w:ascii="Cambria Math" w:hAnsi="Cambria Math" w:cs="Times New Roman"/>
                <w:lang w:eastAsia="pt-PT"/>
              </w:rPr>
              <m:t>N</m:t>
            </m:r>
          </m:e>
          <m:sub>
            <m:r>
              <w:rPr>
                <w:rFonts w:ascii="Cambria Math" w:hAnsi="Cambria Math" w:cs="Times New Roman"/>
                <w:lang w:eastAsia="pt-PT"/>
              </w:rPr>
              <m:t>ab</m:t>
            </m:r>
          </m:sub>
        </m:sSub>
      </m:oMath>
      <w:r w:rsidRPr="000655B9">
        <w:rPr>
          <w:rFonts w:ascii="Times New Roman" w:hAnsi="Times New Roman" w:cs="Times New Roman"/>
          <w:lang w:eastAsia="pt-PT"/>
        </w:rPr>
        <w:t xml:space="preserve">é o número de transições observadas do estado </w:t>
      </w:r>
      <m:oMath>
        <m:r>
          <w:rPr>
            <w:rFonts w:ascii="Cambria Math" w:hAnsi="Cambria Math" w:cs="Times New Roman"/>
            <w:lang w:eastAsia="pt-PT"/>
          </w:rPr>
          <m:t>a</m:t>
        </m:r>
      </m:oMath>
      <w:r w:rsidRPr="000655B9">
        <w:rPr>
          <w:rFonts w:ascii="Times New Roman" w:hAnsi="Times New Roman" w:cs="Times New Roman"/>
          <w:lang w:eastAsia="pt-PT"/>
        </w:rPr>
        <w:t xml:space="preserve"> para </w:t>
      </w:r>
      <m:oMath>
        <m:r>
          <w:rPr>
            <w:rFonts w:ascii="Cambria Math" w:hAnsi="Cambria Math" w:cs="Times New Roman"/>
            <w:lang w:eastAsia="pt-PT"/>
          </w:rPr>
          <m:t>b</m:t>
        </m:r>
      </m:oMath>
      <w:r w:rsidRPr="000655B9">
        <w:rPr>
          <w:rFonts w:ascii="Times New Roman" w:hAnsi="Times New Roman" w:cs="Times New Roman"/>
          <w:lang w:eastAsia="pt-PT"/>
        </w:rPr>
        <w:t>.</w:t>
      </w:r>
    </w:p>
    <w:p w14:paraId="40C740F6" w14:textId="00D3A468"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A matriz resultante é:</w:t>
      </w:r>
    </w:p>
    <w:p w14:paraId="6A751D0D" w14:textId="37140465" w:rsidR="00513847" w:rsidRPr="000655B9" w:rsidRDefault="00513847" w:rsidP="000655B9">
      <w:pPr>
        <w:pStyle w:val="NoSpacing"/>
        <w:spacing w:line="360" w:lineRule="auto"/>
        <w:jc w:val="both"/>
        <w:rPr>
          <w:rFonts w:ascii="Times New Roman" w:hAnsi="Times New Roman" w:cs="Times New Roman"/>
          <w:lang w:eastAsia="pt-PT"/>
        </w:rPr>
      </w:pPr>
      <m:oMathPara>
        <m:oMath>
          <m:r>
            <m:rPr>
              <m:sty m:val="b"/>
            </m:rPr>
            <w:rPr>
              <w:rFonts w:ascii="Cambria Math" w:hAnsi="Cambria Math" w:cs="Times New Roman"/>
              <w:lang w:eastAsia="pt-PT"/>
            </w:rPr>
            <m:t>P</m:t>
          </m:r>
          <m:r>
            <w:rPr>
              <w:rFonts w:ascii="Cambria Math" w:hAnsi="Cambria Math" w:cs="Times New Roman"/>
              <w:lang w:eastAsia="pt-PT"/>
            </w:rPr>
            <m:t>=</m:t>
          </m:r>
          <m:d>
            <m:dPr>
              <m:ctrlPr>
                <w:rPr>
                  <w:rFonts w:ascii="Cambria Math" w:hAnsi="Cambria Math" w:cs="Times New Roman"/>
                  <w:lang w:eastAsia="pt-PT"/>
                </w:rPr>
              </m:ctrlPr>
            </m:dPr>
            <m:e>
              <m:m>
                <m:mPr>
                  <m:plcHide m:val="1"/>
                  <m:mcs>
                    <m:mc>
                      <m:mcPr>
                        <m:count m:val="3"/>
                        <m:mcJc m:val="center"/>
                      </m:mcPr>
                    </m:mc>
                  </m:mcs>
                  <m:ctrlPr>
                    <w:rPr>
                      <w:rFonts w:ascii="Cambria Math" w:hAnsi="Cambria Math" w:cs="Times New Roman"/>
                      <w:lang w:eastAsia="pt-PT"/>
                    </w:rPr>
                  </m:ctrlPr>
                </m:mPr>
                <m:mr>
                  <m:e>
                    <m:sSub>
                      <m:sSubPr>
                        <m:ctrlPr>
                          <w:rPr>
                            <w:rFonts w:ascii="Cambria Math" w:hAnsi="Cambria Math" w:cs="Times New Roman"/>
                            <w:lang w:eastAsia="pt-PT"/>
                          </w:rPr>
                        </m:ctrlPr>
                      </m:sSubPr>
                      <m:e>
                        <m:r>
                          <w:rPr>
                            <w:rFonts w:ascii="Cambria Math" w:hAnsi="Cambria Math" w:cs="Times New Roman"/>
                            <w:lang w:eastAsia="pt-PT"/>
                          </w:rPr>
                          <m:t>p</m:t>
                        </m:r>
                      </m:e>
                      <m:sub>
                        <m:r>
                          <w:rPr>
                            <w:rFonts w:ascii="Cambria Math" w:hAnsi="Cambria Math" w:cs="Times New Roman"/>
                            <w:lang w:eastAsia="pt-PT"/>
                          </w:rPr>
                          <m:t>PP</m:t>
                        </m:r>
                      </m:sub>
                    </m:sSub>
                  </m:e>
                  <m:e>
                    <m:sSub>
                      <m:sSubPr>
                        <m:ctrlPr>
                          <w:rPr>
                            <w:rFonts w:ascii="Cambria Math" w:hAnsi="Cambria Math" w:cs="Times New Roman"/>
                            <w:lang w:eastAsia="pt-PT"/>
                          </w:rPr>
                        </m:ctrlPr>
                      </m:sSubPr>
                      <m:e>
                        <m:r>
                          <w:rPr>
                            <w:rFonts w:ascii="Cambria Math" w:hAnsi="Cambria Math" w:cs="Times New Roman"/>
                            <w:lang w:eastAsia="pt-PT"/>
                          </w:rPr>
                          <m:t>p</m:t>
                        </m:r>
                      </m:e>
                      <m:sub>
                        <m:r>
                          <w:rPr>
                            <w:rFonts w:ascii="Cambria Math" w:hAnsi="Cambria Math" w:cs="Times New Roman"/>
                            <w:lang w:eastAsia="pt-PT"/>
                          </w:rPr>
                          <m:t>PM</m:t>
                        </m:r>
                      </m:sub>
                    </m:sSub>
                  </m:e>
                  <m:e>
                    <m:sSub>
                      <m:sSubPr>
                        <m:ctrlPr>
                          <w:rPr>
                            <w:rFonts w:ascii="Cambria Math" w:hAnsi="Cambria Math" w:cs="Times New Roman"/>
                            <w:lang w:eastAsia="pt-PT"/>
                          </w:rPr>
                        </m:ctrlPr>
                      </m:sSubPr>
                      <m:e>
                        <m:r>
                          <w:rPr>
                            <w:rFonts w:ascii="Cambria Math" w:hAnsi="Cambria Math" w:cs="Times New Roman"/>
                            <w:lang w:eastAsia="pt-PT"/>
                          </w:rPr>
                          <m:t>p</m:t>
                        </m:r>
                      </m:e>
                      <m:sub>
                        <m:r>
                          <w:rPr>
                            <w:rFonts w:ascii="Cambria Math" w:hAnsi="Cambria Math" w:cs="Times New Roman"/>
                            <w:lang w:eastAsia="pt-PT"/>
                          </w:rPr>
                          <m:t>PNC</m:t>
                        </m:r>
                      </m:sub>
                    </m:sSub>
                  </m:e>
                </m:mr>
                <m:mr>
                  <m:e>
                    <m:sSub>
                      <m:sSubPr>
                        <m:ctrlPr>
                          <w:rPr>
                            <w:rFonts w:ascii="Cambria Math" w:hAnsi="Cambria Math" w:cs="Times New Roman"/>
                            <w:lang w:eastAsia="pt-PT"/>
                          </w:rPr>
                        </m:ctrlPr>
                      </m:sSubPr>
                      <m:e>
                        <m:r>
                          <w:rPr>
                            <w:rFonts w:ascii="Cambria Math" w:hAnsi="Cambria Math" w:cs="Times New Roman"/>
                            <w:lang w:eastAsia="pt-PT"/>
                          </w:rPr>
                          <m:t>p</m:t>
                        </m:r>
                      </m:e>
                      <m:sub>
                        <m:r>
                          <w:rPr>
                            <w:rFonts w:ascii="Cambria Math" w:hAnsi="Cambria Math" w:cs="Times New Roman"/>
                            <w:lang w:eastAsia="pt-PT"/>
                          </w:rPr>
                          <m:t>MP</m:t>
                        </m:r>
                      </m:sub>
                    </m:sSub>
                  </m:e>
                  <m:e>
                    <m:sSub>
                      <m:sSubPr>
                        <m:ctrlPr>
                          <w:rPr>
                            <w:rFonts w:ascii="Cambria Math" w:hAnsi="Cambria Math" w:cs="Times New Roman"/>
                            <w:lang w:eastAsia="pt-PT"/>
                          </w:rPr>
                        </m:ctrlPr>
                      </m:sSubPr>
                      <m:e>
                        <m:r>
                          <w:rPr>
                            <w:rFonts w:ascii="Cambria Math" w:hAnsi="Cambria Math" w:cs="Times New Roman"/>
                            <w:lang w:eastAsia="pt-PT"/>
                          </w:rPr>
                          <m:t>p</m:t>
                        </m:r>
                      </m:e>
                      <m:sub>
                        <m:r>
                          <w:rPr>
                            <w:rFonts w:ascii="Cambria Math" w:hAnsi="Cambria Math" w:cs="Times New Roman"/>
                            <w:lang w:eastAsia="pt-PT"/>
                          </w:rPr>
                          <m:t>MM</m:t>
                        </m:r>
                      </m:sub>
                    </m:sSub>
                  </m:e>
                  <m:e>
                    <m:sSub>
                      <m:sSubPr>
                        <m:ctrlPr>
                          <w:rPr>
                            <w:rFonts w:ascii="Cambria Math" w:hAnsi="Cambria Math" w:cs="Times New Roman"/>
                            <w:lang w:eastAsia="pt-PT"/>
                          </w:rPr>
                        </m:ctrlPr>
                      </m:sSubPr>
                      <m:e>
                        <m:r>
                          <w:rPr>
                            <w:rFonts w:ascii="Cambria Math" w:hAnsi="Cambria Math" w:cs="Times New Roman"/>
                            <w:lang w:eastAsia="pt-PT"/>
                          </w:rPr>
                          <m:t>p</m:t>
                        </m:r>
                      </m:e>
                      <m:sub>
                        <m:r>
                          <w:rPr>
                            <w:rFonts w:ascii="Cambria Math" w:hAnsi="Cambria Math" w:cs="Times New Roman"/>
                            <w:lang w:eastAsia="pt-PT"/>
                          </w:rPr>
                          <m:t>MNC</m:t>
                        </m:r>
                      </m:sub>
                    </m:sSub>
                  </m:e>
                </m:mr>
                <m:mr>
                  <m:e>
                    <m:sSub>
                      <m:sSubPr>
                        <m:ctrlPr>
                          <w:rPr>
                            <w:rFonts w:ascii="Cambria Math" w:hAnsi="Cambria Math" w:cs="Times New Roman"/>
                            <w:lang w:eastAsia="pt-PT"/>
                          </w:rPr>
                        </m:ctrlPr>
                      </m:sSubPr>
                      <m:e>
                        <m:r>
                          <w:rPr>
                            <w:rFonts w:ascii="Cambria Math" w:hAnsi="Cambria Math" w:cs="Times New Roman"/>
                            <w:lang w:eastAsia="pt-PT"/>
                          </w:rPr>
                          <m:t>p</m:t>
                        </m:r>
                      </m:e>
                      <m:sub>
                        <m:r>
                          <w:rPr>
                            <w:rFonts w:ascii="Cambria Math" w:hAnsi="Cambria Math" w:cs="Times New Roman"/>
                            <w:lang w:eastAsia="pt-PT"/>
                          </w:rPr>
                          <m:t>NCP</m:t>
                        </m:r>
                      </m:sub>
                    </m:sSub>
                  </m:e>
                  <m:e>
                    <m:sSub>
                      <m:sSubPr>
                        <m:ctrlPr>
                          <w:rPr>
                            <w:rFonts w:ascii="Cambria Math" w:hAnsi="Cambria Math" w:cs="Times New Roman"/>
                            <w:lang w:eastAsia="pt-PT"/>
                          </w:rPr>
                        </m:ctrlPr>
                      </m:sSubPr>
                      <m:e>
                        <m:r>
                          <w:rPr>
                            <w:rFonts w:ascii="Cambria Math" w:hAnsi="Cambria Math" w:cs="Times New Roman"/>
                            <w:lang w:eastAsia="pt-PT"/>
                          </w:rPr>
                          <m:t>p</m:t>
                        </m:r>
                      </m:e>
                      <m:sub>
                        <m:r>
                          <w:rPr>
                            <w:rFonts w:ascii="Cambria Math" w:hAnsi="Cambria Math" w:cs="Times New Roman"/>
                            <w:lang w:eastAsia="pt-PT"/>
                          </w:rPr>
                          <m:t>NCM</m:t>
                        </m:r>
                      </m:sub>
                    </m:sSub>
                  </m:e>
                  <m:e>
                    <m:sSub>
                      <m:sSubPr>
                        <m:ctrlPr>
                          <w:rPr>
                            <w:rFonts w:ascii="Cambria Math" w:hAnsi="Cambria Math" w:cs="Times New Roman"/>
                            <w:lang w:eastAsia="pt-PT"/>
                          </w:rPr>
                        </m:ctrlPr>
                      </m:sSubPr>
                      <m:e>
                        <m:r>
                          <w:rPr>
                            <w:rFonts w:ascii="Cambria Math" w:hAnsi="Cambria Math" w:cs="Times New Roman"/>
                            <w:lang w:eastAsia="pt-PT"/>
                          </w:rPr>
                          <m:t>p</m:t>
                        </m:r>
                      </m:e>
                      <m:sub>
                        <m:r>
                          <w:rPr>
                            <w:rFonts w:ascii="Cambria Math" w:hAnsi="Cambria Math" w:cs="Times New Roman"/>
                            <w:lang w:eastAsia="pt-PT"/>
                          </w:rPr>
                          <m:t>NCNC</m:t>
                        </m:r>
                      </m:sub>
                    </m:sSub>
                  </m:e>
                </m:mr>
              </m:m>
            </m:e>
          </m:d>
          <m:r>
            <m:rPr>
              <m:sty m:val="p"/>
            </m:rPr>
            <w:rPr>
              <w:rFonts w:ascii="Cambria Math" w:hAnsi="Cambria Math" w:cs="Times New Roman"/>
              <w:lang w:eastAsia="pt-PT"/>
            </w:rPr>
            <m:t>.</m:t>
          </m:r>
        </m:oMath>
      </m:oMathPara>
    </w:p>
    <w:p w14:paraId="29E86ED0" w14:textId="5256DCE2"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lastRenderedPageBreak/>
        <w:tab/>
      </w:r>
      <w:r w:rsidR="00513847" w:rsidRPr="000655B9">
        <w:rPr>
          <w:rFonts w:ascii="Times New Roman" w:hAnsi="Times New Roman" w:cs="Times New Roman"/>
          <w:lang w:eastAsia="pt-PT"/>
        </w:rPr>
        <w:t xml:space="preserve">A utilização de modelos de Markov para estudar transições entre estados laborais possui uma tradição longa na análise da mobilidade profissional. Modelos deste tipo permitem estimar probabilidades de permanência e passagem entre estados observados longitudinalmente. </w:t>
      </w:r>
    </w:p>
    <w:p w14:paraId="54EFFB67" w14:textId="69649F4B"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 xml:space="preserve">Em educação, McFarland (2006) combinou explicitamente modelos de Markov e análise de redes para estudar fluxos e trajetórias dentro de sistemas escolares, constituindo uma referência metodológica particularmente próxima da combinação adotada neste Observatório. </w:t>
      </w:r>
    </w:p>
    <w:p w14:paraId="158C7018" w14:textId="543FF9B4"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Neste estudo, o modelo de Markov é utilizado prioritariamente de forma descritiva. Não se assume que a mobilidade docente seja verdadeiramente um processo markoviano de primeira ordem; a matriz resume probabilidades empíricas condicionais entre anos consecutivos.</w:t>
      </w:r>
    </w:p>
    <w:p w14:paraId="052A9C9E" w14:textId="77777777" w:rsidR="00513847" w:rsidRPr="000655B9" w:rsidRDefault="00513847"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0655B9">
        <w:rPr>
          <w:rFonts w:ascii="Times New Roman" w:eastAsia="Times New Roman" w:hAnsi="Times New Roman" w:cs="Times New Roman"/>
          <w:b/>
          <w:bCs/>
          <w:kern w:val="0"/>
          <w:sz w:val="32"/>
          <w:szCs w:val="32"/>
          <w:lang w:eastAsia="pt-PT"/>
          <w14:ligatures w14:val="none"/>
        </w:rPr>
        <w:t>22. Qualidade, cobertura e auditabilidade</w:t>
      </w:r>
    </w:p>
    <w:p w14:paraId="4329575C" w14:textId="007888A6"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 xml:space="preserve">A arquitetura metodológica integra uma camada explícita de controlo de qualidade. </w:t>
      </w:r>
      <w:r w:rsidR="00447396" w:rsidRPr="00447396">
        <w:rPr>
          <w:rFonts w:ascii="Times New Roman" w:hAnsi="Times New Roman" w:cs="Times New Roman"/>
          <w:lang w:eastAsia="pt-PT"/>
        </w:rPr>
        <w:t>Na preparação de cada ano são registados, sempre que a estrutura documental o permite, os grupos de recrutamento presentes nas fontes, o número de candidatos interpretados, os colocados e não colocados, os resultados sem correspondência segura, os candidatos presentes apenas na ordenação, os códigos escolares não catalogados, as origens não recuperáveis e as exceções associadas à estrutura documental das listas.</w:t>
      </w:r>
      <w:r w:rsidR="00447396">
        <w:rPr>
          <w:rFonts w:ascii="Times New Roman" w:hAnsi="Times New Roman" w:cs="Times New Roman"/>
          <w:lang w:eastAsia="pt-PT"/>
        </w:rPr>
        <w:t xml:space="preserve"> </w:t>
      </w:r>
      <w:r w:rsidR="00513847" w:rsidRPr="000655B9">
        <w:rPr>
          <w:rFonts w:ascii="Times New Roman" w:hAnsi="Times New Roman" w:cs="Times New Roman"/>
          <w:lang w:eastAsia="pt-PT"/>
        </w:rPr>
        <w:t>São monitorizados, entre outros elementos, a cobertura anual dos grupos de recrutamento, correspondência entre ordenação e resultados finais, existência da escola no cadastro de códigos, origens não recuperáveis e diferenças estruturais das listas ao longo dos anos.</w:t>
      </w:r>
    </w:p>
    <w:p w14:paraId="2409454E" w14:textId="52FE11F0"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O heatmap grupo×ano representa:</w:t>
      </w:r>
    </w:p>
    <w:p w14:paraId="34E5C834" w14:textId="54AEC94A" w:rsidR="00513847" w:rsidRPr="000655B9" w:rsidRDefault="00000000" w:rsidP="000655B9">
      <w:pPr>
        <w:pStyle w:val="NoSpacing"/>
        <w:spacing w:line="360" w:lineRule="auto"/>
        <w:jc w:val="both"/>
        <w:rPr>
          <w:rFonts w:ascii="Times New Roman" w:hAnsi="Times New Roman" w:cs="Times New Roman"/>
          <w:lang w:eastAsia="pt-PT"/>
        </w:rPr>
      </w:pPr>
      <m:oMathPara>
        <m:oMath>
          <m:sSub>
            <m:sSubPr>
              <m:ctrlPr>
                <w:rPr>
                  <w:rFonts w:ascii="Cambria Math" w:hAnsi="Cambria Math" w:cs="Times New Roman"/>
                  <w:lang w:eastAsia="pt-PT"/>
                </w:rPr>
              </m:ctrlPr>
            </m:sSubPr>
            <m:e>
              <m:r>
                <w:rPr>
                  <w:rFonts w:ascii="Cambria Math" w:hAnsi="Cambria Math" w:cs="Times New Roman"/>
                  <w:lang w:eastAsia="pt-PT"/>
                </w:rPr>
                <m:t>N</m:t>
              </m:r>
            </m:e>
            <m:sub>
              <m:r>
                <w:rPr>
                  <w:rFonts w:ascii="Cambria Math" w:hAnsi="Cambria Math" w:cs="Times New Roman"/>
                  <w:lang w:eastAsia="pt-PT"/>
                </w:rPr>
                <m:t>g,t</m:t>
              </m:r>
            </m:sub>
          </m:sSub>
          <m:r>
            <w:rPr>
              <w:rFonts w:ascii="Cambria Math" w:hAnsi="Cambria Math" w:cs="Times New Roman"/>
              <w:lang w:eastAsia="pt-PT"/>
            </w:rPr>
            <m:t>=</m:t>
          </m:r>
          <m:r>
            <m:rPr>
              <m:sty m:val="p"/>
            </m:rPr>
            <w:rPr>
              <w:rFonts w:ascii="Cambria Math" w:hAnsi="Cambria Math" w:cs="Times New Roman"/>
              <w:lang w:eastAsia="pt-PT"/>
            </w:rPr>
            <m:t>#</m:t>
          </m:r>
          <m:r>
            <m:rPr>
              <m:nor/>
            </m:rPr>
            <w:rPr>
              <w:rFonts w:ascii="Times New Roman" w:hAnsi="Times New Roman" w:cs="Times New Roman"/>
              <w:lang w:eastAsia="pt-PT"/>
            </w:rPr>
            <m:t xml:space="preserve">candidatos do grupo </m:t>
          </m:r>
          <m:r>
            <w:rPr>
              <w:rFonts w:ascii="Cambria Math" w:hAnsi="Cambria Math" w:cs="Times New Roman"/>
              <w:lang w:eastAsia="pt-PT"/>
            </w:rPr>
            <m:t>g</m:t>
          </m:r>
          <m:r>
            <m:rPr>
              <m:nor/>
            </m:rPr>
            <w:rPr>
              <w:rFonts w:ascii="Times New Roman" w:hAnsi="Times New Roman" w:cs="Times New Roman"/>
              <w:lang w:eastAsia="pt-PT"/>
            </w:rPr>
            <m:t xml:space="preserve"> no ano </m:t>
          </m:r>
          <m:r>
            <w:rPr>
              <w:rFonts w:ascii="Cambria Math" w:hAnsi="Cambria Math" w:cs="Times New Roman"/>
              <w:lang w:eastAsia="pt-PT"/>
            </w:rPr>
            <m:t>t</m:t>
          </m:r>
          <m:r>
            <m:rPr>
              <m:sty m:val="p"/>
            </m:rPr>
            <w:rPr>
              <w:rFonts w:ascii="Cambria Math" w:hAnsi="Cambria Math" w:cs="Times New Roman"/>
              <w:lang w:eastAsia="pt-PT"/>
            </w:rPr>
            <w:br/>
          </m:r>
        </m:oMath>
      </m:oMathPara>
      <w:r w:rsidR="00513847" w:rsidRPr="000655B9">
        <w:rPr>
          <w:rFonts w:ascii="Times New Roman" w:hAnsi="Times New Roman" w:cs="Times New Roman"/>
          <w:lang w:eastAsia="pt-PT"/>
        </w:rPr>
        <w:t>ou, em modo relativo:</w:t>
      </w:r>
    </w:p>
    <w:p w14:paraId="6E3E3DF7" w14:textId="045074C1" w:rsidR="00513847" w:rsidRPr="000655B9" w:rsidRDefault="00000000" w:rsidP="000655B9">
      <w:pPr>
        <w:pStyle w:val="NoSpacing"/>
        <w:spacing w:line="360" w:lineRule="auto"/>
        <w:jc w:val="both"/>
        <w:rPr>
          <w:rFonts w:ascii="Times New Roman" w:hAnsi="Times New Roman" w:cs="Times New Roman"/>
          <w:lang w:eastAsia="pt-PT"/>
        </w:rPr>
      </w:pPr>
      <m:oMathPara>
        <m:oMath>
          <m:sSub>
            <m:sSubPr>
              <m:ctrlPr>
                <w:rPr>
                  <w:rFonts w:ascii="Cambria Math" w:hAnsi="Cambria Math" w:cs="Times New Roman"/>
                  <w:lang w:eastAsia="pt-PT"/>
                </w:rPr>
              </m:ctrlPr>
            </m:sSubPr>
            <m:e>
              <m:r>
                <w:rPr>
                  <w:rFonts w:ascii="Cambria Math" w:hAnsi="Cambria Math" w:cs="Times New Roman"/>
                  <w:lang w:eastAsia="pt-PT"/>
                </w:rPr>
                <m:t>R</m:t>
              </m:r>
            </m:e>
            <m:sub>
              <m:r>
                <w:rPr>
                  <w:rFonts w:ascii="Cambria Math" w:hAnsi="Cambria Math" w:cs="Times New Roman"/>
                  <w:lang w:eastAsia="pt-PT"/>
                </w:rPr>
                <m:t>g,t</m:t>
              </m:r>
            </m:sub>
          </m:sSub>
          <m:r>
            <w:rPr>
              <w:rFonts w:ascii="Cambria Math" w:hAnsi="Cambria Math" w:cs="Times New Roman"/>
              <w:lang w:eastAsia="pt-PT"/>
            </w:rPr>
            <m:t>=</m:t>
          </m:r>
          <m:f>
            <m:fPr>
              <m:ctrlPr>
                <w:rPr>
                  <w:rFonts w:ascii="Cambria Math" w:hAnsi="Cambria Math" w:cs="Times New Roman"/>
                  <w:lang w:eastAsia="pt-PT"/>
                </w:rPr>
              </m:ctrlPr>
            </m:fPr>
            <m:num>
              <m:sSub>
                <m:sSubPr>
                  <m:ctrlPr>
                    <w:rPr>
                      <w:rFonts w:ascii="Cambria Math" w:hAnsi="Cambria Math" w:cs="Times New Roman"/>
                      <w:lang w:eastAsia="pt-PT"/>
                    </w:rPr>
                  </m:ctrlPr>
                </m:sSubPr>
                <m:e>
                  <m:r>
                    <w:rPr>
                      <w:rFonts w:ascii="Cambria Math" w:hAnsi="Cambria Math" w:cs="Times New Roman"/>
                      <w:lang w:eastAsia="pt-PT"/>
                    </w:rPr>
                    <m:t>N</m:t>
                  </m:r>
                </m:e>
                <m:sub>
                  <m:r>
                    <w:rPr>
                      <w:rFonts w:ascii="Cambria Math" w:hAnsi="Cambria Math" w:cs="Times New Roman"/>
                      <w:lang w:eastAsia="pt-PT"/>
                    </w:rPr>
                    <m:t>g,t</m:t>
                  </m:r>
                </m:sub>
              </m:sSub>
            </m:num>
            <m:den>
              <m:nary>
                <m:naryPr>
                  <m:chr m:val="∑"/>
                  <m:limLoc m:val="undOvr"/>
                  <m:grow m:val="1"/>
                  <m:supHide m:val="1"/>
                  <m:ctrlPr>
                    <w:rPr>
                      <w:rFonts w:ascii="Cambria Math" w:hAnsi="Cambria Math" w:cs="Times New Roman"/>
                      <w:lang w:eastAsia="pt-PT"/>
                    </w:rPr>
                  </m:ctrlPr>
                </m:naryPr>
                <m:sub>
                  <m:r>
                    <w:rPr>
                      <w:rFonts w:ascii="Cambria Math" w:hAnsi="Cambria Math" w:cs="Times New Roman"/>
                      <w:lang w:eastAsia="pt-PT"/>
                    </w:rPr>
                    <m:t>g</m:t>
                  </m:r>
                </m:sub>
                <m:sup/>
                <m:e>
                  <m:sSub>
                    <m:sSubPr>
                      <m:ctrlPr>
                        <w:rPr>
                          <w:rFonts w:ascii="Cambria Math" w:hAnsi="Cambria Math" w:cs="Times New Roman"/>
                          <w:lang w:eastAsia="pt-PT"/>
                        </w:rPr>
                      </m:ctrlPr>
                    </m:sSubPr>
                    <m:e>
                      <m:r>
                        <w:rPr>
                          <w:rFonts w:ascii="Cambria Math" w:hAnsi="Cambria Math" w:cs="Times New Roman"/>
                          <w:lang w:eastAsia="pt-PT"/>
                        </w:rPr>
                        <m:t>N</m:t>
                      </m:r>
                    </m:e>
                    <m:sub>
                      <m:r>
                        <w:rPr>
                          <w:rFonts w:ascii="Cambria Math" w:hAnsi="Cambria Math" w:cs="Times New Roman"/>
                          <w:lang w:eastAsia="pt-PT"/>
                        </w:rPr>
                        <m:t>g,t</m:t>
                      </m:r>
                    </m:sub>
                  </m:sSub>
                </m:e>
              </m:nary>
            </m:den>
          </m:f>
          <m:r>
            <w:rPr>
              <w:rFonts w:ascii="Cambria Math" w:hAnsi="Cambria Math" w:cs="Times New Roman"/>
              <w:lang w:eastAsia="pt-PT"/>
            </w:rPr>
            <m:t>×100</m:t>
          </m:r>
        </m:oMath>
      </m:oMathPara>
    </w:p>
    <w:p w14:paraId="64DC2D15" w14:textId="7802FE06"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A representação relativa é especialmente relevante quando o volume global da Mobilidade Interna varia substancialmente entre anos.</w:t>
      </w:r>
    </w:p>
    <w:p w14:paraId="6DBA5E4F" w14:textId="25D82437"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Uma célula com valor reduzido não deve ser automaticamente interpretada como falha de qualidade; pode representar simplesmente um grupo com reduzida participação naquele ano.</w:t>
      </w:r>
    </w:p>
    <w:p w14:paraId="0370DE91" w14:textId="77777777" w:rsidR="00513847" w:rsidRPr="000655B9" w:rsidRDefault="00513847"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0655B9">
        <w:rPr>
          <w:rFonts w:ascii="Times New Roman" w:eastAsia="Times New Roman" w:hAnsi="Times New Roman" w:cs="Times New Roman"/>
          <w:b/>
          <w:bCs/>
          <w:kern w:val="0"/>
          <w:sz w:val="32"/>
          <w:szCs w:val="32"/>
          <w:lang w:eastAsia="pt-PT"/>
          <w14:ligatures w14:val="none"/>
        </w:rPr>
        <w:lastRenderedPageBreak/>
        <w:t>23. Princípio de interpretação conjunta dos indicadores</w:t>
      </w:r>
    </w:p>
    <w:p w14:paraId="1C1725C3" w14:textId="7D63B2CC"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A metodologia foi deliberadamente construída para evitar interpretações baseadas num único indicador.</w:t>
      </w:r>
    </w:p>
    <w:p w14:paraId="3F106F73" w14:textId="74CF2575"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Uma pressão de saída elevada, por exemplo, adquire significado analítico diferente consoante esteja associada a um movimento total baixo ou elevado, a um saldo negativo ou equilibrado e a um padrão pontual ou persistente.</w:t>
      </w:r>
    </w:p>
    <w:p w14:paraId="74905ECC" w14:textId="49DCE254"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Propõe-se, por isso, a leitura combinada:</w:t>
      </w:r>
    </w:p>
    <w:p w14:paraId="446CED9E" w14:textId="5AC75720" w:rsidR="00513847" w:rsidRPr="000655B9" w:rsidRDefault="00513847" w:rsidP="000655B9">
      <w:pPr>
        <w:pStyle w:val="NoSpacing"/>
        <w:spacing w:line="360" w:lineRule="auto"/>
        <w:jc w:val="both"/>
        <w:rPr>
          <w:rFonts w:ascii="Times New Roman" w:hAnsi="Times New Roman" w:cs="Times New Roman"/>
          <w:lang w:eastAsia="pt-PT"/>
        </w:rPr>
      </w:pPr>
      <m:oMathPara>
        <m:oMath>
          <m:r>
            <w:rPr>
              <w:rFonts w:ascii="Cambria Math" w:hAnsi="Cambria Math" w:cs="Times New Roman"/>
              <w:lang w:eastAsia="pt-PT"/>
            </w:rPr>
            <m:t>Press</m:t>
          </m:r>
          <m:acc>
            <m:accPr>
              <m:chr m:val="̃"/>
              <m:ctrlPr>
                <w:rPr>
                  <w:rFonts w:ascii="Cambria Math" w:hAnsi="Cambria Math" w:cs="Times New Roman"/>
                  <w:lang w:eastAsia="pt-PT"/>
                </w:rPr>
              </m:ctrlPr>
            </m:accPr>
            <m:e>
              <m:r>
                <w:rPr>
                  <w:rFonts w:ascii="Cambria Math" w:hAnsi="Cambria Math" w:cs="Times New Roman"/>
                  <w:lang w:eastAsia="pt-PT"/>
                </w:rPr>
                <m:t>a</m:t>
              </m:r>
            </m:e>
          </m:acc>
          <m:r>
            <w:rPr>
              <w:rFonts w:ascii="Cambria Math" w:hAnsi="Cambria Math" w:cs="Times New Roman"/>
              <w:lang w:eastAsia="pt-PT"/>
            </w:rPr>
            <m:t>o+Volume+Saldo+Persist</m:t>
          </m:r>
          <m:acc>
            <m:accPr>
              <m:ctrlPr>
                <w:rPr>
                  <w:rFonts w:ascii="Cambria Math" w:hAnsi="Cambria Math" w:cs="Times New Roman"/>
                  <w:lang w:eastAsia="pt-PT"/>
                </w:rPr>
              </m:ctrlPr>
            </m:accPr>
            <m:e>
              <m:r>
                <w:rPr>
                  <w:rFonts w:ascii="Cambria Math" w:hAnsi="Cambria Math" w:cs="Times New Roman"/>
                  <w:lang w:eastAsia="pt-PT"/>
                </w:rPr>
                <m:t>e</m:t>
              </m:r>
            </m:e>
          </m:acc>
          <m:r>
            <w:rPr>
              <w:rFonts w:ascii="Cambria Math" w:hAnsi="Cambria Math" w:cs="Times New Roman"/>
              <w:lang w:eastAsia="pt-PT"/>
            </w:rPr>
            <m:t>ncia+Contexto</m:t>
          </m:r>
        </m:oMath>
      </m:oMathPara>
    </w:p>
    <w:p w14:paraId="2E4D2754" w14:textId="39E38EDA"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A PS funciona, assim, como indicador sentinela, e não como diagnóstico causal.</w:t>
      </w:r>
    </w:p>
    <w:p w14:paraId="60EA8BFE" w14:textId="2C6642DD" w:rsidR="00513847" w:rsidRDefault="00513847" w:rsidP="000655B9">
      <w:pPr>
        <w:pStyle w:val="NoSpacing"/>
        <w:spacing w:line="360" w:lineRule="auto"/>
        <w:jc w:val="both"/>
        <w:rPr>
          <w:rFonts w:ascii="Times New Roman" w:hAnsi="Times New Roman" w:cs="Times New Roman"/>
          <w:lang w:eastAsia="pt-PT"/>
        </w:rPr>
      </w:pPr>
      <w:r w:rsidRPr="000655B9">
        <w:rPr>
          <w:rFonts w:ascii="Times New Roman" w:hAnsi="Times New Roman" w:cs="Times New Roman"/>
          <w:lang w:eastAsia="pt-PT"/>
        </w:rPr>
        <w:t>Este princípio é consistente com a literatura de turnover, que mostra que a mobilidade docente pode resultar de fatores individuais, administrativos, geográficos e organizacionais e que o mesmo evento de saída pode possuir significados diferentes consoante o contexto.</w:t>
      </w:r>
    </w:p>
    <w:p w14:paraId="6B84EF55" w14:textId="51838F7E" w:rsidR="001F6D9C" w:rsidRPr="005444A6" w:rsidRDefault="001F6D9C" w:rsidP="001F6D9C">
      <w:pPr>
        <w:spacing w:before="100" w:beforeAutospacing="1" w:after="100" w:afterAutospacing="1" w:line="240" w:lineRule="auto"/>
        <w:ind w:firstLine="708"/>
        <w:jc w:val="both"/>
        <w:outlineLvl w:val="1"/>
        <w:rPr>
          <w:rFonts w:ascii="Times New Roman" w:eastAsia="Times New Roman" w:hAnsi="Times New Roman" w:cs="Times New Roman"/>
          <w:b/>
          <w:bCs/>
          <w:kern w:val="0"/>
          <w:sz w:val="32"/>
          <w:szCs w:val="32"/>
          <w:lang w:eastAsia="pt-PT"/>
          <w14:ligatures w14:val="none"/>
        </w:rPr>
      </w:pPr>
      <w:r>
        <w:rPr>
          <w:rFonts w:ascii="Times New Roman" w:eastAsia="Times New Roman" w:hAnsi="Times New Roman" w:cs="Times New Roman"/>
          <w:b/>
          <w:bCs/>
          <w:kern w:val="0"/>
          <w:sz w:val="32"/>
          <w:szCs w:val="32"/>
          <w:lang w:eastAsia="pt-PT"/>
          <w14:ligatures w14:val="none"/>
        </w:rPr>
        <w:t>2</w:t>
      </w:r>
      <w:r w:rsidRPr="005444A6">
        <w:rPr>
          <w:rFonts w:ascii="Times New Roman" w:eastAsia="Times New Roman" w:hAnsi="Times New Roman" w:cs="Times New Roman"/>
          <w:b/>
          <w:bCs/>
          <w:kern w:val="0"/>
          <w:sz w:val="32"/>
          <w:szCs w:val="32"/>
          <w:lang w:eastAsia="pt-PT"/>
          <w14:ligatures w14:val="none"/>
        </w:rPr>
        <w:t xml:space="preserve">3.1. </w:t>
      </w:r>
      <w:r w:rsidRPr="001F6D9C">
        <w:rPr>
          <w:rFonts w:ascii="Times New Roman" w:eastAsia="Times New Roman" w:hAnsi="Times New Roman" w:cs="Times New Roman"/>
          <w:b/>
          <w:bCs/>
          <w:kern w:val="0"/>
          <w:sz w:val="32"/>
          <w:szCs w:val="32"/>
          <w:lang w:eastAsia="pt-PT"/>
          <w14:ligatures w14:val="none"/>
        </w:rPr>
        <w:t>Privacidade, ética e interpretação responsável</w:t>
      </w:r>
    </w:p>
    <w:p w14:paraId="48B4045B" w14:textId="5618361A" w:rsidR="001F6D9C" w:rsidRPr="001F6D9C" w:rsidRDefault="001F6D9C" w:rsidP="001F6D9C">
      <w:pPr>
        <w:pStyle w:val="NoSpacing"/>
        <w:spacing w:line="360" w:lineRule="auto"/>
        <w:jc w:val="both"/>
        <w:rPr>
          <w:rFonts w:ascii="Times New Roman" w:hAnsi="Times New Roman" w:cs="Times New Roman"/>
        </w:rPr>
      </w:pPr>
      <w:r w:rsidRPr="00DD0E90">
        <w:rPr>
          <w:rFonts w:ascii="Times New Roman" w:hAnsi="Times New Roman" w:cs="Times New Roman"/>
        </w:rPr>
        <w:tab/>
      </w:r>
      <w:r w:rsidRPr="001F6D9C">
        <w:rPr>
          <w:rFonts w:ascii="Times New Roman" w:hAnsi="Times New Roman" w:cs="Times New Roman"/>
        </w:rPr>
        <w:t>A utilização longitudinal de dados administrativos exige igualmente princípios explícitos de privacidade e interpretação responsável. Os nomes individuais não são necessários à interface pública e as trajetórias são apresentadas através de identificadores anonimizados, preservando a possibilidade de análise longitudinal sem exposição direta da identidade dos candidatos.</w:t>
      </w:r>
    </w:p>
    <w:p w14:paraId="3D17E057" w14:textId="79E064C6" w:rsidR="001F6D9C" w:rsidRPr="001F6D9C" w:rsidRDefault="001F6D9C" w:rsidP="001F6D9C">
      <w:pPr>
        <w:pStyle w:val="NoSpacing"/>
        <w:spacing w:line="360" w:lineRule="auto"/>
        <w:jc w:val="both"/>
        <w:rPr>
          <w:rFonts w:ascii="Times New Roman" w:hAnsi="Times New Roman" w:cs="Times New Roman"/>
        </w:rPr>
      </w:pPr>
      <w:r w:rsidRPr="00DD0E90">
        <w:rPr>
          <w:rFonts w:ascii="Times New Roman" w:hAnsi="Times New Roman" w:cs="Times New Roman"/>
        </w:rPr>
        <w:tab/>
      </w:r>
      <w:r w:rsidRPr="001F6D9C">
        <w:rPr>
          <w:rFonts w:ascii="Times New Roman" w:hAnsi="Times New Roman" w:cs="Times New Roman"/>
        </w:rPr>
        <w:t>A identificação de um padrão atípico ou de uma anomalia estatística não constitui, por si só, evidência de irregularidade administrativa, comportamento inadequado ou qualquer outra conclusão substantiva sobre um docente ou uma escola. Do mesmo modo, os indicadores do Observatório não devem ser utilizados isoladamente para classificar estabelecimentos como “bons” ou “maus”.</w:t>
      </w:r>
    </w:p>
    <w:p w14:paraId="580635CE" w14:textId="3086FE43" w:rsidR="001F6D9C" w:rsidRPr="001F6D9C" w:rsidRDefault="001F6D9C" w:rsidP="001F6D9C">
      <w:pPr>
        <w:pStyle w:val="NoSpacing"/>
        <w:spacing w:line="360" w:lineRule="auto"/>
        <w:jc w:val="both"/>
        <w:rPr>
          <w:rFonts w:ascii="Times New Roman" w:hAnsi="Times New Roman" w:cs="Times New Roman"/>
        </w:rPr>
      </w:pPr>
      <w:r w:rsidRPr="00DD0E90">
        <w:rPr>
          <w:rFonts w:ascii="Times New Roman" w:hAnsi="Times New Roman" w:cs="Times New Roman"/>
        </w:rPr>
        <w:tab/>
      </w:r>
      <w:r w:rsidRPr="001F6D9C">
        <w:rPr>
          <w:rFonts w:ascii="Times New Roman" w:hAnsi="Times New Roman" w:cs="Times New Roman"/>
        </w:rPr>
        <w:t>A divulgação e reutilização dos resultados devem respeitar a proveniência dos dados e as condições aplicáveis às fontes administrativas publicadas.</w:t>
      </w:r>
    </w:p>
    <w:p w14:paraId="043CEABE" w14:textId="77777777" w:rsidR="00513847" w:rsidRPr="000655B9" w:rsidRDefault="00513847"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0655B9">
        <w:rPr>
          <w:rFonts w:ascii="Times New Roman" w:eastAsia="Times New Roman" w:hAnsi="Times New Roman" w:cs="Times New Roman"/>
          <w:b/>
          <w:bCs/>
          <w:kern w:val="0"/>
          <w:sz w:val="32"/>
          <w:szCs w:val="32"/>
          <w:lang w:eastAsia="pt-PT"/>
          <w14:ligatures w14:val="none"/>
        </w:rPr>
        <w:t>24. Limitações metodológicas</w:t>
      </w:r>
    </w:p>
    <w:p w14:paraId="300622D0" w14:textId="20EF0CCF"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A interpretação dos indicadores está sujeita a várias limitações.</w:t>
      </w:r>
    </w:p>
    <w:p w14:paraId="76724A58" w14:textId="0DCB25E9"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 xml:space="preserve">Em primeiro lugar, o Observatório analisa o universo de participantes na Mobilidade Interna e não necessariamente todo o corpo docente das escolas. </w:t>
      </w:r>
      <w:r w:rsidR="00513847" w:rsidRPr="000655B9">
        <w:rPr>
          <w:rFonts w:ascii="Times New Roman" w:hAnsi="Times New Roman" w:cs="Times New Roman"/>
          <w:lang w:eastAsia="pt-PT"/>
        </w:rPr>
        <w:lastRenderedPageBreak/>
        <w:t>Consequentemente, indicadores como PS ou TNC não podem ser interpretados como taxas clássicas de turnover ou retenção calculadas sobre o total de docentes.</w:t>
      </w:r>
    </w:p>
    <w:p w14:paraId="199B086F" w14:textId="457A24C6"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Em segundo lugar, alterações regulamentares e de prioridades entre anos podem afetar a comparabilidade direta de alguns indicadores.</w:t>
      </w:r>
    </w:p>
    <w:p w14:paraId="6B9F448B" w14:textId="79E1A48E"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 xml:space="preserve">Em terceiro lugar, as listas administrativas permitem reconstruir resultados, mas não permitem necessariamente observar todas as preferências dos candidatos ou todas as vagas potencialmente disputáveis. A literatura sobre teacher assignment demonstra que a análise rigorosa dos mecanismos de matching pode exigir informação sobre preferências ordenadas, prioridades, vagas e sequência de atribuição. </w:t>
      </w:r>
    </w:p>
    <w:p w14:paraId="58156781" w14:textId="29283F51"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 xml:space="preserve">Por esta razão, indicadores que impliquem avaliar </w:t>
      </w:r>
      <w:r w:rsidRPr="000655B9">
        <w:rPr>
          <w:rFonts w:ascii="Times New Roman" w:hAnsi="Times New Roman" w:cs="Times New Roman"/>
          <w:lang w:eastAsia="pt-PT"/>
        </w:rPr>
        <w:t>contra factualmente</w:t>
      </w:r>
      <w:r w:rsidR="00513847" w:rsidRPr="000655B9">
        <w:rPr>
          <w:rFonts w:ascii="Times New Roman" w:hAnsi="Times New Roman" w:cs="Times New Roman"/>
          <w:lang w:eastAsia="pt-PT"/>
        </w:rPr>
        <w:t xml:space="preserve"> se determinado docente “teria obtido” determinada vaga não devem ser calculados sem reconstrução integral do mecanismo de colocação.</w:t>
      </w:r>
    </w:p>
    <w:p w14:paraId="4830A5FE" w14:textId="311349F5" w:rsidR="00513847"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Finalmente, as tipologias, limiares de persistência e índice de recorrência devem ser entendidos como instrumentos exploratórios. A sua robustez deve ser avaliada através de análises de sensibilidade.</w:t>
      </w:r>
    </w:p>
    <w:p w14:paraId="06C2CD99" w14:textId="3C266EA7" w:rsidR="001F6D9C" w:rsidRPr="000655B9" w:rsidRDefault="001F6D9C" w:rsidP="001F6D9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0655B9">
        <w:rPr>
          <w:rFonts w:ascii="Times New Roman" w:eastAsia="Times New Roman" w:hAnsi="Times New Roman" w:cs="Times New Roman"/>
          <w:b/>
          <w:bCs/>
          <w:kern w:val="0"/>
          <w:sz w:val="32"/>
          <w:szCs w:val="32"/>
          <w:lang w:eastAsia="pt-PT"/>
          <w14:ligatures w14:val="none"/>
        </w:rPr>
        <w:t>2</w:t>
      </w:r>
      <w:r>
        <w:rPr>
          <w:rFonts w:ascii="Times New Roman" w:eastAsia="Times New Roman" w:hAnsi="Times New Roman" w:cs="Times New Roman"/>
          <w:b/>
          <w:bCs/>
          <w:kern w:val="0"/>
          <w:sz w:val="32"/>
          <w:szCs w:val="32"/>
          <w:lang w:eastAsia="pt-PT"/>
          <w14:ligatures w14:val="none"/>
        </w:rPr>
        <w:t>5</w:t>
      </w:r>
      <w:r w:rsidRPr="000655B9">
        <w:rPr>
          <w:rFonts w:ascii="Times New Roman" w:eastAsia="Times New Roman" w:hAnsi="Times New Roman" w:cs="Times New Roman"/>
          <w:b/>
          <w:bCs/>
          <w:kern w:val="0"/>
          <w:sz w:val="32"/>
          <w:szCs w:val="32"/>
          <w:lang w:eastAsia="pt-PT"/>
          <w14:ligatures w14:val="none"/>
        </w:rPr>
        <w:t xml:space="preserve">. </w:t>
      </w:r>
      <w:r w:rsidRPr="001F6D9C">
        <w:rPr>
          <w:rFonts w:ascii="Times New Roman" w:eastAsia="Times New Roman" w:hAnsi="Times New Roman" w:cs="Times New Roman"/>
          <w:b/>
          <w:bCs/>
          <w:kern w:val="0"/>
          <w:sz w:val="32"/>
          <w:szCs w:val="32"/>
          <w:lang w:eastAsia="pt-PT"/>
          <w14:ligatures w14:val="none"/>
        </w:rPr>
        <w:t>Reprodutibilidade e auditabilidade dos resultado</w:t>
      </w:r>
      <w:r w:rsidRPr="000655B9">
        <w:rPr>
          <w:rFonts w:ascii="Times New Roman" w:eastAsia="Times New Roman" w:hAnsi="Times New Roman" w:cs="Times New Roman"/>
          <w:b/>
          <w:bCs/>
          <w:kern w:val="0"/>
          <w:sz w:val="32"/>
          <w:szCs w:val="32"/>
          <w:lang w:eastAsia="pt-PT"/>
          <w14:ligatures w14:val="none"/>
        </w:rPr>
        <w:t>s</w:t>
      </w:r>
    </w:p>
    <w:p w14:paraId="4848F311" w14:textId="2FD88D2E" w:rsidR="001F6D9C" w:rsidRPr="001F6D9C" w:rsidRDefault="001F6D9C" w:rsidP="001F6D9C">
      <w:pPr>
        <w:pStyle w:val="NoSpacing"/>
        <w:spacing w:line="360" w:lineRule="auto"/>
        <w:jc w:val="both"/>
        <w:rPr>
          <w:rFonts w:ascii="Times New Roman" w:hAnsi="Times New Roman" w:cs="Times New Roman"/>
        </w:rPr>
      </w:pPr>
      <w:r w:rsidRPr="00DD0E90">
        <w:rPr>
          <w:rFonts w:ascii="Times New Roman" w:hAnsi="Times New Roman" w:cs="Times New Roman"/>
        </w:rPr>
        <w:tab/>
      </w:r>
      <w:r w:rsidRPr="001F6D9C">
        <w:rPr>
          <w:rFonts w:ascii="Times New Roman" w:hAnsi="Times New Roman" w:cs="Times New Roman"/>
        </w:rPr>
        <w:t>A metodologia adota como princípio de reprodutibilidade que a interface pública pode sintetizar a informação, mas os resultados disponibilizados devem permanecer auditáveis a partir das bases analíticas e das regras de transformação documentadas.</w:t>
      </w:r>
    </w:p>
    <w:p w14:paraId="31A1A898" w14:textId="21ACE2A6" w:rsidR="001F6D9C" w:rsidRPr="001F6D9C" w:rsidRDefault="001F6D9C" w:rsidP="001F6D9C">
      <w:pPr>
        <w:pStyle w:val="NoSpacing"/>
        <w:spacing w:line="360" w:lineRule="auto"/>
        <w:jc w:val="both"/>
        <w:rPr>
          <w:rFonts w:ascii="Times New Roman" w:hAnsi="Times New Roman" w:cs="Times New Roman"/>
        </w:rPr>
      </w:pPr>
      <w:r w:rsidRPr="00DD0E90">
        <w:rPr>
          <w:rFonts w:ascii="Times New Roman" w:hAnsi="Times New Roman" w:cs="Times New Roman"/>
        </w:rPr>
        <w:tab/>
      </w:r>
      <w:r w:rsidRPr="001F6D9C">
        <w:rPr>
          <w:rFonts w:ascii="Times New Roman" w:hAnsi="Times New Roman" w:cs="Times New Roman"/>
        </w:rPr>
        <w:t>Consequentemente, os indicadores apresentados na aplicação devem poder ser reconstruídos a partir das bases limpas, das chaves de correspondência, das regras de classificação e dos parâmetros metodológicos utilizados. O download de dados assume, neste contexto, uma função complementar à visualização: a interface pode resumir; os dados disponibilizados devem permitir auditar.</w:t>
      </w:r>
    </w:p>
    <w:p w14:paraId="3BDEF545" w14:textId="7A22B990" w:rsidR="00513847" w:rsidRPr="000655B9" w:rsidRDefault="00513847" w:rsidP="00B86D6C">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pt-PT"/>
          <w14:ligatures w14:val="none"/>
        </w:rPr>
      </w:pPr>
      <w:r w:rsidRPr="000655B9">
        <w:rPr>
          <w:rFonts w:ascii="Times New Roman" w:eastAsia="Times New Roman" w:hAnsi="Times New Roman" w:cs="Times New Roman"/>
          <w:b/>
          <w:bCs/>
          <w:kern w:val="0"/>
          <w:sz w:val="32"/>
          <w:szCs w:val="32"/>
          <w:lang w:eastAsia="pt-PT"/>
          <w14:ligatures w14:val="none"/>
        </w:rPr>
        <w:t>2</w:t>
      </w:r>
      <w:r w:rsidR="001F6D9C">
        <w:rPr>
          <w:rFonts w:ascii="Times New Roman" w:eastAsia="Times New Roman" w:hAnsi="Times New Roman" w:cs="Times New Roman"/>
          <w:b/>
          <w:bCs/>
          <w:kern w:val="0"/>
          <w:sz w:val="32"/>
          <w:szCs w:val="32"/>
          <w:lang w:eastAsia="pt-PT"/>
          <w14:ligatures w14:val="none"/>
        </w:rPr>
        <w:t>6</w:t>
      </w:r>
      <w:r w:rsidRPr="000655B9">
        <w:rPr>
          <w:rFonts w:ascii="Times New Roman" w:eastAsia="Times New Roman" w:hAnsi="Times New Roman" w:cs="Times New Roman"/>
          <w:b/>
          <w:bCs/>
          <w:kern w:val="0"/>
          <w:sz w:val="32"/>
          <w:szCs w:val="32"/>
          <w:lang w:eastAsia="pt-PT"/>
          <w14:ligatures w14:val="none"/>
        </w:rPr>
        <w:t>. Síntese metodológica</w:t>
      </w:r>
    </w:p>
    <w:p w14:paraId="73743D5E" w14:textId="2C303828"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A metodologia do Observatório procura transformar um sistema de informação originalmente orientado para a produção de resultados administrativos individuais num sistema de monitorização longitudinal das dinâmicas organizacionais.</w:t>
      </w:r>
    </w:p>
    <w:p w14:paraId="4D632F2A" w14:textId="77777777" w:rsidR="00513847" w:rsidRPr="000655B9" w:rsidRDefault="00513847" w:rsidP="000655B9">
      <w:pPr>
        <w:pStyle w:val="NoSpacing"/>
        <w:spacing w:line="360" w:lineRule="auto"/>
        <w:jc w:val="both"/>
        <w:rPr>
          <w:rFonts w:ascii="Times New Roman" w:hAnsi="Times New Roman" w:cs="Times New Roman"/>
          <w:lang w:eastAsia="pt-PT"/>
        </w:rPr>
      </w:pPr>
      <w:r w:rsidRPr="000655B9">
        <w:rPr>
          <w:rFonts w:ascii="Times New Roman" w:hAnsi="Times New Roman" w:cs="Times New Roman"/>
          <w:lang w:eastAsia="pt-PT"/>
        </w:rPr>
        <w:t>O contributo não consiste apenas na digitalização das listas, mas na criação de uma estrutura analítica que permite observar simultaneamente:</w:t>
      </w:r>
    </w:p>
    <w:p w14:paraId="2B2905FF" w14:textId="4894C373" w:rsidR="00513847" w:rsidRPr="000655B9" w:rsidRDefault="00513847" w:rsidP="000655B9">
      <w:pPr>
        <w:pStyle w:val="NoSpacing"/>
        <w:spacing w:line="360" w:lineRule="auto"/>
        <w:jc w:val="both"/>
        <w:rPr>
          <w:rFonts w:ascii="Times New Roman" w:hAnsi="Times New Roman" w:cs="Times New Roman"/>
          <w:lang w:eastAsia="pt-PT"/>
        </w:rPr>
      </w:pPr>
      <m:oMathPara>
        <m:oMathParaPr>
          <m:jc m:val="center"/>
        </m:oMathParaPr>
        <m:oMath>
          <m:r>
            <m:rPr>
              <m:nor/>
            </m:rPr>
            <w:rPr>
              <w:rFonts w:ascii="Times New Roman" w:hAnsi="Times New Roman" w:cs="Times New Roman"/>
              <w:lang w:eastAsia="pt-PT"/>
            </w:rPr>
            <w:lastRenderedPageBreak/>
            <m:t>participação</m:t>
          </m:r>
          <m:r>
            <w:rPr>
              <w:rFonts w:ascii="Cambria Math" w:hAnsi="Cambria Math" w:cs="Times New Roman"/>
              <w:lang w:eastAsia="pt-PT"/>
            </w:rPr>
            <m:t>→</m:t>
          </m:r>
          <m:r>
            <m:rPr>
              <m:nor/>
            </m:rPr>
            <w:rPr>
              <w:rFonts w:ascii="Times New Roman" w:hAnsi="Times New Roman" w:cs="Times New Roman"/>
              <w:lang w:eastAsia="pt-PT"/>
            </w:rPr>
            <m:t>resultado</m:t>
          </m:r>
          <m:r>
            <w:rPr>
              <w:rFonts w:ascii="Cambria Math" w:hAnsi="Cambria Math" w:cs="Times New Roman"/>
              <w:lang w:eastAsia="pt-PT"/>
            </w:rPr>
            <m:t>→</m:t>
          </m:r>
          <m:r>
            <m:rPr>
              <m:nor/>
            </m:rPr>
            <w:rPr>
              <w:rFonts w:ascii="Times New Roman" w:hAnsi="Times New Roman" w:cs="Times New Roman"/>
              <w:lang w:eastAsia="pt-PT"/>
            </w:rPr>
            <m:t>mobilidade</m:t>
          </m:r>
          <m:r>
            <w:rPr>
              <w:rFonts w:ascii="Cambria Math" w:hAnsi="Cambria Math" w:cs="Times New Roman"/>
              <w:lang w:eastAsia="pt-PT"/>
            </w:rPr>
            <m:t>→</m:t>
          </m:r>
          <m:r>
            <m:rPr>
              <m:nor/>
            </m:rPr>
            <w:rPr>
              <w:rFonts w:ascii="Times New Roman" w:hAnsi="Times New Roman" w:cs="Times New Roman"/>
              <w:lang w:eastAsia="pt-PT"/>
            </w:rPr>
            <m:t>fluxo entre escolas</m:t>
          </m:r>
          <m:r>
            <w:rPr>
              <w:rFonts w:ascii="Cambria Math" w:hAnsi="Cambria Math" w:cs="Times New Roman"/>
              <w:lang w:eastAsia="pt-PT"/>
            </w:rPr>
            <m:t>→</m:t>
          </m:r>
          <m:r>
            <m:rPr>
              <m:nor/>
            </m:rPr>
            <w:rPr>
              <w:rFonts w:ascii="Times New Roman" w:hAnsi="Times New Roman" w:cs="Times New Roman"/>
              <w:lang w:eastAsia="pt-PT"/>
            </w:rPr>
            <m:t>persist</m:t>
          </m:r>
          <m:acc>
            <m:accPr>
              <m:chr m:val="ˆ"/>
              <m:ctrlPr>
                <w:rPr>
                  <w:rFonts w:ascii="Cambria Math" w:hAnsi="Cambria Math" w:cs="Times New Roman"/>
                  <w:lang w:eastAsia="pt-PT"/>
                </w:rPr>
              </m:ctrlPr>
            </m:accPr>
            <m:e>
              <m:r>
                <m:rPr>
                  <m:nor/>
                </m:rPr>
                <w:rPr>
                  <w:rFonts w:ascii="Times New Roman" w:hAnsi="Times New Roman" w:cs="Times New Roman"/>
                  <w:lang w:eastAsia="pt-PT"/>
                </w:rPr>
                <m:t>e</m:t>
              </m:r>
            </m:e>
          </m:acc>
          <m:r>
            <m:rPr>
              <m:nor/>
            </m:rPr>
            <w:rPr>
              <w:rFonts w:ascii="Times New Roman" w:hAnsi="Times New Roman" w:cs="Times New Roman"/>
              <w:lang w:eastAsia="pt-PT"/>
            </w:rPr>
            <m:t>ncia</m:t>
          </m:r>
          <m:r>
            <w:rPr>
              <w:rFonts w:ascii="Cambria Math" w:hAnsi="Cambria Math" w:cs="Times New Roman"/>
              <w:lang w:eastAsia="pt-PT"/>
            </w:rPr>
            <m:t>→</m:t>
          </m:r>
          <m:r>
            <m:rPr>
              <m:nor/>
            </m:rPr>
            <w:rPr>
              <w:rFonts w:ascii="Times New Roman" w:hAnsi="Times New Roman" w:cs="Times New Roman"/>
              <w:lang w:eastAsia="pt-PT"/>
            </w:rPr>
            <m:t>trajet</m:t>
          </m:r>
          <m:acc>
            <m:accPr>
              <m:chr m:val="ˊ"/>
              <m:ctrlPr>
                <w:rPr>
                  <w:rFonts w:ascii="Cambria Math" w:hAnsi="Cambria Math" w:cs="Times New Roman"/>
                  <w:lang w:eastAsia="pt-PT"/>
                </w:rPr>
              </m:ctrlPr>
            </m:accPr>
            <m:e>
              <m:r>
                <m:rPr>
                  <m:nor/>
                </m:rPr>
                <w:rPr>
                  <w:rFonts w:ascii="Times New Roman" w:hAnsi="Times New Roman" w:cs="Times New Roman"/>
                  <w:lang w:eastAsia="pt-PT"/>
                </w:rPr>
                <m:t>o</m:t>
              </m:r>
            </m:e>
          </m:acc>
          <m:r>
            <m:rPr>
              <m:nor/>
            </m:rPr>
            <w:rPr>
              <w:rFonts w:ascii="Times New Roman" w:hAnsi="Times New Roman" w:cs="Times New Roman"/>
              <w:lang w:eastAsia="pt-PT"/>
            </w:rPr>
            <m:t>ria</m:t>
          </m:r>
        </m:oMath>
      </m:oMathPara>
    </w:p>
    <w:p w14:paraId="59464406" w14:textId="50E71878" w:rsidR="00513847" w:rsidRPr="000655B9" w:rsidRDefault="000655B9" w:rsidP="000655B9">
      <w:pPr>
        <w:pStyle w:val="NoSpacing"/>
        <w:spacing w:line="360" w:lineRule="auto"/>
        <w:jc w:val="both"/>
        <w:rPr>
          <w:rFonts w:ascii="Times New Roman" w:hAnsi="Times New Roman" w:cs="Times New Roman"/>
          <w:lang w:eastAsia="pt-PT"/>
        </w:rPr>
      </w:pPr>
      <w:r w:rsidRPr="00DD0E90">
        <w:rPr>
          <w:rFonts w:ascii="Times New Roman" w:hAnsi="Times New Roman" w:cs="Times New Roman"/>
        </w:rPr>
        <w:tab/>
      </w:r>
      <w:r w:rsidR="00513847" w:rsidRPr="000655B9">
        <w:rPr>
          <w:rFonts w:ascii="Times New Roman" w:hAnsi="Times New Roman" w:cs="Times New Roman"/>
          <w:lang w:eastAsia="pt-PT"/>
        </w:rPr>
        <w:t>A literatura sobre turnover docente sustenta a relevância de estudar entradas, saídas e estabilidade organizacional; a literatura de teacher matching demonstra a importância das regras institucionais de colocação; a análise de redes permite representar a estrutura dos movimentos entre estabelecimentos; os modelos de transição permitem caracterizar a dinâmica longitudinal; e a perspetiva de Design Science enquadra o Observatório enquanto artefacto analítico concebido para transformar dados administrativos em informação utilizável para investigação e monitorização do sistema educativo.</w:t>
      </w:r>
    </w:p>
    <w:p w14:paraId="487B2733"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eastAsia="pt-PT"/>
          <w14:ligatures w14:val="none"/>
        </w:rPr>
      </w:pPr>
    </w:p>
    <w:p w14:paraId="30B4956B" w14:textId="77777777" w:rsidR="00513847" w:rsidRPr="00B86D6C" w:rsidRDefault="00513847" w:rsidP="00B86D6C">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pt-PT"/>
          <w14:ligatures w14:val="none"/>
        </w:rPr>
      </w:pPr>
      <w:r w:rsidRPr="00B86D6C">
        <w:rPr>
          <w:rFonts w:ascii="Times New Roman" w:eastAsia="Times New Roman" w:hAnsi="Times New Roman" w:cs="Times New Roman"/>
          <w:b/>
          <w:bCs/>
          <w:kern w:val="0"/>
          <w:sz w:val="28"/>
          <w:szCs w:val="28"/>
          <w:lang w:eastAsia="pt-PT"/>
          <w14:ligatures w14:val="none"/>
        </w:rPr>
        <w:t>Referências bibliográficas sugeridas</w:t>
      </w:r>
    </w:p>
    <w:p w14:paraId="1AD4EAD6"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val="en-GB" w:eastAsia="pt-PT"/>
          <w14:ligatures w14:val="none"/>
        </w:rPr>
      </w:pPr>
      <w:r w:rsidRPr="00B86D6C">
        <w:rPr>
          <w:rFonts w:ascii="Times New Roman" w:eastAsia="Times New Roman" w:hAnsi="Times New Roman" w:cs="Times New Roman"/>
          <w:kern w:val="0"/>
          <w:lang w:eastAsia="pt-PT"/>
          <w14:ligatures w14:val="none"/>
        </w:rPr>
        <w:t xml:space="preserve">Ahn, T. (2015). </w:t>
      </w:r>
      <w:r w:rsidRPr="00B86D6C">
        <w:rPr>
          <w:rFonts w:ascii="Times New Roman" w:eastAsia="Times New Roman" w:hAnsi="Times New Roman" w:cs="Times New Roman"/>
          <w:i/>
          <w:iCs/>
          <w:kern w:val="0"/>
          <w:lang w:val="en-GB" w:eastAsia="pt-PT"/>
          <w14:ligatures w14:val="none"/>
        </w:rPr>
        <w:t>Matching strategies of teachers and schools in general equilibrium</w:t>
      </w:r>
      <w:r w:rsidRPr="00B86D6C">
        <w:rPr>
          <w:rFonts w:ascii="Times New Roman" w:eastAsia="Times New Roman" w:hAnsi="Times New Roman" w:cs="Times New Roman"/>
          <w:kern w:val="0"/>
          <w:lang w:val="en-GB" w:eastAsia="pt-PT"/>
          <w14:ligatures w14:val="none"/>
        </w:rPr>
        <w:t xml:space="preserve">. </w:t>
      </w:r>
      <w:r w:rsidRPr="00B86D6C">
        <w:rPr>
          <w:rFonts w:ascii="Times New Roman" w:eastAsia="Times New Roman" w:hAnsi="Times New Roman" w:cs="Times New Roman"/>
          <w:b/>
          <w:bCs/>
          <w:kern w:val="0"/>
          <w:lang w:val="en-GB" w:eastAsia="pt-PT"/>
          <w14:ligatures w14:val="none"/>
        </w:rPr>
        <w:t>IZA Journal of Labor Economics, 4</w:t>
      </w:r>
      <w:r w:rsidRPr="00B86D6C">
        <w:rPr>
          <w:rFonts w:ascii="Times New Roman" w:eastAsia="Times New Roman" w:hAnsi="Times New Roman" w:cs="Times New Roman"/>
          <w:kern w:val="0"/>
          <w:lang w:val="en-GB" w:eastAsia="pt-PT"/>
          <w14:ligatures w14:val="none"/>
        </w:rPr>
        <w:t xml:space="preserve">, 5. DOI: 10.1186/s40172-015-0020-x. </w:t>
      </w:r>
    </w:p>
    <w:p w14:paraId="7541D9B9"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val="en-GB" w:eastAsia="pt-PT"/>
          <w14:ligatures w14:val="none"/>
        </w:rPr>
      </w:pPr>
      <w:r w:rsidRPr="00B86D6C">
        <w:rPr>
          <w:rFonts w:ascii="Times New Roman" w:eastAsia="Times New Roman" w:hAnsi="Times New Roman" w:cs="Times New Roman"/>
          <w:kern w:val="0"/>
          <w:lang w:val="en-GB" w:eastAsia="pt-PT"/>
          <w14:ligatures w14:val="none"/>
        </w:rPr>
        <w:t xml:space="preserve">Boyd, D., Grossman, P., Ing, M., Lankford, H., Loeb, S., &amp; Wyckoff, J. (2011). </w:t>
      </w:r>
      <w:r w:rsidRPr="00B86D6C">
        <w:rPr>
          <w:rFonts w:ascii="Times New Roman" w:eastAsia="Times New Roman" w:hAnsi="Times New Roman" w:cs="Times New Roman"/>
          <w:i/>
          <w:iCs/>
          <w:kern w:val="0"/>
          <w:lang w:val="en-GB" w:eastAsia="pt-PT"/>
          <w14:ligatures w14:val="none"/>
        </w:rPr>
        <w:t>The influence of school administrators on teacher retention decisions</w:t>
      </w:r>
      <w:r w:rsidRPr="00B86D6C">
        <w:rPr>
          <w:rFonts w:ascii="Times New Roman" w:eastAsia="Times New Roman" w:hAnsi="Times New Roman" w:cs="Times New Roman"/>
          <w:kern w:val="0"/>
          <w:lang w:val="en-GB" w:eastAsia="pt-PT"/>
          <w14:ligatures w14:val="none"/>
        </w:rPr>
        <w:t xml:space="preserve">. </w:t>
      </w:r>
      <w:r w:rsidRPr="00B86D6C">
        <w:rPr>
          <w:rFonts w:ascii="Times New Roman" w:eastAsia="Times New Roman" w:hAnsi="Times New Roman" w:cs="Times New Roman"/>
          <w:b/>
          <w:bCs/>
          <w:kern w:val="0"/>
          <w:lang w:val="en-GB" w:eastAsia="pt-PT"/>
          <w14:ligatures w14:val="none"/>
        </w:rPr>
        <w:t>American Educational Research Journal, 48</w:t>
      </w:r>
      <w:r w:rsidRPr="00B86D6C">
        <w:rPr>
          <w:rFonts w:ascii="Times New Roman" w:eastAsia="Times New Roman" w:hAnsi="Times New Roman" w:cs="Times New Roman"/>
          <w:kern w:val="0"/>
          <w:lang w:val="en-GB" w:eastAsia="pt-PT"/>
          <w14:ligatures w14:val="none"/>
        </w:rPr>
        <w:t xml:space="preserve">(2), 303–333. DOI: 10.3102/0002831210380788. </w:t>
      </w:r>
    </w:p>
    <w:p w14:paraId="7A4A8112"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val="en-GB" w:eastAsia="pt-PT"/>
          <w14:ligatures w14:val="none"/>
        </w:rPr>
      </w:pPr>
      <w:r w:rsidRPr="00B86D6C">
        <w:rPr>
          <w:rFonts w:ascii="Times New Roman" w:eastAsia="Times New Roman" w:hAnsi="Times New Roman" w:cs="Times New Roman"/>
          <w:kern w:val="0"/>
          <w:lang w:val="en-GB" w:eastAsia="pt-PT"/>
          <w14:ligatures w14:val="none"/>
        </w:rPr>
        <w:t xml:space="preserve">Boyd, D., Lankford, H., Loeb, S., &amp; Wyckoff, J. (2013). </w:t>
      </w:r>
      <w:r w:rsidRPr="00B86D6C">
        <w:rPr>
          <w:rFonts w:ascii="Times New Roman" w:eastAsia="Times New Roman" w:hAnsi="Times New Roman" w:cs="Times New Roman"/>
          <w:i/>
          <w:iCs/>
          <w:kern w:val="0"/>
          <w:lang w:val="en-GB" w:eastAsia="pt-PT"/>
          <w14:ligatures w14:val="none"/>
        </w:rPr>
        <w:t>Analyzing the determinants of the matching of public school teachers to jobs: Disentangling the preferences of teachers and employers</w:t>
      </w:r>
      <w:r w:rsidRPr="00B86D6C">
        <w:rPr>
          <w:rFonts w:ascii="Times New Roman" w:eastAsia="Times New Roman" w:hAnsi="Times New Roman" w:cs="Times New Roman"/>
          <w:kern w:val="0"/>
          <w:lang w:val="en-GB" w:eastAsia="pt-PT"/>
          <w14:ligatures w14:val="none"/>
        </w:rPr>
        <w:t xml:space="preserve">. </w:t>
      </w:r>
      <w:r w:rsidRPr="00B86D6C">
        <w:rPr>
          <w:rFonts w:ascii="Times New Roman" w:eastAsia="Times New Roman" w:hAnsi="Times New Roman" w:cs="Times New Roman"/>
          <w:b/>
          <w:bCs/>
          <w:kern w:val="0"/>
          <w:lang w:val="en-GB" w:eastAsia="pt-PT"/>
          <w14:ligatures w14:val="none"/>
        </w:rPr>
        <w:t>Journal of Labor Economics, 31</w:t>
      </w:r>
      <w:r w:rsidRPr="00B86D6C">
        <w:rPr>
          <w:rFonts w:ascii="Times New Roman" w:eastAsia="Times New Roman" w:hAnsi="Times New Roman" w:cs="Times New Roman"/>
          <w:kern w:val="0"/>
          <w:lang w:val="en-GB" w:eastAsia="pt-PT"/>
          <w14:ligatures w14:val="none"/>
        </w:rPr>
        <w:t xml:space="preserve">(1). DOI: 10.1086/666725. </w:t>
      </w:r>
    </w:p>
    <w:p w14:paraId="17467AEA"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val="en-GB" w:eastAsia="pt-PT"/>
          <w14:ligatures w14:val="none"/>
        </w:rPr>
      </w:pPr>
      <w:r w:rsidRPr="00B86D6C">
        <w:rPr>
          <w:rFonts w:ascii="Times New Roman" w:eastAsia="Times New Roman" w:hAnsi="Times New Roman" w:cs="Times New Roman"/>
          <w:kern w:val="0"/>
          <w:lang w:val="en-GB" w:eastAsia="pt-PT"/>
          <w14:ligatures w14:val="none"/>
        </w:rPr>
        <w:t xml:space="preserve">Combe, J., Tercieux, O., &amp; Terrier, C. (2022). </w:t>
      </w:r>
      <w:r w:rsidRPr="00B86D6C">
        <w:rPr>
          <w:rFonts w:ascii="Times New Roman" w:eastAsia="Times New Roman" w:hAnsi="Times New Roman" w:cs="Times New Roman"/>
          <w:i/>
          <w:iCs/>
          <w:kern w:val="0"/>
          <w:lang w:val="en-GB" w:eastAsia="pt-PT"/>
          <w14:ligatures w14:val="none"/>
        </w:rPr>
        <w:t>The design of teacher assignment: Theory and evidence</w:t>
      </w:r>
      <w:r w:rsidRPr="00B86D6C">
        <w:rPr>
          <w:rFonts w:ascii="Times New Roman" w:eastAsia="Times New Roman" w:hAnsi="Times New Roman" w:cs="Times New Roman"/>
          <w:kern w:val="0"/>
          <w:lang w:val="en-GB" w:eastAsia="pt-PT"/>
          <w14:ligatures w14:val="none"/>
        </w:rPr>
        <w:t xml:space="preserve">. </w:t>
      </w:r>
      <w:r w:rsidRPr="00B86D6C">
        <w:rPr>
          <w:rFonts w:ascii="Times New Roman" w:eastAsia="Times New Roman" w:hAnsi="Times New Roman" w:cs="Times New Roman"/>
          <w:b/>
          <w:bCs/>
          <w:kern w:val="0"/>
          <w:lang w:val="en-GB" w:eastAsia="pt-PT"/>
          <w14:ligatures w14:val="none"/>
        </w:rPr>
        <w:t>The Review of Economic Studies, 89</w:t>
      </w:r>
      <w:r w:rsidRPr="00B86D6C">
        <w:rPr>
          <w:rFonts w:ascii="Times New Roman" w:eastAsia="Times New Roman" w:hAnsi="Times New Roman" w:cs="Times New Roman"/>
          <w:kern w:val="0"/>
          <w:lang w:val="en-GB" w:eastAsia="pt-PT"/>
          <w14:ligatures w14:val="none"/>
        </w:rPr>
        <w:t xml:space="preserve">(6), 3154–3222. DOI: 10.1093/restud/rdac002. </w:t>
      </w:r>
    </w:p>
    <w:p w14:paraId="05E621BA"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val="en-GB" w:eastAsia="pt-PT"/>
          <w14:ligatures w14:val="none"/>
        </w:rPr>
      </w:pPr>
      <w:r w:rsidRPr="00B86D6C">
        <w:rPr>
          <w:rFonts w:ascii="Times New Roman" w:eastAsia="Times New Roman" w:hAnsi="Times New Roman" w:cs="Times New Roman"/>
          <w:kern w:val="0"/>
          <w:lang w:val="en-GB" w:eastAsia="pt-PT"/>
          <w14:ligatures w14:val="none"/>
        </w:rPr>
        <w:t xml:space="preserve">Feng, L. (2009). </w:t>
      </w:r>
      <w:r w:rsidRPr="00B86D6C">
        <w:rPr>
          <w:rFonts w:ascii="Times New Roman" w:eastAsia="Times New Roman" w:hAnsi="Times New Roman" w:cs="Times New Roman"/>
          <w:i/>
          <w:iCs/>
          <w:kern w:val="0"/>
          <w:lang w:val="en-GB" w:eastAsia="pt-PT"/>
          <w14:ligatures w14:val="none"/>
        </w:rPr>
        <w:t>Opportunity wages, classroom characteristics, and teacher mobility</w:t>
      </w:r>
      <w:r w:rsidRPr="00B86D6C">
        <w:rPr>
          <w:rFonts w:ascii="Times New Roman" w:eastAsia="Times New Roman" w:hAnsi="Times New Roman" w:cs="Times New Roman"/>
          <w:kern w:val="0"/>
          <w:lang w:val="en-GB" w:eastAsia="pt-PT"/>
          <w14:ligatures w14:val="none"/>
        </w:rPr>
        <w:t xml:space="preserve">. </w:t>
      </w:r>
      <w:r w:rsidRPr="00B86D6C">
        <w:rPr>
          <w:rFonts w:ascii="Times New Roman" w:eastAsia="Times New Roman" w:hAnsi="Times New Roman" w:cs="Times New Roman"/>
          <w:b/>
          <w:bCs/>
          <w:kern w:val="0"/>
          <w:lang w:val="en-GB" w:eastAsia="pt-PT"/>
          <w14:ligatures w14:val="none"/>
        </w:rPr>
        <w:t>Southern Economic Journal</w:t>
      </w:r>
      <w:r w:rsidRPr="00B86D6C">
        <w:rPr>
          <w:rFonts w:ascii="Times New Roman" w:eastAsia="Times New Roman" w:hAnsi="Times New Roman" w:cs="Times New Roman"/>
          <w:kern w:val="0"/>
          <w:lang w:val="en-GB" w:eastAsia="pt-PT"/>
          <w14:ligatures w14:val="none"/>
        </w:rPr>
        <w:t xml:space="preserve">. DOI: 10.1002/j.2325-8012.2009.tb00952.x. </w:t>
      </w:r>
    </w:p>
    <w:p w14:paraId="68A89151"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val="en-GB" w:eastAsia="pt-PT"/>
          <w14:ligatures w14:val="none"/>
        </w:rPr>
      </w:pPr>
      <w:r w:rsidRPr="00B86D6C">
        <w:rPr>
          <w:rFonts w:ascii="Times New Roman" w:eastAsia="Times New Roman" w:hAnsi="Times New Roman" w:cs="Times New Roman"/>
          <w:kern w:val="0"/>
          <w:lang w:val="en-GB" w:eastAsia="pt-PT"/>
          <w14:ligatures w14:val="none"/>
        </w:rPr>
        <w:t xml:space="preserve">Feng, L. (2014). </w:t>
      </w:r>
      <w:r w:rsidRPr="00B86D6C">
        <w:rPr>
          <w:rFonts w:ascii="Times New Roman" w:eastAsia="Times New Roman" w:hAnsi="Times New Roman" w:cs="Times New Roman"/>
          <w:i/>
          <w:iCs/>
          <w:kern w:val="0"/>
          <w:lang w:val="en-GB" w:eastAsia="pt-PT"/>
          <w14:ligatures w14:val="none"/>
        </w:rPr>
        <w:t>Teacher placement, mobility, and occupational choices after teaching</w:t>
      </w:r>
      <w:r w:rsidRPr="00B86D6C">
        <w:rPr>
          <w:rFonts w:ascii="Times New Roman" w:eastAsia="Times New Roman" w:hAnsi="Times New Roman" w:cs="Times New Roman"/>
          <w:kern w:val="0"/>
          <w:lang w:val="en-GB" w:eastAsia="pt-PT"/>
          <w14:ligatures w14:val="none"/>
        </w:rPr>
        <w:t xml:space="preserve">. </w:t>
      </w:r>
      <w:r w:rsidRPr="00B86D6C">
        <w:rPr>
          <w:rFonts w:ascii="Times New Roman" w:eastAsia="Times New Roman" w:hAnsi="Times New Roman" w:cs="Times New Roman"/>
          <w:b/>
          <w:bCs/>
          <w:kern w:val="0"/>
          <w:lang w:val="en-GB" w:eastAsia="pt-PT"/>
          <w14:ligatures w14:val="none"/>
        </w:rPr>
        <w:t>Education Economics, 22</w:t>
      </w:r>
      <w:r w:rsidRPr="00B86D6C">
        <w:rPr>
          <w:rFonts w:ascii="Times New Roman" w:eastAsia="Times New Roman" w:hAnsi="Times New Roman" w:cs="Times New Roman"/>
          <w:kern w:val="0"/>
          <w:lang w:val="en-GB" w:eastAsia="pt-PT"/>
          <w14:ligatures w14:val="none"/>
        </w:rPr>
        <w:t xml:space="preserve">(1), 24–47. DOI: 10.1080/09645292.2010.511841. </w:t>
      </w:r>
    </w:p>
    <w:p w14:paraId="25DBCBD6"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val="en-GB" w:eastAsia="pt-PT"/>
          <w14:ligatures w14:val="none"/>
        </w:rPr>
      </w:pPr>
      <w:r w:rsidRPr="00B86D6C">
        <w:rPr>
          <w:rFonts w:ascii="Times New Roman" w:eastAsia="Times New Roman" w:hAnsi="Times New Roman" w:cs="Times New Roman"/>
          <w:kern w:val="0"/>
          <w:lang w:val="en-GB" w:eastAsia="pt-PT"/>
          <w14:ligatures w14:val="none"/>
        </w:rPr>
        <w:t xml:space="preserve">Hevner, A. R., March, S. T., Park, J., &amp; Ram, S. (2004). </w:t>
      </w:r>
      <w:r w:rsidRPr="00B86D6C">
        <w:rPr>
          <w:rFonts w:ascii="Times New Roman" w:eastAsia="Times New Roman" w:hAnsi="Times New Roman" w:cs="Times New Roman"/>
          <w:i/>
          <w:iCs/>
          <w:kern w:val="0"/>
          <w:lang w:val="en-GB" w:eastAsia="pt-PT"/>
          <w14:ligatures w14:val="none"/>
        </w:rPr>
        <w:t>Design science in information systems research</w:t>
      </w:r>
      <w:r w:rsidRPr="00B86D6C">
        <w:rPr>
          <w:rFonts w:ascii="Times New Roman" w:eastAsia="Times New Roman" w:hAnsi="Times New Roman" w:cs="Times New Roman"/>
          <w:kern w:val="0"/>
          <w:lang w:val="en-GB" w:eastAsia="pt-PT"/>
          <w14:ligatures w14:val="none"/>
        </w:rPr>
        <w:t xml:space="preserve">. </w:t>
      </w:r>
      <w:r w:rsidRPr="00B86D6C">
        <w:rPr>
          <w:rFonts w:ascii="Times New Roman" w:eastAsia="Times New Roman" w:hAnsi="Times New Roman" w:cs="Times New Roman"/>
          <w:b/>
          <w:bCs/>
          <w:kern w:val="0"/>
          <w:lang w:val="en-GB" w:eastAsia="pt-PT"/>
          <w14:ligatures w14:val="none"/>
        </w:rPr>
        <w:t>MIS Quarterly, 28</w:t>
      </w:r>
      <w:r w:rsidRPr="00B86D6C">
        <w:rPr>
          <w:rFonts w:ascii="Times New Roman" w:eastAsia="Times New Roman" w:hAnsi="Times New Roman" w:cs="Times New Roman"/>
          <w:kern w:val="0"/>
          <w:lang w:val="en-GB" w:eastAsia="pt-PT"/>
          <w14:ligatures w14:val="none"/>
        </w:rPr>
        <w:t xml:space="preserve">(1), 75–105. DOI: 10.2307/25148625. </w:t>
      </w:r>
    </w:p>
    <w:p w14:paraId="7C278A6F"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val="en-GB" w:eastAsia="pt-PT"/>
          <w14:ligatures w14:val="none"/>
        </w:rPr>
      </w:pPr>
      <w:r w:rsidRPr="00B86D6C">
        <w:rPr>
          <w:rFonts w:ascii="Times New Roman" w:eastAsia="Times New Roman" w:hAnsi="Times New Roman" w:cs="Times New Roman"/>
          <w:kern w:val="0"/>
          <w:lang w:val="en-GB" w:eastAsia="pt-PT"/>
          <w14:ligatures w14:val="none"/>
        </w:rPr>
        <w:t xml:space="preserve">Ingersoll, R. M. (2001). </w:t>
      </w:r>
      <w:r w:rsidRPr="00B86D6C">
        <w:rPr>
          <w:rFonts w:ascii="Times New Roman" w:eastAsia="Times New Roman" w:hAnsi="Times New Roman" w:cs="Times New Roman"/>
          <w:i/>
          <w:iCs/>
          <w:kern w:val="0"/>
          <w:lang w:val="en-GB" w:eastAsia="pt-PT"/>
          <w14:ligatures w14:val="none"/>
        </w:rPr>
        <w:t>Teacher turnover and teacher shortages: An organizational analysis</w:t>
      </w:r>
      <w:r w:rsidRPr="00B86D6C">
        <w:rPr>
          <w:rFonts w:ascii="Times New Roman" w:eastAsia="Times New Roman" w:hAnsi="Times New Roman" w:cs="Times New Roman"/>
          <w:kern w:val="0"/>
          <w:lang w:val="en-GB" w:eastAsia="pt-PT"/>
          <w14:ligatures w14:val="none"/>
        </w:rPr>
        <w:t xml:space="preserve">. </w:t>
      </w:r>
      <w:r w:rsidRPr="00B86D6C">
        <w:rPr>
          <w:rFonts w:ascii="Times New Roman" w:eastAsia="Times New Roman" w:hAnsi="Times New Roman" w:cs="Times New Roman"/>
          <w:b/>
          <w:bCs/>
          <w:kern w:val="0"/>
          <w:lang w:val="en-GB" w:eastAsia="pt-PT"/>
          <w14:ligatures w14:val="none"/>
        </w:rPr>
        <w:t>American Educational Research Journal, 38</w:t>
      </w:r>
      <w:r w:rsidRPr="00B86D6C">
        <w:rPr>
          <w:rFonts w:ascii="Times New Roman" w:eastAsia="Times New Roman" w:hAnsi="Times New Roman" w:cs="Times New Roman"/>
          <w:kern w:val="0"/>
          <w:lang w:val="en-GB" w:eastAsia="pt-PT"/>
          <w14:ligatures w14:val="none"/>
        </w:rPr>
        <w:t xml:space="preserve">(3), 499–534. DOI: 10.3102/00028312038003499. </w:t>
      </w:r>
    </w:p>
    <w:p w14:paraId="13F6BF49"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val="en-GB" w:eastAsia="pt-PT"/>
          <w14:ligatures w14:val="none"/>
        </w:rPr>
      </w:pPr>
      <w:r w:rsidRPr="00B86D6C">
        <w:rPr>
          <w:rFonts w:ascii="Times New Roman" w:eastAsia="Times New Roman" w:hAnsi="Times New Roman" w:cs="Times New Roman"/>
          <w:kern w:val="0"/>
          <w:lang w:val="en-GB" w:eastAsia="pt-PT"/>
          <w14:ligatures w14:val="none"/>
        </w:rPr>
        <w:lastRenderedPageBreak/>
        <w:t xml:space="preserve">McFarland, D. A. (2006). </w:t>
      </w:r>
      <w:r w:rsidRPr="00B86D6C">
        <w:rPr>
          <w:rFonts w:ascii="Times New Roman" w:eastAsia="Times New Roman" w:hAnsi="Times New Roman" w:cs="Times New Roman"/>
          <w:i/>
          <w:iCs/>
          <w:kern w:val="0"/>
          <w:lang w:val="en-GB" w:eastAsia="pt-PT"/>
          <w14:ligatures w14:val="none"/>
        </w:rPr>
        <w:t>Curricular flows: Trajectories, turning points, and assignment criteria in high school math careers</w:t>
      </w:r>
      <w:r w:rsidRPr="00B86D6C">
        <w:rPr>
          <w:rFonts w:ascii="Times New Roman" w:eastAsia="Times New Roman" w:hAnsi="Times New Roman" w:cs="Times New Roman"/>
          <w:kern w:val="0"/>
          <w:lang w:val="en-GB" w:eastAsia="pt-PT"/>
          <w14:ligatures w14:val="none"/>
        </w:rPr>
        <w:t xml:space="preserve">. </w:t>
      </w:r>
      <w:r w:rsidRPr="00B86D6C">
        <w:rPr>
          <w:rFonts w:ascii="Times New Roman" w:eastAsia="Times New Roman" w:hAnsi="Times New Roman" w:cs="Times New Roman"/>
          <w:b/>
          <w:bCs/>
          <w:kern w:val="0"/>
          <w:lang w:val="en-GB" w:eastAsia="pt-PT"/>
          <w14:ligatures w14:val="none"/>
        </w:rPr>
        <w:t>Sociology of Education, 79</w:t>
      </w:r>
      <w:r w:rsidRPr="00B86D6C">
        <w:rPr>
          <w:rFonts w:ascii="Times New Roman" w:eastAsia="Times New Roman" w:hAnsi="Times New Roman" w:cs="Times New Roman"/>
          <w:kern w:val="0"/>
          <w:lang w:val="en-GB" w:eastAsia="pt-PT"/>
          <w14:ligatures w14:val="none"/>
        </w:rPr>
        <w:t xml:space="preserve">(3). DOI: 10.1177/003804070607900301. </w:t>
      </w:r>
    </w:p>
    <w:p w14:paraId="7C1509D7"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val="en-GB" w:eastAsia="pt-PT"/>
          <w14:ligatures w14:val="none"/>
        </w:rPr>
      </w:pPr>
      <w:r w:rsidRPr="00B86D6C">
        <w:rPr>
          <w:rFonts w:ascii="Times New Roman" w:eastAsia="Times New Roman" w:hAnsi="Times New Roman" w:cs="Times New Roman"/>
          <w:kern w:val="0"/>
          <w:lang w:val="en-GB" w:eastAsia="pt-PT"/>
          <w14:ligatures w14:val="none"/>
        </w:rPr>
        <w:t xml:space="preserve">Reininger, M. (2012). </w:t>
      </w:r>
      <w:r w:rsidRPr="00B86D6C">
        <w:rPr>
          <w:rFonts w:ascii="Times New Roman" w:eastAsia="Times New Roman" w:hAnsi="Times New Roman" w:cs="Times New Roman"/>
          <w:i/>
          <w:iCs/>
          <w:kern w:val="0"/>
          <w:lang w:val="en-GB" w:eastAsia="pt-PT"/>
          <w14:ligatures w14:val="none"/>
        </w:rPr>
        <w:t>Hometown disadvantage? It depends on where you're from: Teachers' location preferences and the implications for staffing schools</w:t>
      </w:r>
      <w:r w:rsidRPr="00B86D6C">
        <w:rPr>
          <w:rFonts w:ascii="Times New Roman" w:eastAsia="Times New Roman" w:hAnsi="Times New Roman" w:cs="Times New Roman"/>
          <w:kern w:val="0"/>
          <w:lang w:val="en-GB" w:eastAsia="pt-PT"/>
          <w14:ligatures w14:val="none"/>
        </w:rPr>
        <w:t xml:space="preserve">. </w:t>
      </w:r>
      <w:r w:rsidRPr="00B86D6C">
        <w:rPr>
          <w:rFonts w:ascii="Times New Roman" w:eastAsia="Times New Roman" w:hAnsi="Times New Roman" w:cs="Times New Roman"/>
          <w:b/>
          <w:bCs/>
          <w:kern w:val="0"/>
          <w:lang w:val="en-GB" w:eastAsia="pt-PT"/>
          <w14:ligatures w14:val="none"/>
        </w:rPr>
        <w:t>Educational Evaluation and Policy Analysis, 34</w:t>
      </w:r>
      <w:r w:rsidRPr="00B86D6C">
        <w:rPr>
          <w:rFonts w:ascii="Times New Roman" w:eastAsia="Times New Roman" w:hAnsi="Times New Roman" w:cs="Times New Roman"/>
          <w:kern w:val="0"/>
          <w:lang w:val="en-GB" w:eastAsia="pt-PT"/>
          <w14:ligatures w14:val="none"/>
        </w:rPr>
        <w:t xml:space="preserve">(2). DOI: 10.3102/0162373711420864. </w:t>
      </w:r>
    </w:p>
    <w:p w14:paraId="4E277165" w14:textId="77777777" w:rsidR="00513847" w:rsidRPr="00B86D6C" w:rsidRDefault="00513847" w:rsidP="00B86D6C">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B86D6C">
        <w:rPr>
          <w:rFonts w:ascii="Times New Roman" w:eastAsia="Times New Roman" w:hAnsi="Times New Roman" w:cs="Times New Roman"/>
          <w:kern w:val="0"/>
          <w:lang w:val="en-GB" w:eastAsia="pt-PT"/>
          <w14:ligatures w14:val="none"/>
        </w:rPr>
        <w:t xml:space="preserve">Ronfeldt, M., Loeb, S., &amp; Wyckoff, J. (2013). </w:t>
      </w:r>
      <w:r w:rsidRPr="00B86D6C">
        <w:rPr>
          <w:rFonts w:ascii="Times New Roman" w:eastAsia="Times New Roman" w:hAnsi="Times New Roman" w:cs="Times New Roman"/>
          <w:i/>
          <w:iCs/>
          <w:kern w:val="0"/>
          <w:lang w:val="en-GB" w:eastAsia="pt-PT"/>
          <w14:ligatures w14:val="none"/>
        </w:rPr>
        <w:t>How teacher turnover harms student achievement</w:t>
      </w:r>
      <w:r w:rsidRPr="00B86D6C">
        <w:rPr>
          <w:rFonts w:ascii="Times New Roman" w:eastAsia="Times New Roman" w:hAnsi="Times New Roman" w:cs="Times New Roman"/>
          <w:kern w:val="0"/>
          <w:lang w:val="en-GB" w:eastAsia="pt-PT"/>
          <w14:ligatures w14:val="none"/>
        </w:rPr>
        <w:t xml:space="preserve">. </w:t>
      </w:r>
      <w:r w:rsidRPr="00B86D6C">
        <w:rPr>
          <w:rFonts w:ascii="Times New Roman" w:eastAsia="Times New Roman" w:hAnsi="Times New Roman" w:cs="Times New Roman"/>
          <w:b/>
          <w:bCs/>
          <w:kern w:val="0"/>
          <w:lang w:eastAsia="pt-PT"/>
          <w14:ligatures w14:val="none"/>
        </w:rPr>
        <w:t>American Educational Research Journal, 50</w:t>
      </w:r>
      <w:r w:rsidRPr="00B86D6C">
        <w:rPr>
          <w:rFonts w:ascii="Times New Roman" w:eastAsia="Times New Roman" w:hAnsi="Times New Roman" w:cs="Times New Roman"/>
          <w:kern w:val="0"/>
          <w:lang w:eastAsia="pt-PT"/>
          <w14:ligatures w14:val="none"/>
        </w:rPr>
        <w:t xml:space="preserve">(1), 4–36. DOI: 10.3102/0002831212463813. </w:t>
      </w:r>
    </w:p>
    <w:p w14:paraId="7B2B1C36" w14:textId="77777777" w:rsidR="00251CAA" w:rsidRDefault="00251CAA" w:rsidP="00B86D6C">
      <w:pPr>
        <w:spacing w:before="100" w:beforeAutospacing="1" w:after="100" w:afterAutospacing="1" w:line="240" w:lineRule="auto"/>
        <w:jc w:val="both"/>
        <w:outlineLvl w:val="2"/>
        <w:rPr>
          <w:rFonts w:ascii="Times New Roman" w:eastAsia="Times New Roman" w:hAnsi="Times New Roman" w:cs="Times New Roman"/>
          <w:kern w:val="0"/>
          <w:lang w:eastAsia="pt-PT"/>
          <w14:ligatures w14:val="none"/>
        </w:rPr>
      </w:pPr>
    </w:p>
    <w:p w14:paraId="10BA92A5" w14:textId="1AA62EDB" w:rsidR="001F6D9C" w:rsidRPr="001F6D9C" w:rsidRDefault="001F6D9C" w:rsidP="001F6D9C">
      <w:pPr>
        <w:pStyle w:val="NoSpacing"/>
        <w:spacing w:line="360" w:lineRule="auto"/>
        <w:rPr>
          <w:rFonts w:ascii="Times New Roman" w:hAnsi="Times New Roman" w:cs="Times New Roman"/>
          <w:b/>
          <w:bCs/>
          <w:sz w:val="32"/>
          <w:szCs w:val="32"/>
          <w:lang w:eastAsia="pt-PT"/>
        </w:rPr>
      </w:pPr>
      <w:r w:rsidRPr="001F6D9C">
        <w:rPr>
          <w:rFonts w:ascii="Times New Roman" w:hAnsi="Times New Roman" w:cs="Times New Roman"/>
          <w:b/>
          <w:bCs/>
          <w:sz w:val="32"/>
          <w:szCs w:val="32"/>
          <w:lang w:eastAsia="pt-PT"/>
        </w:rPr>
        <w:t>Versão do documento e citação recomendada</w:t>
      </w:r>
      <w:r w:rsidRPr="001F6D9C">
        <w:rPr>
          <w:rFonts w:ascii="Times New Roman" w:hAnsi="Times New Roman" w:cs="Times New Roman"/>
          <w:b/>
          <w:bCs/>
          <w:sz w:val="32"/>
          <w:szCs w:val="32"/>
          <w:lang w:eastAsia="pt-PT"/>
        </w:rPr>
        <w:t>:</w:t>
      </w:r>
    </w:p>
    <w:p w14:paraId="6BC6AB68" w14:textId="77777777" w:rsidR="001F6D9C" w:rsidRPr="001F6D9C" w:rsidRDefault="001F6D9C" w:rsidP="001F6D9C">
      <w:pPr>
        <w:pStyle w:val="NoSpacing"/>
        <w:rPr>
          <w:rFonts w:ascii="Times New Roman" w:hAnsi="Times New Roman" w:cs="Times New Roman"/>
        </w:rPr>
      </w:pPr>
      <w:r w:rsidRPr="001F6D9C">
        <w:rPr>
          <w:rStyle w:val="Strong"/>
          <w:rFonts w:ascii="Times New Roman" w:hAnsi="Times New Roman" w:cs="Times New Roman"/>
        </w:rPr>
        <w:t>Versão metodológica:</w:t>
      </w:r>
      <w:r w:rsidRPr="001F6D9C">
        <w:rPr>
          <w:rFonts w:ascii="Times New Roman" w:hAnsi="Times New Roman" w:cs="Times New Roman"/>
        </w:rPr>
        <w:t xml:space="preserve"> 2.0 — agosto de 2026</w:t>
      </w:r>
    </w:p>
    <w:p w14:paraId="14088C89" w14:textId="3FD1B983" w:rsidR="001F6D9C" w:rsidRPr="001F6D9C" w:rsidRDefault="001F6D9C" w:rsidP="001F6D9C">
      <w:pPr>
        <w:pStyle w:val="NoSpacing"/>
        <w:rPr>
          <w:rFonts w:ascii="Times New Roman" w:hAnsi="Times New Roman" w:cs="Times New Roman"/>
        </w:rPr>
      </w:pPr>
      <w:r w:rsidRPr="001F6D9C">
        <w:rPr>
          <w:rStyle w:val="Strong"/>
          <w:rFonts w:ascii="Times New Roman" w:hAnsi="Times New Roman" w:cs="Times New Roman"/>
        </w:rPr>
        <w:t>Aplicação associada:</w:t>
      </w:r>
      <w:r w:rsidRPr="001F6D9C">
        <w:rPr>
          <w:rFonts w:ascii="Times New Roman" w:hAnsi="Times New Roman" w:cs="Times New Roman"/>
        </w:rPr>
        <w:t xml:space="preserve"> v6 — Consulta Descritiva</w:t>
      </w:r>
    </w:p>
    <w:p w14:paraId="27042914" w14:textId="63BA9116" w:rsidR="001F6D9C" w:rsidRPr="001F6D9C" w:rsidRDefault="001F6D9C" w:rsidP="001F6D9C">
      <w:pPr>
        <w:pStyle w:val="NoSpacing"/>
        <w:rPr>
          <w:rFonts w:ascii="Times New Roman" w:hAnsi="Times New Roman" w:cs="Times New Roman"/>
        </w:rPr>
      </w:pPr>
      <w:r w:rsidRPr="001F6D9C">
        <w:rPr>
          <w:rStyle w:val="Strong"/>
          <w:rFonts w:ascii="Times New Roman" w:hAnsi="Times New Roman" w:cs="Times New Roman"/>
        </w:rPr>
        <w:t>Citação recomendada:</w:t>
      </w:r>
      <w:r>
        <w:rPr>
          <w:rFonts w:ascii="Times New Roman" w:hAnsi="Times New Roman" w:cs="Times New Roman"/>
        </w:rPr>
        <w:t xml:space="preserve"> </w:t>
      </w:r>
      <w:r w:rsidRPr="001F6D9C">
        <w:rPr>
          <w:rFonts w:ascii="Times New Roman" w:hAnsi="Times New Roman" w:cs="Times New Roman"/>
        </w:rPr>
        <w:t xml:space="preserve">Fernandes, M. P., &amp; Serra, P. (2026). </w:t>
      </w:r>
      <w:r w:rsidRPr="001F6D9C">
        <w:rPr>
          <w:rStyle w:val="Emphasis"/>
          <w:rFonts w:ascii="Times New Roman" w:hAnsi="Times New Roman" w:cs="Times New Roman"/>
        </w:rPr>
        <w:t>Observatório Estatístico e Longitudinal da Mobilidade Docente: versão pública v6 — Consulta Descritiva</w:t>
      </w:r>
      <w:r w:rsidRPr="001F6D9C">
        <w:rPr>
          <w:rFonts w:ascii="Times New Roman" w:hAnsi="Times New Roman" w:cs="Times New Roman"/>
        </w:rPr>
        <w:t xml:space="preserve"> [</w:t>
      </w:r>
      <w:hyperlink r:id="rId5" w:history="1">
        <w:r w:rsidRPr="001F6D9C">
          <w:rPr>
            <w:rStyle w:val="Hyperlink"/>
            <w:rFonts w:ascii="Times New Roman" w:hAnsi="Times New Roman" w:cs="Times New Roman"/>
          </w:rPr>
          <w:t>Aplicação web</w:t>
        </w:r>
      </w:hyperlink>
      <w:r w:rsidRPr="001F6D9C">
        <w:rPr>
          <w:rFonts w:ascii="Times New Roman" w:hAnsi="Times New Roman" w:cs="Times New Roman"/>
        </w:rPr>
        <w:t>].</w:t>
      </w:r>
    </w:p>
    <w:p w14:paraId="76E6F5DA" w14:textId="77777777" w:rsidR="00441C5C" w:rsidRPr="00B86D6C" w:rsidRDefault="00441C5C" w:rsidP="00B86D6C">
      <w:pPr>
        <w:jc w:val="both"/>
        <w:rPr>
          <w:rFonts w:ascii="Times New Roman" w:hAnsi="Times New Roman" w:cs="Times New Roman"/>
        </w:rPr>
      </w:pPr>
    </w:p>
    <w:sectPr w:rsidR="00441C5C" w:rsidRPr="00B86D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52469E3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325AE2"/>
    <w:multiLevelType w:val="hybridMultilevel"/>
    <w:tmpl w:val="064258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5315370"/>
    <w:multiLevelType w:val="hybridMultilevel"/>
    <w:tmpl w:val="8AB85E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0CA7093D"/>
    <w:multiLevelType w:val="hybridMultilevel"/>
    <w:tmpl w:val="4EC2CA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D2D2CC5"/>
    <w:multiLevelType w:val="hybridMultilevel"/>
    <w:tmpl w:val="71846B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0331FA4"/>
    <w:multiLevelType w:val="hybridMultilevel"/>
    <w:tmpl w:val="F74811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54574653"/>
    <w:multiLevelType w:val="hybridMultilevel"/>
    <w:tmpl w:val="7A3021A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5661034C"/>
    <w:multiLevelType w:val="hybridMultilevel"/>
    <w:tmpl w:val="3DBA54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5C7A0906"/>
    <w:multiLevelType w:val="hybridMultilevel"/>
    <w:tmpl w:val="D65C25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63CC6065"/>
    <w:multiLevelType w:val="multilevel"/>
    <w:tmpl w:val="8F9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140CA"/>
    <w:multiLevelType w:val="hybridMultilevel"/>
    <w:tmpl w:val="A1C45B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2018460688">
    <w:abstractNumId w:val="10"/>
  </w:num>
  <w:num w:numId="2" w16cid:durableId="2053849080">
    <w:abstractNumId w:val="1"/>
  </w:num>
  <w:num w:numId="3" w16cid:durableId="436877571">
    <w:abstractNumId w:val="9"/>
  </w:num>
  <w:num w:numId="4" w16cid:durableId="802576413">
    <w:abstractNumId w:val="6"/>
  </w:num>
  <w:num w:numId="5" w16cid:durableId="160508136">
    <w:abstractNumId w:val="3"/>
  </w:num>
  <w:num w:numId="6" w16cid:durableId="661738366">
    <w:abstractNumId w:val="7"/>
  </w:num>
  <w:num w:numId="7" w16cid:durableId="1969705787">
    <w:abstractNumId w:val="0"/>
  </w:num>
  <w:num w:numId="8" w16cid:durableId="93671796">
    <w:abstractNumId w:val="5"/>
  </w:num>
  <w:num w:numId="9" w16cid:durableId="1230656560">
    <w:abstractNumId w:val="2"/>
  </w:num>
  <w:num w:numId="10" w16cid:durableId="851795262">
    <w:abstractNumId w:val="11"/>
  </w:num>
  <w:num w:numId="11" w16cid:durableId="455175965">
    <w:abstractNumId w:val="4"/>
  </w:num>
  <w:num w:numId="12" w16cid:durableId="5351943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609"/>
    <w:rsid w:val="000655B9"/>
    <w:rsid w:val="000D2E6B"/>
    <w:rsid w:val="001F6D9C"/>
    <w:rsid w:val="002351D2"/>
    <w:rsid w:val="00251CAA"/>
    <w:rsid w:val="003247B6"/>
    <w:rsid w:val="00367CE9"/>
    <w:rsid w:val="003B21F6"/>
    <w:rsid w:val="00441C5C"/>
    <w:rsid w:val="00447396"/>
    <w:rsid w:val="00513847"/>
    <w:rsid w:val="005444A6"/>
    <w:rsid w:val="005965FA"/>
    <w:rsid w:val="00794145"/>
    <w:rsid w:val="007E5B6C"/>
    <w:rsid w:val="009D233F"/>
    <w:rsid w:val="00B54FDB"/>
    <w:rsid w:val="00B86D6C"/>
    <w:rsid w:val="00C33F4C"/>
    <w:rsid w:val="00DA6078"/>
    <w:rsid w:val="00DA7407"/>
    <w:rsid w:val="00DD0E90"/>
    <w:rsid w:val="00E067CC"/>
    <w:rsid w:val="00E3355A"/>
    <w:rsid w:val="00F56518"/>
    <w:rsid w:val="00FE760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A640"/>
  <w15:chartTrackingRefBased/>
  <w15:docId w15:val="{6367C3D7-428F-4D81-B741-3BB5F0AB3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609"/>
    <w:rPr>
      <w:rFonts w:eastAsiaTheme="majorEastAsia" w:cstheme="majorBidi"/>
      <w:color w:val="272727" w:themeColor="text1" w:themeTint="D8"/>
    </w:rPr>
  </w:style>
  <w:style w:type="paragraph" w:styleId="Title">
    <w:name w:val="Title"/>
    <w:basedOn w:val="Normal"/>
    <w:next w:val="Normal"/>
    <w:link w:val="TitleChar"/>
    <w:uiPriority w:val="10"/>
    <w:qFormat/>
    <w:rsid w:val="00FE7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609"/>
    <w:pPr>
      <w:spacing w:before="160"/>
      <w:jc w:val="center"/>
    </w:pPr>
    <w:rPr>
      <w:i/>
      <w:iCs/>
      <w:color w:val="404040" w:themeColor="text1" w:themeTint="BF"/>
    </w:rPr>
  </w:style>
  <w:style w:type="character" w:customStyle="1" w:styleId="QuoteChar">
    <w:name w:val="Quote Char"/>
    <w:basedOn w:val="DefaultParagraphFont"/>
    <w:link w:val="Quote"/>
    <w:uiPriority w:val="29"/>
    <w:rsid w:val="00FE7609"/>
    <w:rPr>
      <w:i/>
      <w:iCs/>
      <w:color w:val="404040" w:themeColor="text1" w:themeTint="BF"/>
    </w:rPr>
  </w:style>
  <w:style w:type="paragraph" w:styleId="ListParagraph">
    <w:name w:val="List Paragraph"/>
    <w:basedOn w:val="Normal"/>
    <w:uiPriority w:val="34"/>
    <w:qFormat/>
    <w:rsid w:val="00FE7609"/>
    <w:pPr>
      <w:ind w:left="720"/>
      <w:contextualSpacing/>
    </w:pPr>
  </w:style>
  <w:style w:type="character" w:styleId="IntenseEmphasis">
    <w:name w:val="Intense Emphasis"/>
    <w:basedOn w:val="DefaultParagraphFont"/>
    <w:uiPriority w:val="21"/>
    <w:qFormat/>
    <w:rsid w:val="00FE7609"/>
    <w:rPr>
      <w:i/>
      <w:iCs/>
      <w:color w:val="0F4761" w:themeColor="accent1" w:themeShade="BF"/>
    </w:rPr>
  </w:style>
  <w:style w:type="paragraph" w:styleId="IntenseQuote">
    <w:name w:val="Intense Quote"/>
    <w:basedOn w:val="Normal"/>
    <w:next w:val="Normal"/>
    <w:link w:val="IntenseQuoteChar"/>
    <w:uiPriority w:val="30"/>
    <w:qFormat/>
    <w:rsid w:val="00FE7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609"/>
    <w:rPr>
      <w:i/>
      <w:iCs/>
      <w:color w:val="0F4761" w:themeColor="accent1" w:themeShade="BF"/>
    </w:rPr>
  </w:style>
  <w:style w:type="character" w:styleId="IntenseReference">
    <w:name w:val="Intense Reference"/>
    <w:basedOn w:val="DefaultParagraphFont"/>
    <w:uiPriority w:val="32"/>
    <w:qFormat/>
    <w:rsid w:val="00FE7609"/>
    <w:rPr>
      <w:b/>
      <w:bCs/>
      <w:smallCaps/>
      <w:color w:val="0F4761" w:themeColor="accent1" w:themeShade="BF"/>
      <w:spacing w:val="5"/>
    </w:rPr>
  </w:style>
  <w:style w:type="paragraph" w:styleId="NoSpacing">
    <w:name w:val="No Spacing"/>
    <w:uiPriority w:val="1"/>
    <w:qFormat/>
    <w:rsid w:val="00FE7609"/>
    <w:pPr>
      <w:spacing w:after="0" w:line="240" w:lineRule="auto"/>
    </w:pPr>
  </w:style>
  <w:style w:type="character" w:styleId="PlaceholderText">
    <w:name w:val="Placeholder Text"/>
    <w:basedOn w:val="DefaultParagraphFont"/>
    <w:uiPriority w:val="99"/>
    <w:semiHidden/>
    <w:rsid w:val="00FE7609"/>
    <w:rPr>
      <w:color w:val="666666"/>
    </w:rPr>
  </w:style>
  <w:style w:type="paragraph" w:styleId="ListBullet">
    <w:name w:val="List Bullet"/>
    <w:basedOn w:val="Normal"/>
    <w:uiPriority w:val="99"/>
    <w:unhideWhenUsed/>
    <w:rsid w:val="00B86D6C"/>
    <w:pPr>
      <w:numPr>
        <w:numId w:val="2"/>
      </w:numPr>
      <w:tabs>
        <w:tab w:val="clear" w:pos="360"/>
      </w:tabs>
      <w:spacing w:after="200" w:line="276" w:lineRule="auto"/>
      <w:contextualSpacing/>
    </w:pPr>
    <w:rPr>
      <w:rFonts w:ascii="Aptos" w:eastAsiaTheme="minorEastAsia" w:hAnsi="Aptos"/>
      <w:kern w:val="0"/>
      <w:sz w:val="19"/>
      <w:szCs w:val="22"/>
      <w:lang w:val="en-US"/>
      <w14:ligatures w14:val="none"/>
    </w:rPr>
  </w:style>
  <w:style w:type="paragraph" w:styleId="ListBullet2">
    <w:name w:val="List Bullet 2"/>
    <w:basedOn w:val="Normal"/>
    <w:uiPriority w:val="99"/>
    <w:unhideWhenUsed/>
    <w:rsid w:val="009D233F"/>
    <w:pPr>
      <w:numPr>
        <w:numId w:val="7"/>
      </w:numPr>
      <w:tabs>
        <w:tab w:val="clear" w:pos="720"/>
      </w:tabs>
      <w:spacing w:after="200" w:line="276" w:lineRule="auto"/>
      <w:ind w:left="0" w:firstLine="0"/>
      <w:contextualSpacing/>
    </w:pPr>
    <w:rPr>
      <w:rFonts w:ascii="Aptos" w:eastAsiaTheme="minorEastAsia" w:hAnsi="Aptos"/>
      <w:kern w:val="0"/>
      <w:sz w:val="19"/>
      <w:szCs w:val="22"/>
      <w:lang w:val="en-US"/>
      <w14:ligatures w14:val="none"/>
    </w:rPr>
  </w:style>
  <w:style w:type="paragraph" w:customStyle="1" w:styleId="pdq2pgselectionanchorcontainer">
    <w:name w:val="pdq2pg_selectionanchorcontainer"/>
    <w:basedOn w:val="Normal"/>
    <w:rsid w:val="00F56518"/>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NormalWeb">
    <w:name w:val="Normal (Web)"/>
    <w:basedOn w:val="Normal"/>
    <w:uiPriority w:val="99"/>
    <w:semiHidden/>
    <w:unhideWhenUsed/>
    <w:rsid w:val="00F56518"/>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Strong">
    <w:name w:val="Strong"/>
    <w:basedOn w:val="DefaultParagraphFont"/>
    <w:uiPriority w:val="22"/>
    <w:qFormat/>
    <w:rsid w:val="003247B6"/>
    <w:rPr>
      <w:b/>
      <w:bCs/>
    </w:rPr>
  </w:style>
  <w:style w:type="character" w:styleId="HTMLCode">
    <w:name w:val="HTML Code"/>
    <w:basedOn w:val="DefaultParagraphFont"/>
    <w:uiPriority w:val="99"/>
    <w:semiHidden/>
    <w:unhideWhenUsed/>
    <w:rsid w:val="003247B6"/>
    <w:rPr>
      <w:rFonts w:ascii="Courier New" w:eastAsia="Times New Roman" w:hAnsi="Courier New" w:cs="Courier New"/>
      <w:sz w:val="20"/>
      <w:szCs w:val="20"/>
    </w:rPr>
  </w:style>
  <w:style w:type="character" w:styleId="Emphasis">
    <w:name w:val="Emphasis"/>
    <w:basedOn w:val="DefaultParagraphFont"/>
    <w:uiPriority w:val="20"/>
    <w:qFormat/>
    <w:rsid w:val="001F6D9C"/>
    <w:rPr>
      <w:i/>
      <w:iCs/>
    </w:rPr>
  </w:style>
  <w:style w:type="character" w:styleId="Hyperlink">
    <w:name w:val="Hyperlink"/>
    <w:basedOn w:val="DefaultParagraphFont"/>
    <w:uiPriority w:val="99"/>
    <w:unhideWhenUsed/>
    <w:rsid w:val="001F6D9C"/>
    <w:rPr>
      <w:color w:val="467886" w:themeColor="hyperlink"/>
      <w:u w:val="single"/>
    </w:rPr>
  </w:style>
  <w:style w:type="character" w:styleId="UnresolvedMention">
    <w:name w:val="Unresolved Mention"/>
    <w:basedOn w:val="DefaultParagraphFont"/>
    <w:uiPriority w:val="99"/>
    <w:semiHidden/>
    <w:unhideWhenUsed/>
    <w:rsid w:val="001F6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ofpserra.github.io/observatorio-mobilidade-docente/"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20</Pages>
  <Words>5605</Words>
  <Characters>30267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Carreira Serra</dc:creator>
  <cp:keywords/>
  <dc:description/>
  <cp:lastModifiedBy>Pedro Carreira Serra</cp:lastModifiedBy>
  <cp:revision>10</cp:revision>
  <dcterms:created xsi:type="dcterms:W3CDTF">2026-08-29T16:32:00Z</dcterms:created>
  <dcterms:modified xsi:type="dcterms:W3CDTF">2026-08-31T22:20:00Z</dcterms:modified>
</cp:coreProperties>
</file>