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FICHA METODOLÓGICA</w:t>
        <w:br/>
      </w:r>
      <w:r>
        <w:rPr>
          <w:sz w:val="36"/>
        </w:rPr>
        <w:t>Observatório Estatístico e Longitudinal da Mobilidade Docente</w:t>
      </w:r>
    </w:p>
    <w:p>
      <w:r>
        <w:t>Versão pública: v6 — Consulta Descritiva</w:t>
      </w:r>
    </w:p>
    <w:p>
      <w:r>
        <w:t>Período: 2016/2017–2026/2027</w:t>
      </w:r>
    </w:p>
    <w:p>
      <w:r>
        <w:t>Autores: Prof. Manuel P. Fernandes e Prof. Pedro Serra</w:t>
      </w:r>
    </w:p>
    <w:p>
      <w:r>
        <w:t>Natureza: observatório estatístico, longitudinal e de redes baseado em dados administrativos publicados.</w:t>
      </w:r>
    </w:p>
    <w:p>
      <w:pPr>
        <w:pStyle w:val="Heading1"/>
      </w:pPr>
      <w:r>
        <w:t>1. Objetivo</w:t>
      </w:r>
    </w:p>
    <w:p>
      <w:r>
        <w:t>O Observatório procura transformar listas administrativas anuais da Mobilidade Interna em informação longitudinal comparável, permitindo estudar:</w:t>
      </w:r>
    </w:p>
    <w:p>
      <w:pPr>
        <w:pStyle w:val="ListBullet"/>
      </w:pPr>
      <w:r>
        <w:t>mobilidade e permanência docente;</w:t>
      </w:r>
    </w:p>
    <w:p>
      <w:pPr>
        <w:pStyle w:val="ListBullet"/>
      </w:pPr>
      <w:r>
        <w:t>pressão administrativa de entrada e saída nas escolas;</w:t>
      </w:r>
    </w:p>
    <w:p>
      <w:pPr>
        <w:pStyle w:val="ListBullet"/>
      </w:pPr>
      <w:r>
        <w:t>migrações efetivas entre escolas;</w:t>
      </w:r>
    </w:p>
    <w:p>
      <w:pPr>
        <w:pStyle w:val="ListBullet"/>
      </w:pPr>
      <w:r>
        <w:t>não colocação e mobilidade latente;</w:t>
      </w:r>
    </w:p>
    <w:p>
      <w:pPr>
        <w:pStyle w:val="ListBullet"/>
      </w:pPr>
      <w:r>
        <w:t>diferenças descritivas entre QA/QE e QZP;</w:t>
      </w:r>
    </w:p>
    <w:p>
      <w:pPr>
        <w:pStyle w:val="ListBullet"/>
      </w:pPr>
      <w:r>
        <w:t>persistência e volatilidade de padrões escolares;</w:t>
      </w:r>
    </w:p>
    <w:p>
      <w:pPr>
        <w:pStyle w:val="ListBullet"/>
      </w:pPr>
      <w:r>
        <w:t>corredores de mobilidade;</w:t>
      </w:r>
    </w:p>
    <w:p>
      <w:pPr>
        <w:pStyle w:val="ListBullet"/>
      </w:pPr>
      <w:r>
        <w:t>trajetórias anonimizadas docente×grupo;</w:t>
      </w:r>
    </w:p>
    <w:p>
      <w:pPr>
        <w:pStyle w:val="ListBullet"/>
      </w:pPr>
      <w:r>
        <w:t>transições empíricas entre permanência, mudança e não colocação.</w:t>
      </w:r>
    </w:p>
    <w:p>
      <w:r>
        <w:t>O Observatório distingue explicitamente:</w:t>
      </w:r>
    </w:p>
    <w:p>
      <w:r>
        <w:rPr>
          <w:rFonts w:ascii="Consolas" w:hAnsi="Consolas"/>
        </w:rPr>
        <w:t>Estabilidade do vínculo ≠ estabilidade geográfica ≠ estabilidade organizacional da escola</w:t>
      </w:r>
    </w:p>
    <w:p>
      <w:pPr>
        <w:pStyle w:val="Heading1"/>
      </w:pPr>
      <w:r>
        <w:t>2. Fontes e unidade de análise</w:t>
      </w:r>
    </w:p>
    <w:p>
      <w:r>
        <w:t>As fontes anuais utilizadas são, essencialmente:</w:t>
      </w:r>
    </w:p>
    <w:p>
      <w:r>
        <w:t>1. Lista Definitiva de Ordenação da Mobilidade Interna;</w:t>
      </w:r>
    </w:p>
    <w:p>
      <w:r>
        <w:t>2. Lista Definitiva de Colocação da Mobilidade Interna;</w:t>
      </w:r>
    </w:p>
    <w:p>
      <w:r>
        <w:t>3. Lista Definitiva de Não Colocação da Mobilidade Interna;</w:t>
      </w:r>
    </w:p>
    <w:p>
      <w:r>
        <w:t>4. cadastro auxiliar de códigos e designações de agrupamentos/escolas para harmonização da apresentação.</w:t>
      </w:r>
    </w:p>
    <w:p>
      <w:r>
        <w:t>A unidade elementar da base anual corresponde a uma participação de um candidato num determinado ano letivo × grupo de recrutamento.</w:t>
      </w:r>
    </w:p>
    <w:p>
      <w:pPr>
        <w:pStyle w:val="Heading1"/>
      </w:pPr>
      <w:r>
        <w:t>3. Chave de cruzamento</w:t>
      </w:r>
    </w:p>
    <w:p>
      <w:r>
        <w:t>A chave preferencial de junção entre ordenação e resultado final é:</w:t>
      </w:r>
    </w:p>
    <w:p>
      <w:r>
        <w:rPr>
          <w:rFonts w:ascii="Consolas" w:hAnsi="Consolas"/>
        </w:rPr>
        <w:t>Número de Utilizador + Grupo de Recrutamento</w:t>
      </w:r>
    </w:p>
    <w:p>
      <w:r>
        <w:t>Esta combinação reduz ambiguidades em situações em que um mesmo docente pode participar em mais de um grupo.</w:t>
      </w:r>
    </w:p>
    <w:p>
      <w:pPr>
        <w:pStyle w:val="Heading1"/>
      </w:pPr>
      <w:r>
        <w:t>4. Regra de construção do universo anual</w:t>
      </w:r>
    </w:p>
    <w:p>
      <w:r>
        <w:t>O universo analítico segue a regra:</w:t>
      </w:r>
    </w:p>
    <w:p>
      <w:r>
        <w:rPr>
          <w:rFonts w:ascii="Consolas" w:hAnsi="Consolas"/>
        </w:rPr>
        <w:t>Ordenação ∩ (Colocados ∪ Não colocados)</w:t>
      </w:r>
    </w:p>
    <w:p>
      <w:r>
        <w:t>Assim:</w:t>
      </w:r>
    </w:p>
    <w:p>
      <w:pPr>
        <w:pStyle w:val="ListBullet"/>
      </w:pPr>
      <w:r>
        <w:t>um candidato apenas presente na ordenação não é automaticamente classificado como não colocado;</w:t>
      </w:r>
    </w:p>
    <w:p>
      <w:pPr>
        <w:pStyle w:val="ListBullet"/>
      </w:pPr>
      <w:r>
        <w:t>um resultado final sem correspondência segura na ordenação é identificado no controlo de qualidade e não é artificialmente reconstruído;</w:t>
      </w:r>
    </w:p>
    <w:p>
      <w:pPr>
        <w:pStyle w:val="ListBullet"/>
      </w:pPr>
      <w:r>
        <w:t>exceções documentais são assinaladas explicitamente.</w:t>
      </w:r>
    </w:p>
    <w:p>
      <w:pPr>
        <w:pStyle w:val="Heading1"/>
      </w:pPr>
      <w:r>
        <w:t>5. Escola de origem</w:t>
      </w:r>
    </w:p>
    <w:p>
      <w:r>
        <w:t>A escola de origem é a escola concreta onde o candidato se encontrava colocado/provido antes do resultado final da MI.</w:t>
      </w:r>
    </w:p>
    <w:p>
      <w:r>
        <w:t>Para candidatos QZP, um código do tipo QZP.xx representa uma zona e não é considerado uma escola. Sempre que possível, a origem escolar é recuperada através da informação existente na lista de ordenação.</w:t>
      </w:r>
    </w:p>
    <w:p>
      <w:r>
        <w:t>Quando a origem não pode ser determinada de forma segura:</w:t>
      </w:r>
    </w:p>
    <w:p>
      <w:pPr>
        <w:pStyle w:val="ListBullet"/>
      </w:pPr>
      <w:r>
        <w:t>o candidato pode permanecer na análise global, se o resultado final for válido;</w:t>
      </w:r>
    </w:p>
    <w:p>
      <w:pPr>
        <w:pStyle w:val="ListBullet"/>
      </w:pPr>
      <w:r>
        <w:t>é assinalado como origem indisponível;</w:t>
      </w:r>
    </w:p>
    <w:p>
      <w:pPr>
        <w:pStyle w:val="ListBullet"/>
      </w:pPr>
      <w:r>
        <w:t>não deve alimentar uma aresta escola→escola na rede.</w:t>
      </w:r>
    </w:p>
    <w:p>
      <w:pPr>
        <w:pStyle w:val="Heading1"/>
      </w:pPr>
      <w:r>
        <w:t>6. Identidade e harmonização das escolas</w:t>
      </w:r>
    </w:p>
    <w:p>
      <w:r>
        <w:t>A regra fundamental é:</w:t>
      </w:r>
    </w:p>
    <w:p>
      <w:r>
        <w:rPr>
          <w:rFonts w:ascii="Consolas" w:hAnsi="Consolas"/>
        </w:rPr>
        <w:t>Identidade da escola = Código</w:t>
      </w:r>
    </w:p>
    <w:p>
      <w:r>
        <w:t>Não se fundem entidades apenas porque os nomes são semelhantes.</w:t>
      </w:r>
    </w:p>
    <w:p>
      <w:r>
        <w:t>O cadastro auxiliar é utilizado para:</w:t>
      </w:r>
    </w:p>
    <w:p>
      <w:pPr>
        <w:pStyle w:val="ListBullet"/>
      </w:pPr>
      <w:r>
        <w:t>apresentar designações canónicas;</w:t>
      </w:r>
    </w:p>
    <w:p>
      <w:pPr>
        <w:pStyle w:val="ListBullet"/>
      </w:pPr>
      <w:r>
        <w:t>associar concelho e QZP de referência;</w:t>
      </w:r>
    </w:p>
    <w:p>
      <w:pPr>
        <w:pStyle w:val="ListBullet"/>
      </w:pPr>
      <w:r>
        <w:t>detetar códigos históricos ou especiais;</w:t>
      </w:r>
    </w:p>
    <w:p>
      <w:pPr>
        <w:pStyle w:val="ListBullet"/>
      </w:pPr>
      <w:r>
        <w:t>preservar entidades históricas sem as fundir automaticamente com códigos atuais.</w:t>
      </w:r>
    </w:p>
    <w:p>
      <w:pPr>
        <w:pStyle w:val="Heading1"/>
      </w:pPr>
      <w:r>
        <w:t>7. Estados do candidato</w:t>
      </w:r>
    </w:p>
    <w:p>
      <w:r>
        <w:t>Para um determinado ano:</w:t>
      </w:r>
    </w:p>
    <w:p>
      <w:pPr>
        <w:pStyle w:val="ListBullet"/>
      </w:pPr>
      <w:r>
        <w:t>`P` — colocado na mesma escola de origem;</w:t>
      </w:r>
    </w:p>
    <w:p>
      <w:pPr>
        <w:pStyle w:val="ListBullet"/>
      </w:pPr>
      <w:r>
        <w:t>`M` — colocado numa escola diferente;</w:t>
      </w:r>
    </w:p>
    <w:p>
      <w:pPr>
        <w:pStyle w:val="ListBullet"/>
      </w:pPr>
      <w:r>
        <w:t>`NC` — não colocado;</w:t>
      </w:r>
    </w:p>
    <w:p>
      <w:pPr>
        <w:pStyle w:val="ListBullet"/>
      </w:pPr>
      <w:r>
        <w:t>`?` — estado não determinável de forma segura em casos residuais.</w:t>
      </w:r>
    </w:p>
    <w:p>
      <w:pPr>
        <w:pStyle w:val="Heading1"/>
      </w:pPr>
      <w:r>
        <w:t>8. Regra dos não colocados nos indicadores escolares</w:t>
      </w:r>
    </w:p>
    <w:p>
      <w:r>
        <w:t>Para medir a pressão administrativa da MI, um não colocado é tratado como:</w:t>
      </w:r>
    </w:p>
    <w:p>
      <w:pPr>
        <w:pStyle w:val="ListBullet"/>
      </w:pPr>
      <w:r>
        <w:t>1 saída da escola de origem;</w:t>
      </w:r>
    </w:p>
    <w:p>
      <w:pPr>
        <w:pStyle w:val="ListBullet"/>
      </w:pPr>
      <w:r>
        <w:t>1 entrada de regresso à mesma escola.</w:t>
      </w:r>
    </w:p>
    <w:p>
      <w:r>
        <w:t>Isto representa participação/mobilidade latente sem inventar migração efetiva.</w:t>
      </w:r>
    </w:p>
    <w:p>
      <w:r>
        <w:t>Na rede, o não colocado não cria aresta, porque não houve deslocação escola→escola.</w:t>
      </w:r>
    </w:p>
    <w:p>
      <w:pPr>
        <w:pStyle w:val="Heading1"/>
      </w:pPr>
      <w:r>
        <w:t>9. Indicadores escola × ano</w:t>
      </w:r>
    </w:p>
    <w:p>
      <w:pPr>
        <w:pStyle w:val="Heading2"/>
      </w:pPr>
      <w:r>
        <w:t>Entradas</w:t>
      </w:r>
    </w:p>
    <w:p>
      <w:r>
        <w:rPr>
          <w:rFonts w:ascii="Consolas" w:hAnsi="Consolas"/>
        </w:rPr>
        <w:t>E_i,t = número de entradas administrativas na escola i no ano t</w:t>
      </w:r>
    </w:p>
    <w:p>
      <w:pPr>
        <w:pStyle w:val="Heading2"/>
      </w:pPr>
      <w:r>
        <w:t>Saídas</w:t>
      </w:r>
    </w:p>
    <w:p>
      <w:r>
        <w:rPr>
          <w:rFonts w:ascii="Consolas" w:hAnsi="Consolas"/>
        </w:rPr>
        <w:t>S_i,t = número de saídas administrativas da escola i no ano t</w:t>
      </w:r>
    </w:p>
    <w:p>
      <w:pPr>
        <w:pStyle w:val="Heading2"/>
      </w:pPr>
      <w:r>
        <w:t>Movimento Total</w:t>
      </w:r>
    </w:p>
    <w:p>
      <w:r>
        <w:rPr>
          <w:rFonts w:ascii="Consolas" w:hAnsi="Consolas"/>
        </w:rPr>
        <w:t>M_i,t = E_i,t + S_i,t</w:t>
      </w:r>
    </w:p>
    <w:p>
      <w:pPr>
        <w:pStyle w:val="Heading2"/>
      </w:pPr>
      <w:r>
        <w:t>Pressão de Saída</w:t>
      </w:r>
    </w:p>
    <w:p>
      <w:r>
        <w:rPr>
          <w:rFonts w:ascii="Consolas" w:hAnsi="Consolas"/>
        </w:rPr>
        <w:t>PS_i,t = S_i,t / (E_i,t + S_i,t) × 100</w:t>
      </w:r>
    </w:p>
    <w:p>
      <w:pPr>
        <w:pStyle w:val="Heading2"/>
      </w:pPr>
      <w:r>
        <w:t>Pressão de Entrada</w:t>
      </w:r>
    </w:p>
    <w:p>
      <w:r>
        <w:rPr>
          <w:rFonts w:ascii="Consolas" w:hAnsi="Consolas"/>
        </w:rPr>
        <w:t>PE_i,t = E_i,t / (E_i,t + S_i,t) × 100</w:t>
      </w:r>
    </w:p>
    <w:p>
      <w:r>
        <w:t xml:space="preserve">Quando </w:t>
      </w:r>
      <w:r>
        <w:rPr>
          <w:rFonts w:ascii="Consolas" w:hAnsi="Consolas"/>
        </w:rPr>
        <w:t>M &gt; 0</w:t>
      </w:r>
      <w:r>
        <w:t>:</w:t>
      </w:r>
    </w:p>
    <w:p>
      <w:r>
        <w:rPr>
          <w:rFonts w:ascii="Consolas" w:hAnsi="Consolas"/>
        </w:rPr>
        <w:t>PS + PE = 100%</w:t>
      </w:r>
    </w:p>
    <w:p>
      <w:pPr>
        <w:pStyle w:val="Heading2"/>
      </w:pPr>
      <w:r>
        <w:t>Saldo Migratório Efetivo</w:t>
      </w:r>
    </w:p>
    <w:p>
      <w:r>
        <w:rPr>
          <w:rFonts w:ascii="Consolas" w:hAnsi="Consolas"/>
        </w:rPr>
        <w:t>SM_i,t = migrações recebidas_i,t − migrações originadas_i,t</w:t>
      </w:r>
    </w:p>
    <w:p>
      <w:r>
        <w:t>Apenas mudanças efetivas entre escolas entram neste cálculo.</w:t>
      </w:r>
    </w:p>
    <w:p>
      <w:pPr>
        <w:pStyle w:val="Heading2"/>
      </w:pPr>
      <w:r>
        <w:t>Taxa de Não Colocação Escolar</w:t>
      </w:r>
    </w:p>
    <w:p>
      <w:r>
        <w:rPr>
          <w:rFonts w:ascii="Consolas" w:hAnsi="Consolas"/>
        </w:rPr>
        <w:t>TNC_i,t = NC_i,t / S_i,t × 100</w:t>
      </w:r>
    </w:p>
    <w:p>
      <w:r>
        <w:t>A TNC deve ser interpretada como indicador de mobilidade latente no universo da MI, não como taxa de retenção do corpo docente total da escola.</w:t>
      </w:r>
    </w:p>
    <w:p>
      <w:pPr>
        <w:pStyle w:val="Heading1"/>
      </w:pPr>
      <w:r>
        <w:t>10. Limiar mínimo de movimento</w:t>
      </w:r>
    </w:p>
    <w:p>
      <w:r>
        <w:t>Para rankings e tipologias longitudinais é utilizado um limiar mínimo:</w:t>
      </w:r>
    </w:p>
    <w:p>
      <w:r>
        <w:rPr>
          <w:rFonts w:ascii="Consolas" w:hAnsi="Consolas"/>
        </w:rPr>
        <w:t>M ≥ N</w:t>
      </w:r>
    </w:p>
    <w:p>
      <w:r>
        <w:t xml:space="preserve">O valor de referência da aplicação é frequentemente </w:t>
      </w:r>
      <w:r>
        <w:rPr>
          <w:rFonts w:ascii="Consolas" w:hAnsi="Consolas"/>
        </w:rPr>
        <w:t>M ≥ 10</w:t>
      </w:r>
      <w:r>
        <w:t>, mas o utilizador pode alterá-lo.</w:t>
      </w:r>
    </w:p>
    <w:p>
      <w:r>
        <w:t>O limiar:</w:t>
      </w:r>
    </w:p>
    <w:p>
      <w:pPr>
        <w:pStyle w:val="ListBullet"/>
      </w:pPr>
      <w:r>
        <w:t>reduz rankings dominados por percentagens extremas baseadas em 1–2 casos;</w:t>
      </w:r>
    </w:p>
    <w:p>
      <w:pPr>
        <w:pStyle w:val="ListBullet"/>
      </w:pPr>
      <w:r>
        <w:t>não elimina escolas da base;</w:t>
      </w:r>
    </w:p>
    <w:p>
      <w:pPr>
        <w:pStyle w:val="ListBullet"/>
      </w:pPr>
      <w:r>
        <w:t>não é aplicado à série histórica individual pesquisada no painel Longitudinal.</w:t>
      </w:r>
    </w:p>
    <w:p>
      <w:pPr>
        <w:pStyle w:val="Heading1"/>
      </w:pPr>
      <w:r>
        <w:t>11. Indicadores QA/QE vs QZP</w:t>
      </w:r>
    </w:p>
    <w:p>
      <w:pPr>
        <w:pStyle w:val="Heading2"/>
      </w:pPr>
      <w:r>
        <w:t>Composição</w:t>
      </w:r>
    </w:p>
    <w:p>
      <w:r>
        <w:rPr>
          <w:rFonts w:ascii="Consolas" w:hAnsi="Consolas"/>
        </w:rPr>
        <w:t>PQA = QA/QE em MI / total MI × 100</w:t>
      </w:r>
    </w:p>
    <w:p>
      <w:r>
        <w:rPr>
          <w:rFonts w:ascii="Consolas" w:hAnsi="Consolas"/>
        </w:rPr>
        <w:t>PQZP = QZP em MI / total MI × 100</w:t>
      </w:r>
    </w:p>
    <w:p>
      <w:r>
        <w:t>Estes indicadores descrevem a composição da MI e não a taxa de participação sobre o universo nacional de cada carreira.</w:t>
      </w:r>
    </w:p>
    <w:p>
      <w:pPr>
        <w:pStyle w:val="Heading2"/>
      </w:pPr>
      <w:r>
        <w:t>Mobilidade voluntária QA/QE</w:t>
      </w:r>
    </w:p>
    <w:p>
      <w:r>
        <w:rPr>
          <w:rFonts w:ascii="Consolas" w:hAnsi="Consolas"/>
        </w:rPr>
        <w:t>IMV-QA = QA/QE na prioridade harmonizada de mobilidade voluntária / total QA/QE em MI × 100</w:t>
      </w:r>
    </w:p>
    <w:p>
      <w:r>
        <w:t>É um proxy administrativo, não uma medida da motivação psicológica individual.</w:t>
      </w:r>
    </w:p>
    <w:p>
      <w:pPr>
        <w:pStyle w:val="Heading2"/>
      </w:pPr>
      <w:r>
        <w:t>Diferença de não colocação</w:t>
      </w:r>
    </w:p>
    <w:p>
      <w:r>
        <w:rPr>
          <w:rFonts w:ascii="Consolas" w:hAnsi="Consolas"/>
        </w:rPr>
        <w:t>INCD = NC% QA/QE − NC% QZP</w:t>
      </w:r>
    </w:p>
    <w:p>
      <w:pPr>
        <w:pStyle w:val="Heading2"/>
      </w:pPr>
      <w:r>
        <w:t>Risco relativo descritivo de não colocação</w:t>
      </w:r>
    </w:p>
    <w:p>
      <w:r>
        <w:rPr>
          <w:rFonts w:ascii="Consolas" w:hAnsi="Consolas"/>
        </w:rPr>
        <w:t>RR-NC = NC% QA/QE / NC% QZP</w:t>
      </w:r>
    </w:p>
    <w:p>
      <w:pPr>
        <w:pStyle w:val="Heading2"/>
      </w:pPr>
      <w:r>
        <w:t>Permanência QZP</w:t>
      </w:r>
    </w:p>
    <w:p>
      <w:r>
        <w:rPr>
          <w:rFonts w:ascii="Consolas" w:hAnsi="Consolas"/>
        </w:rPr>
        <w:t>IP-QZP colocados = QZP colocados na mesma escola / QZP colocados × 100</w:t>
      </w:r>
    </w:p>
    <w:p>
      <w:r>
        <w:rPr>
          <w:rFonts w:ascii="Consolas" w:hAnsi="Consolas"/>
        </w:rPr>
        <w:t>IP-QZP total = QZP colocados na mesma escola / total QZP em MI × 100</w:t>
      </w:r>
    </w:p>
    <w:p>
      <w:pPr>
        <w:pStyle w:val="Heading1"/>
      </w:pPr>
      <w:r>
        <w:t>12. Rede de mobilidade</w:t>
      </w:r>
    </w:p>
    <w:p>
      <w:r>
        <w:t>Para cada ano é construída uma rede dirigida:</w:t>
      </w:r>
    </w:p>
    <w:p>
      <w:r>
        <w:rPr>
          <w:rFonts w:ascii="Consolas" w:hAnsi="Consolas"/>
        </w:rPr>
        <w:t>G_t = (V, E_t)</w:t>
      </w:r>
    </w:p>
    <w:p>
      <w:r>
        <w:t>onde:</w:t>
      </w:r>
    </w:p>
    <w:p>
      <w:pPr>
        <w:pStyle w:val="ListBullet"/>
      </w:pPr>
      <w:r>
        <w:t>`V` são códigos escolares;</w:t>
      </w:r>
    </w:p>
    <w:p>
      <w:pPr>
        <w:pStyle w:val="ListBullet"/>
      </w:pPr>
      <w:r>
        <w:t>uma aresta `A → B` representa pelo menos uma migração efetiva da escola A para a escola B;</w:t>
      </w:r>
    </w:p>
    <w:p>
      <w:pPr>
        <w:pStyle w:val="ListBullet"/>
      </w:pPr>
      <w:r>
        <w:t>a espessura da aresta é proporcional ao número de docentes nesse corredor;</w:t>
      </w:r>
    </w:p>
    <w:p>
      <w:pPr>
        <w:pStyle w:val="ListBullet"/>
      </w:pPr>
      <w:r>
        <w:t>o tamanho do nó é proporcional ao movimento total da escola;</w:t>
      </w:r>
    </w:p>
    <w:p>
      <w:pPr>
        <w:pStyle w:val="ListBullet"/>
      </w:pPr>
      <w:r>
        <w:t>a cor indica predominância de entrada, saída ou equilíbrio.</w:t>
      </w:r>
    </w:p>
    <w:p>
      <w:r>
        <w:t>O limite gráfico de nós serve apenas para legibilidade. A pesquisa de uma escola específica tem prioridade e deve permitir localizar uma escola mesmo fora do conjunto inicialmente desenhado.</w:t>
      </w:r>
    </w:p>
    <w:p>
      <w:pPr>
        <w:pStyle w:val="Heading1"/>
      </w:pPr>
      <w:r>
        <w:t>13. Indicadores longitudinais das escolas</w:t>
      </w:r>
    </w:p>
    <w:p>
      <w:r>
        <w:t>Um ano ativo para a classificação longitudinal é um ano em que a escola satisfaz o limiar de movimento escolhido.</w:t>
      </w:r>
    </w:p>
    <w:p>
      <w:pPr>
        <w:pStyle w:val="Heading2"/>
      </w:pPr>
      <w:r>
        <w:t>Persistência de saída</w:t>
      </w:r>
    </w:p>
    <w:p>
      <w:r>
        <w:rPr>
          <w:rFonts w:ascii="Consolas" w:hAnsi="Consolas"/>
        </w:rPr>
        <w:t>IPPS_i = anos ativos com PS_i,t &gt; 60% / número de anos ativos</w:t>
      </w:r>
    </w:p>
    <w:p>
      <w:pPr>
        <w:pStyle w:val="Heading2"/>
      </w:pPr>
      <w:r>
        <w:t>Persistência de entrada</w:t>
      </w:r>
    </w:p>
    <w:p>
      <w:r>
        <w:rPr>
          <w:rFonts w:ascii="Consolas" w:hAnsi="Consolas"/>
        </w:rPr>
        <w:t>IPPE_i = anos ativos com PE_i,t &gt; 60% / número de anos ativos</w:t>
      </w:r>
    </w:p>
    <w:p>
      <w:pPr>
        <w:pStyle w:val="Heading2"/>
      </w:pPr>
      <w:r>
        <w:t>Volatilidade</w:t>
      </w:r>
    </w:p>
    <w:p>
      <w:r>
        <w:rPr>
          <w:rFonts w:ascii="Consolas" w:hAnsi="Consolas"/>
        </w:rPr>
        <w:t>Vol_i = desvio-padrão de PS_i,t nos anos ativos</w:t>
      </w:r>
    </w:p>
    <w:p>
      <w:pPr>
        <w:pStyle w:val="Heading2"/>
      </w:pPr>
      <w:r>
        <w:t>Tendência</w:t>
      </w:r>
    </w:p>
    <w:p>
      <w:r>
        <w:t xml:space="preserve">É estimada pela inclinação de uma regressão linear simples de </w:t>
      </w:r>
      <w:r>
        <w:rPr>
          <w:rFonts w:ascii="Consolas" w:hAnsi="Consolas"/>
        </w:rPr>
        <w:t>PS</w:t>
      </w:r>
      <w:r>
        <w:t xml:space="preserve"> sobre o tempo nos anos ativos.</w:t>
      </w:r>
    </w:p>
    <w:p>
      <w:r>
        <w:t>A tendência é descritiva e não substitui análise causal.</w:t>
      </w:r>
    </w:p>
    <w:p>
      <w:pPr>
        <w:pStyle w:val="Heading1"/>
      </w:pPr>
      <w:r>
        <w:t>14. Tipologias longitudinais</w:t>
      </w:r>
    </w:p>
    <w:p>
      <w:r>
        <w:t>A aplicação utiliza regras transparentes para atribuir perfis como:</w:t>
      </w:r>
    </w:p>
    <w:p>
      <w:pPr>
        <w:pStyle w:val="ListBullet"/>
      </w:pPr>
      <w:r>
        <w:t>emissora persistente;</w:t>
      </w:r>
    </w:p>
    <w:p>
      <w:pPr>
        <w:pStyle w:val="ListBullet"/>
      </w:pPr>
      <w:r>
        <w:t>recetora persistente;</w:t>
      </w:r>
    </w:p>
    <w:p>
      <w:pPr>
        <w:pStyle w:val="ListBullet"/>
      </w:pPr>
      <w:r>
        <w:t>alta rotação;</w:t>
      </w:r>
    </w:p>
    <w:p>
      <w:pPr>
        <w:pStyle w:val="ListBullet"/>
      </w:pPr>
      <w:r>
        <w:t>mobilidade latente elevada;</w:t>
      </w:r>
    </w:p>
    <w:p>
      <w:pPr>
        <w:pStyle w:val="ListBullet"/>
      </w:pPr>
      <w:r>
        <w:t>volátil;</w:t>
      </w:r>
    </w:p>
    <w:p>
      <w:pPr>
        <w:pStyle w:val="ListBullet"/>
      </w:pPr>
      <w:r>
        <w:t>estável/baixa rotação;</w:t>
      </w:r>
    </w:p>
    <w:p>
      <w:pPr>
        <w:pStyle w:val="ListBullet"/>
      </w:pPr>
      <w:r>
        <w:t>misto.</w:t>
      </w:r>
    </w:p>
    <w:p>
      <w:r>
        <w:t>As tipologias são classificações estatísticas, não avaliações da qualidade da escola.</w:t>
      </w:r>
    </w:p>
    <w:p>
      <w:r>
        <w:t>Os limiares devem ser submetidos a testes de robustez.</w:t>
      </w:r>
    </w:p>
    <w:p>
      <w:pPr>
        <w:pStyle w:val="Heading1"/>
      </w:pPr>
      <w:r>
        <w:t>15. Corredores persistentes</w:t>
      </w:r>
    </w:p>
    <w:p>
      <w:r>
        <w:t xml:space="preserve">Para um corredor </w:t>
      </w:r>
      <w:r>
        <w:rPr>
          <w:rFonts w:ascii="Consolas" w:hAnsi="Consolas"/>
        </w:rPr>
        <w:t>A → B</w:t>
      </w:r>
      <w:r>
        <w:t>:</w:t>
      </w:r>
    </w:p>
    <w:p>
      <w:r>
        <w:rPr>
          <w:rFonts w:ascii="Consolas" w:hAnsi="Consolas"/>
        </w:rPr>
        <w:t>Persistência = anos em que o corredor aparece / anos do período selecionado × 100</w:t>
      </w:r>
    </w:p>
    <w:p>
      <w:r>
        <w:t>A referência inicial da aplicação considera persistente um corredor que:</w:t>
      </w:r>
    </w:p>
    <w:p>
      <w:pPr>
        <w:pStyle w:val="ListBullet"/>
      </w:pPr>
      <w:r>
        <w:t>aparece em pelo menos 2 anos; e</w:t>
      </w:r>
    </w:p>
    <w:p>
      <w:pPr>
        <w:pStyle w:val="ListBullet"/>
      </w:pPr>
      <w:r>
        <w:t>atinge uma percentagem mínima definida pelo utilizador, com valor de referência de 60%.</w:t>
      </w:r>
    </w:p>
    <w:p>
      <w:r>
        <w:t>O limiar de 60% é heurístico e ajustável; recomenda-se comparar resultados com 50%, 70% e 80%.</w:t>
      </w:r>
    </w:p>
    <w:p>
      <w:pPr>
        <w:pStyle w:val="Heading1"/>
      </w:pPr>
      <w:r>
        <w:t>16. Trajetórias longitudinais</w:t>
      </w:r>
    </w:p>
    <w:p>
      <w:r>
        <w:t>A unidade utilizada é:</w:t>
      </w:r>
    </w:p>
    <w:p>
      <w:r>
        <w:rPr>
          <w:rFonts w:ascii="Consolas" w:hAnsi="Consolas"/>
        </w:rPr>
        <w:t>Painel = docente anonimizado × grupo de recrutamento</w:t>
      </w:r>
    </w:p>
    <w:p>
      <w:pPr>
        <w:pStyle w:val="Heading2"/>
      </w:pPr>
      <w:r>
        <w:t>Taxa de Participação Recorrente</w:t>
      </w:r>
    </w:p>
    <w:p>
      <w:r>
        <w:rPr>
          <w:rFonts w:ascii="Consolas" w:hAnsi="Consolas"/>
        </w:rPr>
        <w:t>TPR = anos de participação / anos observáveis</w:t>
      </w:r>
    </w:p>
    <w:p>
      <w:pPr>
        <w:pStyle w:val="Heading2"/>
      </w:pPr>
      <w:r>
        <w:t>Taxa de Mudança Efetiva</w:t>
      </w:r>
    </w:p>
    <w:p>
      <w:r>
        <w:rPr>
          <w:rFonts w:ascii="Consolas" w:hAnsi="Consolas"/>
        </w:rPr>
        <w:t>TME = mudanças / participações</w:t>
      </w:r>
    </w:p>
    <w:p>
      <w:pPr>
        <w:pStyle w:val="Heading2"/>
      </w:pPr>
      <w:r>
        <w:t>Índice de recorrência</w:t>
      </w:r>
    </w:p>
    <w:p>
      <w:r>
        <w:t>A versão documentada utiliza um índice composto descritivo que combina participação, mudança, sequência consecutiva e diversidade de escolas. Deve ser lido como indicador exploratório, não como medida jurídica ou disciplinar.</w:t>
      </w:r>
    </w:p>
    <w:p>
      <w:pPr>
        <w:pStyle w:val="Heading2"/>
      </w:pPr>
      <w:r>
        <w:t>Elevada recorrência</w:t>
      </w:r>
    </w:p>
    <w:p>
      <w:r>
        <w:t>A classificação de elevada recorrência é baseada no percentil da distribuição observada, com referência inicial em P75 entre painéis com pelo menos duas participações.</w:t>
      </w:r>
    </w:p>
    <w:p>
      <w:r>
        <w:t>P75 significa pertencer aproximadamente ao quartil superior; não significa índice igual a 75.</w:t>
      </w:r>
    </w:p>
    <w:p>
      <w:pPr>
        <w:pStyle w:val="Heading1"/>
      </w:pPr>
      <w:r>
        <w:t>17. Markov</w:t>
      </w:r>
    </w:p>
    <w:p>
      <w:r>
        <w:t>As transições entre anos consecutivos são agregadas numa matriz empírica de estados:</w:t>
      </w:r>
    </w:p>
    <w:p>
      <w:r>
        <w:rPr>
          <w:rFonts w:ascii="Consolas" w:hAnsi="Consolas"/>
        </w:rPr>
        <w:t>P, M, NC</w:t>
      </w:r>
    </w:p>
    <w:p>
      <w:r>
        <w:t>Cada linha é normalizada para produzir probabilidades condicionais observadas, por exemplo:</w:t>
      </w:r>
    </w:p>
    <w:p>
      <w:r>
        <w:rPr>
          <w:rFonts w:ascii="Consolas" w:hAnsi="Consolas"/>
        </w:rPr>
        <w:t>P(P no ano seguinte | P no ano atual)</w:t>
      </w:r>
    </w:p>
    <w:p>
      <w:r>
        <w:t>As probabilidades são descritivas e dependem do período e universo selecionados.</w:t>
      </w:r>
    </w:p>
    <w:p>
      <w:pPr>
        <w:pStyle w:val="Heading1"/>
      </w:pPr>
      <w:r>
        <w:t>18. Heatmap de qualidade/cobertura</w:t>
      </w:r>
    </w:p>
    <w:p>
      <w:r>
        <w:t>Cada célula representa:</w:t>
      </w:r>
    </w:p>
    <w:p>
      <w:r>
        <w:rPr>
          <w:rFonts w:ascii="Consolas" w:hAnsi="Consolas"/>
        </w:rPr>
        <w:t>grupo de recrutamento × ano</w:t>
      </w:r>
    </w:p>
    <w:p>
      <w:r>
        <w:t>A cor pode representar:</w:t>
      </w:r>
    </w:p>
    <w:p>
      <w:pPr>
        <w:pStyle w:val="ListBullet"/>
      </w:pPr>
      <w:r>
        <w:t>número absoluto de candidatos; ou</w:t>
      </w:r>
    </w:p>
    <w:p>
      <w:pPr>
        <w:pStyle w:val="ListBullet"/>
      </w:pPr>
      <w:r>
        <w:t>percentagem do universo anual.</w:t>
      </w:r>
    </w:p>
    <w:p>
      <w:r>
        <w:t>Uma célula clara ou zero não implica automaticamente falha de qualidade. Deve ser interpretada em conjunto com cobertura documental, alterações legislativas e dimensão do universo anual.</w:t>
      </w:r>
    </w:p>
    <w:p>
      <w:pPr>
        <w:pStyle w:val="Heading1"/>
      </w:pPr>
      <w:r>
        <w:t>19. Controlo de qualidade</w:t>
      </w:r>
    </w:p>
    <w:p>
      <w:r>
        <w:t>A preparação anual regista, sempre que possível:</w:t>
      </w:r>
    </w:p>
    <w:p>
      <w:pPr>
        <w:pStyle w:val="ListBullet"/>
      </w:pPr>
      <w:r>
        <w:t>grupos presentes nas fontes;</w:t>
      </w:r>
    </w:p>
    <w:p>
      <w:pPr>
        <w:pStyle w:val="ListBullet"/>
      </w:pPr>
      <w:r>
        <w:t>candidatos interpretados;</w:t>
      </w:r>
    </w:p>
    <w:p>
      <w:pPr>
        <w:pStyle w:val="ListBullet"/>
      </w:pPr>
      <w:r>
        <w:t>colocados e não colocados;</w:t>
      </w:r>
    </w:p>
    <w:p>
      <w:pPr>
        <w:pStyle w:val="ListBullet"/>
      </w:pPr>
      <w:r>
        <w:t>resultados sem correspondência;</w:t>
      </w:r>
    </w:p>
    <w:p>
      <w:pPr>
        <w:pStyle w:val="ListBullet"/>
      </w:pPr>
      <w:r>
        <w:t>candidatos apenas na ordenação;</w:t>
      </w:r>
    </w:p>
    <w:p>
      <w:pPr>
        <w:pStyle w:val="ListBullet"/>
      </w:pPr>
      <w:r>
        <w:t>códigos escolares não catalogados;</w:t>
      </w:r>
    </w:p>
    <w:p>
      <w:pPr>
        <w:pStyle w:val="ListBullet"/>
      </w:pPr>
      <w:r>
        <w:t>origens indisponíveis;</w:t>
      </w:r>
    </w:p>
    <w:p>
      <w:pPr>
        <w:pStyle w:val="ListBullet"/>
      </w:pPr>
      <w:r>
        <w:t>exceções de estrutura documental.</w:t>
      </w:r>
    </w:p>
    <w:p>
      <w:pPr>
        <w:pStyle w:val="Heading1"/>
      </w:pPr>
      <w:r>
        <w:t>20. Privacidade e ética</w:t>
      </w:r>
    </w:p>
    <w:p>
      <w:pPr>
        <w:pStyle w:val="ListBullet"/>
      </w:pPr>
      <w:r>
        <w:t>nomes individuais não são necessários na interface pública;</w:t>
      </w:r>
    </w:p>
    <w:p>
      <w:pPr>
        <w:pStyle w:val="ListBullet"/>
      </w:pPr>
      <w:r>
        <w:t>trajetórias são apresentadas através de identificadores anonimizados;</w:t>
      </w:r>
    </w:p>
    <w:p>
      <w:pPr>
        <w:pStyle w:val="ListBullet"/>
      </w:pPr>
      <w:r>
        <w:t>anomalia estatística não é sinónimo de irregularidade;</w:t>
      </w:r>
    </w:p>
    <w:p>
      <w:pPr>
        <w:pStyle w:val="ListBullet"/>
      </w:pPr>
      <w:r>
        <w:t>escolas não devem ser rotuladas como “boas” ou “más” com base num único indicador;</w:t>
      </w:r>
    </w:p>
    <w:p>
      <w:pPr>
        <w:pStyle w:val="ListBullet"/>
      </w:pPr>
      <w:r>
        <w:t>a publicação deve respeitar a proveniência e as condições aplicáveis aos dados administrativos de origem.</w:t>
      </w:r>
    </w:p>
    <w:p>
      <w:pPr>
        <w:pStyle w:val="Heading1"/>
      </w:pPr>
      <w:r>
        <w:t>21. Âmbito da versão pública v6</w:t>
      </w:r>
    </w:p>
    <w:p>
      <w:r>
        <w:t>A v6 é uma versão de consulta descritiva. Foram retirados da interface os painéis de:</w:t>
      </w:r>
    </w:p>
    <w:p>
      <w:pPr>
        <w:pStyle w:val="ListBullet"/>
      </w:pPr>
      <w:r>
        <w:t>Inferência;</w:t>
      </w:r>
    </w:p>
    <w:p>
      <w:pPr>
        <w:pStyle w:val="ListBullet"/>
      </w:pPr>
      <w:r>
        <w:t>Conclusões.</w:t>
      </w:r>
    </w:p>
    <w:p>
      <w:r>
        <w:t>Esta decisão procura separar:</w:t>
      </w:r>
    </w:p>
    <w:p>
      <w:r/>
      <w:r>
        <w:rPr>
          <w:rFonts w:ascii="Consolas" w:hAnsi="Consolas"/>
        </w:rPr>
        <w:t>exploração pública descritiva</w:t>
      </w:r>
      <w:r>
        <w:t xml:space="preserve"> de </w:t>
      </w:r>
      <w:r>
        <w:rPr>
          <w:rFonts w:ascii="Consolas" w:hAnsi="Consolas"/>
        </w:rPr>
        <w:t>interpretação científica inferencial</w:t>
      </w:r>
      <w:r>
        <w:t>.</w:t>
      </w:r>
    </w:p>
    <w:p>
      <w:r>
        <w:t>Testes estatísticos podem ser realizados externamente a partir dos dados exportados, com hipóteses e especificações previamente definidas.</w:t>
      </w:r>
    </w:p>
    <w:p>
      <w:pPr>
        <w:pStyle w:val="Heading1"/>
      </w:pPr>
      <w:r>
        <w:t>22. Limitações</w:t>
      </w:r>
    </w:p>
    <w:p>
      <w:r>
        <w:t>Entre as limitações principais encontram-se:</w:t>
      </w:r>
    </w:p>
    <w:p>
      <w:pPr>
        <w:pStyle w:val="ListBullet"/>
      </w:pPr>
      <w:r>
        <w:t>o universo corresponde a participantes na Mobilidade Interna, não ao corpo docente total das escolas;</w:t>
      </w:r>
    </w:p>
    <w:p>
      <w:pPr>
        <w:pStyle w:val="ListBullet"/>
      </w:pPr>
      <w:r>
        <w:t>alterações legislativas entre anos podem reduzir comparabilidade direta;</w:t>
      </w:r>
    </w:p>
    <w:p>
      <w:pPr>
        <w:pStyle w:val="ListBullet"/>
      </w:pPr>
      <w:r>
        <w:t>PS/PE medem a composição do movimento observado, não turnover total;</w:t>
      </w:r>
    </w:p>
    <w:p>
      <w:pPr>
        <w:pStyle w:val="ListBullet"/>
      </w:pPr>
      <w:r>
        <w:t>dados sobre vagas, preferências ordenadas e sequência completa de atribuição seriam necessários para análises causais mais fortes sobre compressão de oportunidades;</w:t>
      </w:r>
    </w:p>
    <w:p>
      <w:pPr>
        <w:pStyle w:val="ListBullet"/>
      </w:pPr>
      <w:r>
        <w:t>códigos, agrupamentos e designações podem mudar no tempo;</w:t>
      </w:r>
    </w:p>
    <w:p>
      <w:pPr>
        <w:pStyle w:val="ListBullet"/>
      </w:pPr>
      <w:r>
        <w:t>algumas exceções documentais exigem controlo específico por ano.</w:t>
      </w:r>
    </w:p>
    <w:p>
      <w:pPr>
        <w:pStyle w:val="Heading1"/>
      </w:pPr>
      <w:r>
        <w:t>23. Reprodutibilidade</w:t>
      </w:r>
    </w:p>
    <w:p>
      <w:r>
        <w:t>A metodologia segue o princípio:</w:t>
      </w:r>
    </w:p>
    <w:p>
      <w:pPr>
        <w:pStyle w:val="IntenseQuote"/>
      </w:pPr>
      <w:r>
        <w:t>O painel pode resumir; o download deve permitir auditar.</w:t>
      </w:r>
    </w:p>
    <w:p>
      <w:r>
        <w:t>Os resultados apresentados devem poder ser reconstruídos a partir das bases limpas e das regras documentadas.</w:t>
      </w:r>
    </w:p>
    <w:p>
      <w:pPr>
        <w:pStyle w:val="Heading1"/>
      </w:pPr>
      <w:r>
        <w:t>24. Versão e citação</w:t>
      </w:r>
    </w:p>
    <w:p>
      <w:r>
        <w:t>Versão metodológica: 2.0, agosto de 2026</w:t>
      </w:r>
    </w:p>
    <w:p>
      <w:r>
        <w:t>Aplicação: v6 — Consulta Descritiva</w:t>
      </w:r>
    </w:p>
    <w:p>
      <w:r>
        <w:t>Citação provisória:</w:t>
      </w:r>
    </w:p>
    <w:p>
      <w:pPr>
        <w:pStyle w:val="IntenseQuote"/>
      </w:pPr>
      <w:r>
        <w:t>Fernandes, M. P., &amp; Serra, P. (2026). *Observatório Estatístico e Longitudinal da Mobilidade Docente: versão pública v6 — Consulta Descritiva* [Aplicação web].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Fernandes &amp; Serra · Observatório v6 · agosto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