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rlito" w:hAnsi="Carlito"/>
          <w:b/>
          <w:color w:val="17365D"/>
          <w:sz w:val="60"/>
        </w:rPr>
        <w:br/>
        <w:br/>
        <w:t>MANUAL DO OBSERVATÓRIO</w:t>
      </w:r>
      <w:r>
        <w:rPr>
          <w:b/>
          <w:color w:val="2255A4"/>
          <w:sz w:val="44"/>
        </w:rPr>
        <w:br/>
        <w:t>Estatístico e Longitudinal da Mobilidade Docente</w:t>
      </w:r>
      <w:r>
        <w:rPr>
          <w:color w:val="475467"/>
          <w:sz w:val="28"/>
        </w:rPr>
        <w:br/>
        <w:br/>
        <w:t>Metodologia, utilização, interpretação e reprodutibilidade</w:t>
      </w:r>
    </w:p>
    <w:p>
      <w:r>
        <w:br/>
      </w:r>
    </w:p>
    <w:p>
      <w:pPr>
        <w:jc w:val="center"/>
      </w:pPr>
      <w:r>
        <w:t>Prof. Manuel P. Fernandes</w:t>
        <w:br/>
        <w:t>Prof. Pedro Serra</w:t>
        <w:br/>
        <w:br/>
        <w:t>Versão 2.0 — agosto de 2026</w:t>
        <w:br/>
        <w:t>Aplicação documentada: v6 — Consulta Descritiva</w:t>
      </w:r>
    </w:p>
    <w:p>
      <w:r>
        <w:br w:type="page"/>
      </w:r>
    </w:p>
    <w:p>
      <w:pPr>
        <w:pStyle w:val="Heading1"/>
      </w:pPr>
      <w:r>
        <w:t>Índice</w:t>
      </w:r>
    </w:p>
    <w:p>
      <w:pPr>
        <w:spacing w:after="40"/>
        <w:ind w:left="227"/>
      </w:pPr>
      <w:r>
        <w:t>1. Apresentação do Observatório</w:t>
      </w:r>
    </w:p>
    <w:p>
      <w:pPr>
        <w:spacing w:after="40"/>
        <w:ind w:left="227"/>
      </w:pPr>
      <w:r>
        <w:t>2. Começar em cinco minutos</w:t>
      </w:r>
    </w:p>
    <w:p>
      <w:pPr>
        <w:spacing w:after="40"/>
        <w:ind w:left="227"/>
      </w:pPr>
      <w:r>
        <w:t>3. Fontes, construção e validação da base</w:t>
      </w:r>
    </w:p>
    <w:p>
      <w:pPr>
        <w:spacing w:after="40"/>
        <w:ind w:left="227"/>
      </w:pPr>
      <w:r>
        <w:t>4. Filtros globais e regras de comparabilidade</w:t>
      </w:r>
    </w:p>
    <w:p>
      <w:pPr>
        <w:spacing w:after="40"/>
        <w:ind w:left="227"/>
      </w:pPr>
      <w:r>
        <w:t>5. Painel «Visão geral»</w:t>
      </w:r>
    </w:p>
    <w:p>
      <w:pPr>
        <w:spacing w:after="40"/>
        <w:ind w:left="227"/>
      </w:pPr>
      <w:r>
        <w:t>6. Painel «Rede»</w:t>
      </w:r>
    </w:p>
    <w:p>
      <w:pPr>
        <w:spacing w:after="40"/>
        <w:ind w:left="227"/>
      </w:pPr>
      <w:r>
        <w:t>7. Painel «QA/QE vs QZP»</w:t>
      </w:r>
    </w:p>
    <w:p>
      <w:pPr>
        <w:spacing w:after="40"/>
        <w:ind w:left="227"/>
      </w:pPr>
      <w:r>
        <w:t>8. Painel «Pressão e rankings»</w:t>
      </w:r>
    </w:p>
    <w:p>
      <w:pPr>
        <w:spacing w:after="40"/>
        <w:ind w:left="227"/>
      </w:pPr>
      <w:r>
        <w:t>9. Painel «Escolas»</w:t>
      </w:r>
    </w:p>
    <w:p>
      <w:pPr>
        <w:spacing w:after="40"/>
        <w:ind w:left="227"/>
      </w:pPr>
      <w:r>
        <w:t>10. Painel «Longitudinal»</w:t>
      </w:r>
    </w:p>
    <w:p>
      <w:pPr>
        <w:spacing w:after="40"/>
        <w:ind w:left="227"/>
      </w:pPr>
      <w:r>
        <w:t>11. Painel «Trajetórias»</w:t>
      </w:r>
    </w:p>
    <w:p>
      <w:pPr>
        <w:spacing w:after="40"/>
        <w:ind w:left="227"/>
      </w:pPr>
      <w:r>
        <w:t>12. Painel «Markov»</w:t>
      </w:r>
    </w:p>
    <w:p>
      <w:pPr>
        <w:spacing w:after="40"/>
        <w:ind w:left="227"/>
      </w:pPr>
      <w:r>
        <w:t>13. Análise estatística externa</w:t>
      </w:r>
    </w:p>
    <w:p>
      <w:pPr>
        <w:spacing w:after="40"/>
        <w:ind w:left="227"/>
      </w:pPr>
      <w:r>
        <w:t>13. Painel «Qualidade»</w:t>
      </w:r>
    </w:p>
    <w:p>
      <w:pPr>
        <w:spacing w:after="40"/>
        <w:ind w:left="227"/>
      </w:pPr>
      <w:r>
        <w:t>14. Painel «Metodologia»</w:t>
      </w:r>
    </w:p>
    <w:p>
      <w:pPr>
        <w:spacing w:after="40"/>
        <w:ind w:left="227"/>
      </w:pPr>
      <w:r>
        <w:t>16. Painel «sínteses conclusivas»</w:t>
      </w:r>
    </w:p>
    <w:p>
      <w:pPr>
        <w:spacing w:after="40"/>
        <w:ind w:left="227"/>
      </w:pPr>
      <w:r>
        <w:t>15. Metodologia longitudinal integrada</w:t>
      </w:r>
    </w:p>
    <w:p>
      <w:pPr>
        <w:spacing w:after="40"/>
        <w:ind w:left="227"/>
      </w:pPr>
      <w:r>
        <w:t>16. Privacidade, ética e leitura responsável</w:t>
      </w:r>
    </w:p>
    <w:p>
      <w:pPr>
        <w:spacing w:after="40"/>
        <w:ind w:left="227"/>
      </w:pPr>
      <w:r>
        <w:t>17. Ficheiros de download e reprodutibilidade</w:t>
      </w:r>
    </w:p>
    <w:p>
      <w:pPr>
        <w:spacing w:after="40"/>
        <w:ind w:left="227"/>
      </w:pPr>
      <w:r>
        <w:t>18. Perguntas frequentes</w:t>
      </w:r>
    </w:p>
    <w:p>
      <w:pPr>
        <w:spacing w:after="40"/>
        <w:ind w:left="227"/>
      </w:pPr>
      <w:r>
        <w:t>19. Glossário</w:t>
      </w:r>
    </w:p>
    <w:p>
      <w:pPr>
        <w:spacing w:after="40"/>
        <w:ind w:left="227"/>
      </w:pPr>
      <w:r>
        <w:t>Apêndice A. Fórmulas de referência</w:t>
      </w:r>
    </w:p>
    <w:p>
      <w:pPr>
        <w:spacing w:after="40"/>
        <w:ind w:left="227"/>
      </w:pPr>
      <w:r>
        <w:t>Apêndice B. Ficha técnica</w:t>
      </w:r>
    </w:p>
    <w:p>
      <w:r>
        <w:br w:type="page"/>
      </w:r>
    </w:p>
    <w:p>
      <w:pPr>
        <w:pStyle w:val="Heading1"/>
      </w:pPr>
      <w:r>
        <w:t>1. Apresentação do Observatório</w:t>
      </w:r>
    </w:p>
    <w:p>
      <w:pPr>
        <w:spacing w:after="120" w:line="259" w:lineRule="auto"/>
      </w:pPr>
      <w:r>
        <w:t>O Observatório Estatístico e Longitudinal da Mobilidade Docente é uma aplicação interativa destinada à análise da Mobilidade Interna de docentes ao longo de vários anos letivos. A aplicação combina estatística descritiva, análise longitudinal, redes dirigidas, trajetórias anonimizadas e inferência estatística, procurando distinguir três conceitos que frequentemente são confundidos: estabilidade do vínculo profissional, permanência do docente numa escola e estabilidade organizacional da escola.</w:t>
      </w:r>
    </w:p>
    <w:p>
      <w:pPr>
        <w:pStyle w:val="IntenseQuote"/>
      </w:pPr>
      <w:r>
        <w:t>Âmbito da versão pública v6: a aplicação é deliberadamente descritiva. Os painéis de análise estatística externa e sínteses conclusivas (não incluídos nesta versão) não integram esta versão, para reduzir o risco de orientar previamente a consulta. A análise inferencial pode ser realizada externamente a partir dos ficheiros de download.</w:t>
      </w:r>
    </w:p>
    <w:p>
      <w:pPr>
        <w:pStyle w:val="Heading2"/>
      </w:pPr>
      <w:r>
        <w:t>1.1 Questão de investigação e princípio conceptual</w:t>
      </w:r>
    </w:p>
    <w:p>
      <w:pPr>
        <w:spacing w:after="120" w:line="259" w:lineRule="auto"/>
      </w:pPr>
      <w:r>
        <w:t>A questão orientadora é: «Os concursos trazem estabilidade ao corpo docente das escolas?» O Observatório não parte da premissa de que mobilidade é, por definição, negativa. Uma mudança de escola pode melhorar o ajustamento entre docente e organização; o sinal relevante surge quando volume, direção, persistência e contexto formam padrões consistentes.</w:t>
      </w:r>
    </w:p>
    <w:p>
      <w:pPr>
        <w:pStyle w:val="Equation"/>
        <w:jc w:val="center"/>
      </w:pPr>
      <w:r>
        <w:rPr>
          <w:b/>
        </w:rPr>
        <w:t>Estabilidade do vínculo ≠ estabilidade geográfica ≠ estabilidade organizacional</w:t>
      </w:r>
    </w:p>
    <w:p>
      <w:pPr>
        <w:pStyle w:val="Caption2"/>
        <w:jc w:val="center"/>
      </w:pPr>
      <w:r>
        <w:t>Esta distinção deve acompanhar toda a leitura da aplicação.</w:t>
      </w:r>
    </w:p>
    <w:p>
      <w:pPr>
        <w:pStyle w:val="Heading2"/>
      </w:pPr>
      <w:r>
        <w:t>1.2 Período e dimensão do estudo</w:t>
      </w:r>
    </w:p>
    <w:p>
      <w:pPr>
        <w:spacing w:after="120" w:line="259" w:lineRule="auto"/>
      </w:pPr>
      <w:r>
        <w:t>A versão documentada neste manual cobre 2016/2017 a 2026/2027. No conjunto das bases anuais são observadas 150 399 participações na Mobilidade Interna  das quais 107 803 correspondem a colocações  42 596 a não colocações e 74 448 a migrações efetivas com origem e destino escolares conhecidos.</w:t>
      </w:r>
    </w:p>
    <w:p>
      <w:pPr>
        <w:pStyle w:val="Heading2"/>
      </w:pPr>
      <w:r>
        <w:t>1.3 Três níveis de leitura</w:t>
      </w:r>
    </w:p>
    <w:p>
      <w:pPr>
        <w:pStyle w:val="ListBullet"/>
      </w:pPr>
      <w:r>
        <w:t>Leitura rápida: cartões, gráficos e rankings para identificação de padrões.</w:t>
      </w:r>
    </w:p>
    <w:p>
      <w:pPr>
        <w:pStyle w:val="ListBullet"/>
      </w:pPr>
      <w:r>
        <w:t>Leitura analítica: tabelas completas, filtros por ano/grupo/tipo e downloads integrais.</w:t>
      </w:r>
    </w:p>
    <w:p>
      <w:pPr>
        <w:pStyle w:val="ListBullet"/>
      </w:pPr>
      <w:r>
        <w:t>Leitura metodológica: fórmulas, critérios, controlos de qualidade e limitações explicitadas neste manual.</w:t>
      </w:r>
    </w:p>
    <w:p>
      <w:pPr>
        <w:pStyle w:val="Heading1"/>
      </w:pPr>
      <w:r>
        <w:t>2. Começar em cinco minutos</w:t>
      </w:r>
    </w:p>
    <w:p>
      <w:pPr>
        <w:spacing w:after="120" w:line="259" w:lineRule="auto"/>
      </w:pPr>
      <w:r>
        <w:t>Para uma primeira utilização recomenda-se a seguinte sequência. O utilizador pode depois aprofundar a análise com os painéis longitudinais e inferenciais.</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Percurso rápido recomendado: </w:t>
            </w:r>
            <w:r/>
          </w:p>
        </w:tc>
      </w:tr>
    </w:tbl>
    <w:p>
      <w:pPr>
        <w:spacing w:after="20"/>
      </w:pPr>
    </w:p>
    <w:p>
      <w:pPr>
        <w:ind w:left="283" w:hanging="198"/>
      </w:pPr>
      <w:r>
        <w:rPr>
          <w:b/>
        </w:rPr>
        <w:t xml:space="preserve">1. </w:t>
      </w:r>
      <w:r>
        <w:t>Escolher o ano letivo no filtro global.</w:t>
      </w:r>
    </w:p>
    <w:p>
      <w:pPr>
        <w:ind w:left="283" w:hanging="198"/>
      </w:pPr>
      <w:r>
        <w:rPr>
          <w:b/>
        </w:rPr>
        <w:t xml:space="preserve">2. </w:t>
      </w:r>
      <w:r>
        <w:t>Selecionar «Todos os grupos» ou um grupo de recrutamento específico.</w:t>
      </w:r>
    </w:p>
    <w:p>
      <w:pPr>
        <w:ind w:left="283" w:hanging="198"/>
      </w:pPr>
      <w:r>
        <w:rPr>
          <w:b/>
        </w:rPr>
        <w:t xml:space="preserve">3. </w:t>
      </w:r>
      <w:r>
        <w:t>Selecionar Todos, QA/QE ou QZP.</w:t>
      </w:r>
    </w:p>
    <w:p>
      <w:pPr>
        <w:ind w:left="283" w:hanging="198"/>
      </w:pPr>
      <w:r>
        <w:rPr>
          <w:b/>
        </w:rPr>
        <w:t xml:space="preserve">4. </w:t>
      </w:r>
      <w:r>
        <w:t>Usar M=10 como ponto de partida para rankings e tipologias longitudinais; usar M=1 quando se pretende máxima cobertura.</w:t>
      </w:r>
    </w:p>
    <w:p>
      <w:pPr>
        <w:ind w:left="283" w:hanging="198"/>
      </w:pPr>
      <w:r>
        <w:t>5. Consultar Visão geral → Rede → Pressão e rankings → Escolas; depois avançar para Longitudinal, Trajetórias, Markov e Qualidade.</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Regra prática: </w:t>
            </w:r>
            <w:r>
              <w:t>A interface pode mostrar apenas os primeiros casos para preservar legibilidade. Sempre que existe um botão de download, o ficheiro descarregado contém o universo completo compatível com os filtros atuais.</w:t>
            </w:r>
          </w:p>
        </w:tc>
      </w:tr>
    </w:tbl>
    <w:p>
      <w:pPr>
        <w:spacing w:after="20"/>
      </w:pPr>
    </w:p>
    <w:p>
      <w:pPr>
        <w:pStyle w:val="Heading1"/>
      </w:pPr>
      <w:r>
        <w:t>3. Fontes, construção e validação da base</w:t>
      </w:r>
    </w:p>
    <w:p>
      <w:pPr>
        <w:jc w:val="center"/>
      </w:pPr>
      <w:r>
        <w:drawing>
          <wp:inline xmlns:a="http://schemas.openxmlformats.org/drawingml/2006/main" xmlns:pic="http://schemas.openxmlformats.org/drawingml/2006/picture">
            <wp:extent cx="5530291" cy="1948769"/>
            <wp:docPr id="1" name="Picture 1"/>
            <wp:cNvGraphicFramePr>
              <a:graphicFrameLocks noChangeAspect="1"/>
            </wp:cNvGraphicFramePr>
            <a:graphic>
              <a:graphicData uri="http://schemas.openxmlformats.org/drawingml/2006/picture">
                <pic:pic>
                  <pic:nvPicPr>
                    <pic:cNvPr id="0" name="01_fluxo_dados.png"/>
                    <pic:cNvPicPr/>
                  </pic:nvPicPr>
                  <pic:blipFill>
                    <a:blip r:embed="rId11"/>
                    <a:stretch>
                      <a:fillRect/>
                    </a:stretch>
                  </pic:blipFill>
                  <pic:spPr>
                    <a:xfrm>
                      <a:off x="0" y="0"/>
                      <a:ext cx="5530291" cy="1948769"/>
                    </a:xfrm>
                    <a:prstGeom prst="rect"/>
                  </pic:spPr>
                </pic:pic>
              </a:graphicData>
            </a:graphic>
          </wp:inline>
        </w:drawing>
      </w:r>
    </w:p>
    <w:p>
      <w:pPr>
        <w:pStyle w:val="Caption2"/>
        <w:jc w:val="center"/>
      </w:pPr>
      <w:r>
        <w:t>Figura 1 — Fluxo de construção da base analítica utilizada pelo Observatório.</w:t>
      </w:r>
    </w:p>
    <w:p>
      <w:pPr>
        <w:pStyle w:val="Heading2"/>
      </w:pPr>
      <w:r>
        <w:t>3.1 Fontes principais</w:t>
      </w:r>
    </w:p>
    <w:p>
      <w:pPr>
        <w:pStyle w:val="ListBullet"/>
      </w:pPr>
      <w:r>
        <w:t>Lista Definitiva de Ordenação da Mobilidade Interna: usada para recuperar tipo de candidato, grupo de recrutamento, prioridade, graduação e, sobretudo, a escola concreta onde o docente estava provido/colocado antes do resultado da MI.</w:t>
      </w:r>
    </w:p>
    <w:p>
      <w:pPr>
        <w:pStyle w:val="ListBullet"/>
      </w:pPr>
      <w:r>
        <w:t>Lista Definitiva de Colocação: identifica os candidatos colocados e a escola de destino.</w:t>
      </w:r>
    </w:p>
    <w:p>
      <w:pPr>
        <w:pStyle w:val="ListBullet"/>
      </w:pPr>
      <w:r>
        <w:t>Lista Definitiva de Não Colocação: identifica candidatos sem nova colocação.</w:t>
      </w:r>
    </w:p>
    <w:p>
      <w:pPr>
        <w:pStyle w:val="ListBullet"/>
      </w:pPr>
      <w:r>
        <w:t>Cadastro de códigos de agrupamentos/escolas: usado para apresentar uma designação canónica, concelho e informação de QZP, mantendo códigos históricos/especiais quando estes surgem na série.</w:t>
      </w:r>
    </w:p>
    <w:p>
      <w:pPr>
        <w:pStyle w:val="Heading2"/>
      </w:pPr>
      <w:r>
        <w:t>3.2 Chave de cruzamento</w:t>
      </w:r>
    </w:p>
    <w:p>
      <w:pPr>
        <w:pStyle w:val="Equation"/>
        <w:jc w:val="center"/>
      </w:pPr>
      <w:r>
        <w:rPr>
          <w:b/>
        </w:rPr>
        <w:t>Chave = N.º de Utilizador + Grupo de Recrutamento</w:t>
      </w:r>
    </w:p>
    <w:p>
      <w:pPr>
        <w:spacing w:after="120" w:line="259" w:lineRule="auto"/>
      </w:pPr>
      <w:r>
        <w:t>O número de utilizador isolado não é suficiente para definir uma linha de análise porque um docente pode surgir em mais de um grupo. O grupo é, portanto, parte da chave operacional.</w:t>
      </w:r>
    </w:p>
    <w:p>
      <w:pPr>
        <w:pStyle w:val="Heading2"/>
      </w:pPr>
      <w:r>
        <w:t>3.3 Regra de limpeza</w:t>
      </w:r>
    </w:p>
    <w:p>
      <w:pPr>
        <w:pStyle w:val="Equation"/>
        <w:jc w:val="center"/>
      </w:pPr>
      <w:r>
        <w:rPr>
          <w:b/>
        </w:rPr>
        <w:t>Base analítica = Ordenação ∩ (Colocados ∪ Não colocados)</w:t>
      </w:r>
    </w:p>
    <w:p>
      <w:pPr>
        <w:spacing w:after="120" w:line="259" w:lineRule="auto"/>
      </w:pPr>
      <w:r>
        <w:t>Um candidato presente apenas na ordenação não é automaticamente classificado como não colocado. A base retém apenas situações finais documentadas. Quando a escola de origem é desconhecida mas a situação final é válida, o candidato pode permanecer na análise individual/global, ficando excluído da rede origem→destino.</w:t>
      </w:r>
    </w:p>
    <w:p>
      <w:pPr>
        <w:pStyle w:val="Heading2"/>
      </w:pPr>
      <w:r>
        <w:t>3.4 Identidade das escolas</w:t>
      </w:r>
    </w:p>
    <w:p>
      <w:pPr>
        <w:pStyle w:val="Equation"/>
        <w:jc w:val="center"/>
      </w:pPr>
      <w:r>
        <w:rPr>
          <w:b/>
        </w:rPr>
        <w:t>Identidade da escola = Código</w:t>
      </w:r>
    </w:p>
    <w:p>
      <w:pPr>
        <w:spacing w:after="120" w:line="259" w:lineRule="auto"/>
      </w:pPr>
      <w:r>
        <w:t>A agregação é feita pelo código, nunca apenas pela designação. Esta regra evita fundir estabelecimentos com nomes semelhantes e permite preservar alterações históricas de designação.</w:t>
      </w:r>
    </w:p>
    <w:p>
      <w:pPr>
        <w:spacing w:before="100" w:after="80"/>
      </w:pPr>
      <w:r>
        <w:rPr>
          <w:b/>
        </w:rPr>
        <w:t>Exemplo — três entidades distintas no mesmo concelho.</w:t>
      </w:r>
    </w:p>
    <w:tbl>
      <w:tblPr>
        <w:tblStyle w:val="TableGrid"/>
        <w:tblW w:type="auto" w:w="0"/>
        <w:jc w:val="center"/>
        <w:tblLook w:firstColumn="1" w:firstRow="1" w:lastColumn="0" w:lastRow="0" w:noHBand="0" w:noVBand="1" w:val="04A0"/>
      </w:tblPr>
      <w:tblGrid>
        <w:gridCol w:w="4986"/>
        <w:gridCol w:w="4986"/>
      </w:tblGrid>
      <w:tr>
        <w:tc>
          <w:tcPr>
            <w:tcW w:type="dxa" w:w="4986"/>
            <w:shd w:fill="DCE6F1"/>
          </w:tcPr>
          <w:p>
            <w:r>
              <w:rPr>
                <w:b/>
                <w:sz w:val="17"/>
              </w:rPr>
              <w:t>Código</w:t>
            </w:r>
          </w:p>
        </w:tc>
        <w:tc>
          <w:tcPr>
            <w:tcW w:type="dxa" w:w="4986"/>
            <w:shd w:fill="DCE6F1"/>
          </w:tcPr>
          <w:p>
            <w:r>
              <w:rPr>
                <w:b/>
                <w:sz w:val="17"/>
              </w:rPr>
              <w:t>Entidade</w:t>
            </w:r>
          </w:p>
        </w:tc>
      </w:tr>
      <w:tr>
        <w:tc>
          <w:tcPr>
            <w:tcW w:type="dxa" w:w="4986"/>
          </w:tcPr>
          <w:p>
            <w:r>
              <w:rPr>
                <w:sz w:val="16"/>
              </w:rPr>
              <w:t>171104</w:t>
            </w:r>
          </w:p>
        </w:tc>
        <w:tc>
          <w:tcPr>
            <w:tcW w:type="dxa" w:w="4986"/>
          </w:tcPr>
          <w:p>
            <w:r>
              <w:rPr>
                <w:sz w:val="16"/>
              </w:rPr>
              <w:t>Agrupamento de Escolas de Palmela</w:t>
            </w:r>
          </w:p>
        </w:tc>
      </w:tr>
      <w:tr>
        <w:tc>
          <w:tcPr>
            <w:tcW w:type="dxa" w:w="4986"/>
          </w:tcPr>
          <w:p>
            <w:r>
              <w:rPr>
                <w:sz w:val="16"/>
              </w:rPr>
              <w:t>403210</w:t>
            </w:r>
          </w:p>
        </w:tc>
        <w:tc>
          <w:tcPr>
            <w:tcW w:type="dxa" w:w="4986"/>
          </w:tcPr>
          <w:p>
            <w:r>
              <w:rPr>
                <w:sz w:val="16"/>
              </w:rPr>
              <w:t>Escola Secundária de Palmela</w:t>
            </w:r>
          </w:p>
        </w:tc>
      </w:tr>
      <w:tr>
        <w:tc>
          <w:tcPr>
            <w:tcW w:type="dxa" w:w="4986"/>
          </w:tcPr>
          <w:p>
            <w:r>
              <w:rPr>
                <w:sz w:val="16"/>
              </w:rPr>
              <w:t>403222</w:t>
            </w:r>
          </w:p>
        </w:tc>
        <w:tc>
          <w:tcPr>
            <w:tcW w:type="dxa" w:w="4986"/>
          </w:tcPr>
          <w:p>
            <w:r>
              <w:rPr>
                <w:sz w:val="16"/>
              </w:rPr>
              <w:t>Escola Secundária de Pinhal Novo, Palmela</w:t>
            </w:r>
          </w:p>
        </w:tc>
      </w:tr>
    </w:tbl>
    <w:p>
      <w:pPr>
        <w:spacing w:after="20"/>
      </w:pPr>
    </w:p>
    <w:p>
      <w:pPr>
        <w:pStyle w:val="Heading1"/>
      </w:pPr>
      <w:r>
        <w:t>4. Filtros globais e regras de comparabilidade</w:t>
      </w:r>
    </w:p>
    <w:p>
      <w:pPr>
        <w:pStyle w:val="Heading2"/>
      </w:pPr>
      <w:r>
        <w:t>4.1 Ano letivo</w:t>
      </w:r>
    </w:p>
    <w:p>
      <w:pPr>
        <w:spacing w:after="120" w:line="259" w:lineRule="auto"/>
      </w:pPr>
      <w:r>
        <w:t>O seletor de ano afeta as análises anuais — Visão geral, Rede, QA/QE vs QZP, Pressão e rankings e Escolas. Os painéis longitudinais utilizam o intervalo «De / Até».</w:t>
      </w:r>
    </w:p>
    <w:p>
      <w:pPr>
        <w:pStyle w:val="Heading2"/>
      </w:pPr>
      <w:r>
        <w:t>4.2 Grupo de recrutamento</w:t>
      </w:r>
    </w:p>
    <w:p>
      <w:pPr>
        <w:spacing w:after="120" w:line="259" w:lineRule="auto"/>
      </w:pPr>
      <w:r>
        <w:t>Permite trabalhar com todos os grupos ou restringir a um grupo. A comparação de QA/QE e QZP deve ser lida com especial prudência quando um grupo tem amostras pequenas ou regras específicas.</w:t>
      </w:r>
    </w:p>
    <w:p>
      <w:pPr>
        <w:pStyle w:val="Heading2"/>
      </w:pPr>
      <w:r>
        <w:t>4.3 Tipo de candidato</w:t>
      </w:r>
    </w:p>
    <w:p>
      <w:pPr>
        <w:spacing w:after="120" w:line="259" w:lineRule="auto"/>
      </w:pPr>
      <w:r>
        <w:t>O filtro permite Todos, QA/QE ou QZP. Quando a aplicação mostra indicadores que dependem simultaneamente dos dois tipos — por exemplo INCD ou OR — é preferível manter «Todos».</w:t>
      </w:r>
    </w:p>
    <w:p>
      <w:pPr>
        <w:pStyle w:val="Heading2"/>
      </w:pPr>
      <w:r>
        <w:t>4.4 Limiar mínimo M</w:t>
      </w:r>
    </w:p>
    <w:p>
      <w:pPr>
        <w:spacing w:after="120" w:line="259" w:lineRule="auto"/>
      </w:pPr>
      <w:r>
        <w:t>O limiar mínimo M é um mecanismo de robustez visual e descritiva. Na versão atual, ele afeta rankings e tipologias longitudinais, mas não elimina escolas da tabela integral. Assim, uma escola com M=4 continua pesquisável, embora possa ficar fora de um ranking definido com M≥10.</w:t>
      </w:r>
    </w:p>
    <w:p>
      <w:pPr>
        <w:pStyle w:val="Equation"/>
        <w:jc w:val="center"/>
      </w:pPr>
      <w:r>
        <w:rPr>
          <w:b/>
        </w:rPr>
        <w:t>M = Entradas + Saídas</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Palmela: </w:t>
            </w:r>
            <w:r>
              <w:t>Em 2016/2017 a Escola Secundária de Palmela (403210) tinha M=4. Com M≥10 ficava fora dos rankings, mas continua presente na base e pesquisável na tabela/rede específica.</w:t>
            </w:r>
          </w:p>
        </w:tc>
      </w:tr>
    </w:tbl>
    <w:p>
      <w:pPr>
        <w:spacing w:after="20"/>
      </w:pPr>
    </w:p>
    <w:p>
      <w:pPr>
        <w:pStyle w:val="Heading1"/>
      </w:pPr>
      <w:r>
        <w:t>5. Painel «Visão geral»</w:t>
      </w:r>
    </w:p>
    <w:p>
      <w:pPr>
        <w:pStyle w:val="Heading2"/>
      </w:pPr>
      <w:r>
        <w:t>5.1 Objetivo</w:t>
      </w:r>
    </w:p>
    <w:p>
      <w:pPr>
        <w:spacing w:after="120" w:line="259" w:lineRule="auto"/>
      </w:pPr>
      <w:r>
        <w:t>Fornecer uma fotografia imediata do universo selecionado: candidatos, colocados, não colocados, migrações efetivas, permanências e evolução temporal.</w:t>
      </w:r>
    </w:p>
    <w:p>
      <w:pPr>
        <w:pStyle w:val="Heading2"/>
      </w:pPr>
      <w:r>
        <w:t>5.2 Cálculos de suporte</w:t>
      </w:r>
    </w:p>
    <w:p>
      <w:pPr>
        <w:pStyle w:val="Equation"/>
        <w:jc w:val="center"/>
      </w:pPr>
      <w:r>
        <w:rPr>
          <w:b/>
        </w:rPr>
        <w:t>Taxa de colocação = Colocados / Candidatos × 100</w:t>
      </w:r>
    </w:p>
    <w:p>
      <w:pPr>
        <w:pStyle w:val="Equation"/>
        <w:jc w:val="center"/>
      </w:pPr>
      <w:r>
        <w:rPr>
          <w:b/>
        </w:rPr>
        <w:t>Taxa NC = Não colocados / Candidatos × 100</w:t>
      </w:r>
    </w:p>
    <w:p>
      <w:pPr>
        <w:spacing w:after="120" w:line="259" w:lineRule="auto"/>
      </w:pPr>
      <w:r>
        <w:t>Migração efetiva exige origem e destino escolares conhecidos e diferentes. Permanência exige origem=destino. Um colocado com origem indisponível pode entrar nos totais de colocação, mas não numa migração escola→escola.</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Leitura anual: </w:t>
            </w:r>
            <w:r/>
          </w:p>
        </w:tc>
      </w:tr>
    </w:tbl>
    <w:p>
      <w:pPr>
        <w:spacing w:after="20"/>
      </w:pPr>
    </w:p>
    <w:p>
      <w:pPr>
        <w:ind w:left="283" w:hanging="198"/>
      </w:pPr>
      <w:r>
        <w:rPr>
          <w:b/>
        </w:rPr>
        <w:t xml:space="preserve">1. </w:t>
      </w:r>
      <w:r>
        <w:t>Selecionar 2026/2027, todos os grupos e todos os tipos.</w:t>
      </w:r>
    </w:p>
    <w:p>
      <w:pPr>
        <w:ind w:left="283" w:hanging="198"/>
      </w:pPr>
      <w:r>
        <w:rPr>
          <w:b/>
        </w:rPr>
        <w:t xml:space="preserve">2. </w:t>
      </w:r>
      <w:r>
        <w:t>Comparar colocados, não colocados, migrações e permanências.</w:t>
      </w:r>
    </w:p>
    <w:p>
      <w:pPr>
        <w:ind w:left="283" w:hanging="198"/>
      </w:pPr>
      <w:r>
        <w:rPr>
          <w:b/>
        </w:rPr>
        <w:t xml:space="preserve">3. </w:t>
      </w:r>
      <w:r>
        <w:t>Mudar para 2025/2026 e verificar se a diferença resulta de alterações do universo ou da taxa de colocação.</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Resultado / leitura esperada: </w:t>
            </w:r>
            <w:r>
              <w:t>A Visão geral serve para formular perguntas; a explicação deve ser procurada nos painéis seguintes.</w:t>
            </w:r>
          </w:p>
        </w:tc>
      </w:tr>
    </w:tbl>
    <w:p>
      <w:pPr>
        <w:spacing w:after="20"/>
      </w:pPr>
    </w:p>
    <w:p>
      <w:pPr>
        <w:pStyle w:val="Heading1"/>
      </w:pPr>
      <w:r>
        <w:t>6. Painel «Rede»</w:t>
      </w:r>
    </w:p>
    <w:p>
      <w:pPr>
        <w:jc w:val="center"/>
      </w:pPr>
      <w:r>
        <w:drawing>
          <wp:inline xmlns:a="http://schemas.openxmlformats.org/drawingml/2006/main" xmlns:pic="http://schemas.openxmlformats.org/drawingml/2006/picture">
            <wp:extent cx="5645505" cy="2758497"/>
            <wp:docPr id="2" name="Picture 2"/>
            <wp:cNvGraphicFramePr>
              <a:graphicFrameLocks noChangeAspect="1"/>
            </wp:cNvGraphicFramePr>
            <a:graphic>
              <a:graphicData uri="http://schemas.openxmlformats.org/drawingml/2006/picture">
                <pic:pic>
                  <pic:nvPicPr>
                    <pic:cNvPr id="0" name="10_app_rede.png"/>
                    <pic:cNvPicPr/>
                  </pic:nvPicPr>
                  <pic:blipFill>
                    <a:blip r:embed="rId12"/>
                    <a:stretch>
                      <a:fillRect/>
                    </a:stretch>
                  </pic:blipFill>
                  <pic:spPr>
                    <a:xfrm>
                      <a:off x="0" y="0"/>
                      <a:ext cx="5645505" cy="2758497"/>
                    </a:xfrm>
                    <a:prstGeom prst="rect"/>
                  </pic:spPr>
                </pic:pic>
              </a:graphicData>
            </a:graphic>
          </wp:inline>
        </w:drawing>
      </w:r>
    </w:p>
    <w:p>
      <w:pPr>
        <w:pStyle w:val="Caption2"/>
        <w:jc w:val="center"/>
      </w:pPr>
      <w:r>
        <w:t>Figura 2 — Exemplo do painel Rede. A pesquisa por código deve localizar a escola mesmo quando esta não pertence ao conjunto de nós inicialmente selecionados para a visualização geral.</w:t>
      </w:r>
    </w:p>
    <w:p>
      <w:pPr>
        <w:pStyle w:val="Heading2"/>
      </w:pPr>
      <w:r>
        <w:t>6.1 Elementos da rede</w:t>
      </w:r>
    </w:p>
    <w:p>
      <w:pPr>
        <w:pStyle w:val="ListBullet"/>
      </w:pPr>
      <w:r>
        <w:t>Nó: uma escola/agrupamento identificado pelo código.</w:t>
      </w:r>
    </w:p>
    <w:p>
      <w:pPr>
        <w:pStyle w:val="ListBullet"/>
      </w:pPr>
      <w:r>
        <w:t>Tamanho do nó: proporcional ao movimento total M.</w:t>
      </w:r>
    </w:p>
    <w:p>
      <w:pPr>
        <w:pStyle w:val="ListBullet"/>
      </w:pPr>
      <w:r>
        <w:t>Cor do nó: predominância de saída, predominância de entrada ou equilíbrio.</w:t>
      </w:r>
    </w:p>
    <w:p>
      <w:pPr>
        <w:pStyle w:val="ListBullet"/>
      </w:pPr>
      <w:r>
        <w:t>Aresta dirigida: migração efetiva Origem→Destino.</w:t>
      </w:r>
    </w:p>
    <w:p>
      <w:pPr>
        <w:pStyle w:val="ListBullet"/>
      </w:pPr>
      <w:r>
        <w:t>Espessura da aresta: número de docentes naquele corredor.</w:t>
      </w:r>
    </w:p>
    <w:p>
      <w:pPr>
        <w:pStyle w:val="ListBullet"/>
      </w:pPr>
      <w:r>
        <w:t>Fluxo mínimo: número mínimo de docentes para desenhar uma ligação.</w:t>
      </w:r>
    </w:p>
    <w:p>
      <w:pPr>
        <w:pStyle w:val="ListBullet"/>
      </w:pPr>
      <w:r>
        <w:t>Máximo de nós: limite gráfico; não é um limite da base nem da pesquisa.</w:t>
      </w:r>
    </w:p>
    <w:p>
      <w:pPr>
        <w:pStyle w:val="Equation"/>
        <w:jc w:val="center"/>
      </w:pPr>
      <w:r>
        <w:rPr>
          <w:b/>
        </w:rPr>
        <w:t>A → B</w:t>
      </w:r>
    </w:p>
    <w:p>
      <w:pPr>
        <w:pStyle w:val="Caption2"/>
        <w:jc w:val="center"/>
      </w:pPr>
      <w:r>
        <w:t>Representa pelo menos uma migração efetiva da escola A para a escola B.</w:t>
      </w:r>
    </w:p>
    <w:p>
      <w:pPr>
        <w:pStyle w:val="Heading2"/>
      </w:pPr>
      <w:r>
        <w:t>6.2 Não colocados na rede</w:t>
      </w:r>
    </w:p>
    <w:p>
      <w:pPr>
        <w:spacing w:after="120" w:line="259" w:lineRule="auto"/>
      </w:pPr>
      <w:r>
        <w:t>O não colocado representa pressão administrativa de mobilidade, mas não uma migração física entre escolas. Por isso não cria aresta. Para os indicadores escolares, porém, é contabilizado como uma saída da escola de origem e uma entrada de regresso à mesma escola, permitindo medir mobilidade latente sem inventar deslocações.</w:t>
      </w:r>
    </w:p>
    <w:p>
      <w:pPr>
        <w:pStyle w:val="Heading2"/>
      </w:pPr>
      <w:r>
        <w:t>6.3 Pesquisa de uma escola</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Escola Secundária de Palmela: </w:t>
            </w:r>
            <w:r/>
          </w:p>
        </w:tc>
      </w:tr>
    </w:tbl>
    <w:p>
      <w:pPr>
        <w:spacing w:after="20"/>
      </w:pPr>
    </w:p>
    <w:p>
      <w:pPr>
        <w:ind w:left="283" w:hanging="198"/>
      </w:pPr>
      <w:r>
        <w:rPr>
          <w:b/>
        </w:rPr>
        <w:t xml:space="preserve">1. </w:t>
      </w:r>
      <w:r>
        <w:t>Escolher 2026/2027.</w:t>
      </w:r>
    </w:p>
    <w:p>
      <w:pPr>
        <w:ind w:left="283" w:hanging="198"/>
      </w:pPr>
      <w:r>
        <w:rPr>
          <w:b/>
        </w:rPr>
        <w:t xml:space="preserve">2. </w:t>
      </w:r>
      <w:r>
        <w:t>Introduzir 403210, «Escola Secundária de Palmela» ou Palmela na caixa de pesquisa.</w:t>
      </w:r>
    </w:p>
    <w:p>
      <w:pPr>
        <w:ind w:left="283" w:hanging="198"/>
      </w:pPr>
      <w:r>
        <w:rPr>
          <w:b/>
        </w:rPr>
        <w:t xml:space="preserve">3. </w:t>
      </w:r>
      <w:r>
        <w:t>Atualizar a rede.</w:t>
      </w:r>
    </w:p>
    <w:p>
      <w:pPr>
        <w:ind w:left="283" w:hanging="198"/>
      </w:pPr>
      <w:r>
        <w:rPr>
          <w:b/>
        </w:rPr>
        <w:t xml:space="preserve">4. </w:t>
      </w:r>
      <w:r>
        <w:t>Analisar o painel lateral: E, S, M, PS, PE, saldo, não colocados, permanências e principais corredores.</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Resultado / leitura esperada: </w:t>
            </w:r>
            <w:r>
              <w:t>Em 2026/2027, 403210 apresenta M=31, com predominância de entrada; a pesquisa deve funcionar mesmo que a escola não esteja entre os 240 maiores nós da rede geral.</w:t>
            </w:r>
          </w:p>
        </w:tc>
      </w:tr>
    </w:tbl>
    <w:p>
      <w:pPr>
        <w:spacing w:after="20"/>
      </w:pPr>
    </w:p>
    <w:p>
      <w:pPr>
        <w:pStyle w:val="Heading2"/>
      </w:pPr>
      <w:r>
        <w:t>6.4 Cuidados de interpretação</w:t>
      </w:r>
    </w:p>
    <w:p>
      <w:pPr>
        <w:spacing w:after="120" w:line="259" w:lineRule="auto"/>
      </w:pPr>
      <w:r>
        <w:t>Uma rede muito densa é adequada para descobrir estrutura geral, mas não para ler todas as etiquetas. Para análise de uma escola deve usar-se a pesquisa/ego-rede; para análise integral dos corredores devem usar-se os downloads longitudinais.</w:t>
      </w:r>
    </w:p>
    <w:p>
      <w:r>
        <w:br w:type="page"/>
      </w:r>
    </w:p>
    <w:p>
      <w:pPr>
        <w:pStyle w:val="Heading1"/>
      </w:pPr>
      <w:r>
        <w:t>7. Painel «QA/QE vs QZP»</w:t>
      </w:r>
    </w:p>
    <w:p>
      <w:pPr>
        <w:pStyle w:val="Heading2"/>
      </w:pPr>
      <w:r>
        <w:t>7.1 Composição da Mobilidade Interna</w:t>
      </w:r>
    </w:p>
    <w:p>
      <w:pPr>
        <w:pStyle w:val="Equation"/>
        <w:jc w:val="center"/>
      </w:pPr>
      <w:r>
        <w:rPr>
          <w:b/>
        </w:rPr>
        <w:t>PQA = QA/QE em MI / Total MI × 100</w:t>
      </w:r>
    </w:p>
    <w:p>
      <w:pPr>
        <w:pStyle w:val="Equation"/>
        <w:jc w:val="center"/>
      </w:pPr>
      <w:r>
        <w:rPr>
          <w:b/>
        </w:rPr>
        <w:t>PQZP = QZP em MI / Total MI × 100</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Importante: </w:t>
            </w:r>
            <w:r>
              <w:t>PQA e PQZP descrevem a composição da MI. Não são taxas de participação sobre todos os QA/QE ou QZP existentes no sistema, porque esse denominador não está na base.</w:t>
            </w:r>
          </w:p>
        </w:tc>
      </w:tr>
    </w:tbl>
    <w:p>
      <w:pPr>
        <w:spacing w:after="20"/>
      </w:pPr>
    </w:p>
    <w:p>
      <w:pPr>
        <w:pStyle w:val="Heading2"/>
      </w:pPr>
      <w:r>
        <w:t>7.2 Mobilidade voluntária QA/QE</w:t>
      </w:r>
    </w:p>
    <w:p>
      <w:pPr>
        <w:pStyle w:val="Equation"/>
        <w:jc w:val="center"/>
      </w:pPr>
      <w:r>
        <w:rPr>
          <w:b/>
        </w:rPr>
        <w:t>IMV-QA = QA/QE na prioridade equivalente de mobilidade voluntária / total QA/QE em MI × 100</w:t>
      </w:r>
    </w:p>
    <w:p>
      <w:pPr>
        <w:spacing w:after="120" w:line="259" w:lineRule="auto"/>
      </w:pPr>
      <w:r>
        <w:t>O indicador é um proxy administrativo. Não identifica a motivação psicológica do candidato. A prioridade equivalente é harmonizada entre anos de acordo com a estrutura do concurso.</w:t>
      </w:r>
    </w:p>
    <w:p>
      <w:pPr>
        <w:pStyle w:val="Heading2"/>
      </w:pPr>
      <w:r>
        <w:t>7.3 Não colocação e diferenças entre tipos</w:t>
      </w:r>
    </w:p>
    <w:p>
      <w:pPr>
        <w:pStyle w:val="Equation"/>
        <w:jc w:val="center"/>
      </w:pPr>
      <w:r>
        <w:rPr>
          <w:b/>
        </w:rPr>
        <w:t>INCD = NC% QA/QE − NC% QZP</w:t>
      </w:r>
    </w:p>
    <w:p>
      <w:pPr>
        <w:pStyle w:val="Equation"/>
        <w:jc w:val="center"/>
      </w:pPr>
      <w:r>
        <w:rPr>
          <w:b/>
        </w:rPr>
        <w:t>RR-NC = NC% QA/QE / NC% QZP</w:t>
      </w:r>
    </w:p>
    <w:p>
      <w:pPr>
        <w:pStyle w:val="Heading2"/>
      </w:pPr>
      <w:r>
        <w:t>7.4 Permanência QZP</w:t>
      </w:r>
    </w:p>
    <w:p>
      <w:pPr>
        <w:pStyle w:val="Equation"/>
        <w:jc w:val="center"/>
      </w:pPr>
      <w:r>
        <w:rPr>
          <w:b/>
        </w:rPr>
        <w:t>IP-QZP colocados = QZP colocados na mesma escola / QZP colocados × 100</w:t>
      </w:r>
    </w:p>
    <w:p>
      <w:pPr>
        <w:pStyle w:val="Equation"/>
        <w:jc w:val="center"/>
      </w:pPr>
      <w:r>
        <w:rPr>
          <w:b/>
        </w:rPr>
        <w:t>IP-QZP total = QZP na mesma escola / todos os QZP em MI × 100</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Comparação 2026/2027: </w:t>
            </w:r>
            <w:r/>
          </w:p>
        </w:tc>
      </w:tr>
    </w:tbl>
    <w:p>
      <w:pPr>
        <w:spacing w:after="20"/>
      </w:pPr>
    </w:p>
    <w:p>
      <w:pPr>
        <w:ind w:left="283" w:hanging="198"/>
      </w:pPr>
      <w:r>
        <w:rPr>
          <w:b/>
        </w:rPr>
        <w:t xml:space="preserve">1. </w:t>
      </w:r>
      <w:r>
        <w:t>Selecionar 2026/2027 e Todos os grupos.</w:t>
      </w:r>
    </w:p>
    <w:p>
      <w:pPr>
        <w:ind w:left="283" w:hanging="198"/>
      </w:pPr>
      <w:r>
        <w:rPr>
          <w:b/>
        </w:rPr>
        <w:t xml:space="preserve">2. </w:t>
      </w:r>
      <w:r>
        <w:t>Comparar NC QA/QE ≈ 51,6% com NC QZP ≈ 20,7%.</w:t>
      </w:r>
    </w:p>
    <w:p>
      <w:pPr>
        <w:ind w:left="283" w:hanging="198"/>
      </w:pPr>
      <w:r>
        <w:rPr>
          <w:b/>
        </w:rPr>
        <w:t xml:space="preserve">3. </w:t>
      </w:r>
      <w:r>
        <w:t>Ler INCD ≈ 30,9 pp e RR-NC ≈ 2,50.</w:t>
      </w:r>
    </w:p>
    <w:p>
      <w:pPr>
        <w:ind w:left="283" w:hanging="198"/>
      </w:pPr>
      <w:r>
        <w:t>4. Na versão pública v6, interpretar estes indicadores descritivamente e, se necessário, exportar os dados para testes estatísticos externos previamente definidos.</w:t>
      </w:r>
    </w:p>
    <w:p>
      <w:pPr>
        <w:pStyle w:val="Heading1"/>
      </w:pPr>
      <w:r>
        <w:t>8. Painel «Pressão e rankings»</w:t>
      </w:r>
    </w:p>
    <w:p>
      <w:pPr>
        <w:jc w:val="center"/>
      </w:pPr>
      <w:r>
        <w:drawing>
          <wp:inline xmlns:a="http://schemas.openxmlformats.org/drawingml/2006/main" xmlns:pic="http://schemas.openxmlformats.org/drawingml/2006/picture">
            <wp:extent cx="4954219" cy="2348667"/>
            <wp:docPr id="3" name="Picture 3"/>
            <wp:cNvGraphicFramePr>
              <a:graphicFrameLocks noChangeAspect="1"/>
            </wp:cNvGraphicFramePr>
            <a:graphic>
              <a:graphicData uri="http://schemas.openxmlformats.org/drawingml/2006/picture">
                <pic:pic>
                  <pic:nvPicPr>
                    <pic:cNvPr id="0" name="02_pressao_volume_exemplo.png"/>
                    <pic:cNvPicPr/>
                  </pic:nvPicPr>
                  <pic:blipFill>
                    <a:blip r:embed="rId13"/>
                    <a:stretch>
                      <a:fillRect/>
                    </a:stretch>
                  </pic:blipFill>
                  <pic:spPr>
                    <a:xfrm>
                      <a:off x="0" y="0"/>
                      <a:ext cx="4954219" cy="2348667"/>
                    </a:xfrm>
                    <a:prstGeom prst="rect"/>
                  </pic:spPr>
                </pic:pic>
              </a:graphicData>
            </a:graphic>
          </wp:inline>
        </w:drawing>
      </w:r>
    </w:p>
    <w:p>
      <w:pPr>
        <w:pStyle w:val="Caption2"/>
        <w:jc w:val="center"/>
      </w:pPr>
      <w:r>
        <w:t>Figura 3 — Exemplo didático: uma percentagem de pressão só é informativa quando lida em conjunto com o volume M.</w:t>
      </w:r>
    </w:p>
    <w:p>
      <w:pPr>
        <w:pStyle w:val="Heading2"/>
      </w:pPr>
      <w:r>
        <w:t>8.1 Entradas, saídas e movimento</w:t>
      </w:r>
    </w:p>
    <w:p>
      <w:pPr>
        <w:pStyle w:val="Equation"/>
        <w:jc w:val="center"/>
      </w:pPr>
      <w:r>
        <w:rPr>
          <w:b/>
        </w:rPr>
        <w:t>Mᵢ = Eᵢ + Sᵢ</w:t>
      </w:r>
    </w:p>
    <w:p>
      <w:pPr>
        <w:spacing w:after="120" w:line="259" w:lineRule="auto"/>
      </w:pPr>
      <w:r>
        <w:t>E e S são contagens administrativas no universo da MI. Não correspondem ao total de professores da escola. Consequentemente, PS não é uma taxa de turnover sobre o corpo docente total.</w:t>
      </w:r>
    </w:p>
    <w:p>
      <w:pPr>
        <w:pStyle w:val="Heading2"/>
      </w:pPr>
      <w:r>
        <w:t>8.2 Pressão de saída</w:t>
      </w:r>
    </w:p>
    <w:p>
      <w:pPr>
        <w:pStyle w:val="Equation"/>
        <w:jc w:val="center"/>
      </w:pPr>
      <w:r>
        <w:rPr>
          <w:b/>
        </w:rPr>
        <w:t>PSᵢ = Sᵢ / (Eᵢ + Sᵢ) × 100</w:t>
      </w:r>
    </w:p>
    <w:p>
      <w:pPr>
        <w:pStyle w:val="Heading2"/>
      </w:pPr>
      <w:r>
        <w:t>8.3 Pressão de entrada</w:t>
      </w:r>
    </w:p>
    <w:p>
      <w:pPr>
        <w:pStyle w:val="Equation"/>
        <w:jc w:val="center"/>
      </w:pPr>
      <w:r>
        <w:rPr>
          <w:b/>
        </w:rPr>
        <w:t>PEᵢ = Eᵢ / (Eᵢ + Sᵢ) × 100</w:t>
      </w:r>
    </w:p>
    <w:p>
      <w:pPr>
        <w:pStyle w:val="Equation"/>
        <w:jc w:val="center"/>
      </w:pPr>
      <w:r>
        <w:rPr>
          <w:b/>
        </w:rPr>
        <w:t>PS + PE = 100%</w:t>
      </w:r>
    </w:p>
    <w:p>
      <w:pPr>
        <w:pStyle w:val="Heading2"/>
      </w:pPr>
      <w:r>
        <w:t>8.4 Saldo migratório efetivo</w:t>
      </w:r>
    </w:p>
    <w:p>
      <w:pPr>
        <w:pStyle w:val="Equation"/>
        <w:jc w:val="center"/>
      </w:pPr>
      <w:r>
        <w:rPr>
          <w:b/>
        </w:rPr>
        <w:t>SM = migrações recebidas − migrações originadas</w:t>
      </w:r>
    </w:p>
    <w:p>
      <w:pPr>
        <w:spacing w:after="120" w:line="259" w:lineRule="auto"/>
      </w:pPr>
      <w:r>
        <w:t>Ao contrário de E e S, o saldo migratório usa apenas mudanças efetivas. Não colocados e permanências não são migrações.</w:t>
      </w:r>
    </w:p>
    <w:p>
      <w:pPr>
        <w:pStyle w:val="Heading2"/>
      </w:pPr>
      <w:r>
        <w:t>8.5 Taxa de não colocação escolar</w:t>
      </w:r>
    </w:p>
    <w:p>
      <w:pPr>
        <w:pStyle w:val="Equation"/>
        <w:jc w:val="center"/>
      </w:pPr>
      <w:r>
        <w:rPr>
          <w:b/>
        </w:rPr>
        <w:t>TNC = NC / S × 100</w:t>
      </w:r>
    </w:p>
    <w:p>
      <w:pPr>
        <w:spacing w:after="120" w:line="259" w:lineRule="auto"/>
      </w:pPr>
      <w:r>
        <w:t>A TNC é uma medida de mobilidade latente dentro do universo que tomou parte no processo; não deve ser designada como «taxa de retenção» da escola.</w:t>
      </w:r>
    </w:p>
    <w:p>
      <w:pPr>
        <w:pStyle w:val="Heading2"/>
      </w:pPr>
      <w:r>
        <w:t>8.6 Regra dos rankings</w:t>
      </w:r>
    </w:p>
    <w:p>
      <w:pPr>
        <w:spacing w:after="120" w:line="259" w:lineRule="auto"/>
      </w:pPr>
      <w:r>
        <w:t>Por defeito recomenda-se M≥10 para evitar que PS=100% baseado numa única saída seja colocado ao mesmo nível de PS=100% baseado em dezenas de movimentos. A ordenação por pressão usa primeiro a percentagem e, em caso de empate, o movimento total.</w:t>
      </w:r>
    </w:p>
    <w:p>
      <w:pPr>
        <w:pStyle w:val="Heading2"/>
      </w:pPr>
      <w:r>
        <w:t>8.7 Download integral</w:t>
      </w:r>
    </w:p>
    <w:p>
      <w:pPr>
        <w:spacing w:after="120" w:line="259" w:lineRule="auto"/>
      </w:pPr>
      <w:r>
        <w:t>Os gráficos no ecrã mostram apenas os primeiros casos por legibilidade. Os botões «gráfico completo» e «CSV completo» permitem obter todas as escolas que cumprem os filtros e o limiar M. Para máxima cobertura, definir M=1 antes do download.</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Como comparar duas escolas: </w:t>
            </w:r>
            <w:r/>
          </w:p>
        </w:tc>
      </w:tr>
    </w:tbl>
    <w:p>
      <w:pPr>
        <w:spacing w:after="20"/>
      </w:pPr>
    </w:p>
    <w:p>
      <w:pPr>
        <w:ind w:left="283" w:hanging="198"/>
      </w:pPr>
      <w:r>
        <w:rPr>
          <w:b/>
        </w:rPr>
        <w:t xml:space="preserve">1. </w:t>
      </w:r>
      <w:r>
        <w:t>Observar PS e PE.</w:t>
      </w:r>
    </w:p>
    <w:p>
      <w:pPr>
        <w:ind w:left="283" w:hanging="198"/>
      </w:pPr>
      <w:r>
        <w:rPr>
          <w:b/>
        </w:rPr>
        <w:t xml:space="preserve">2. </w:t>
      </w:r>
      <w:r>
        <w:t>Confirmar M para avaliar a robustez do padrão.</w:t>
      </w:r>
    </w:p>
    <w:p>
      <w:pPr>
        <w:ind w:left="283" w:hanging="198"/>
      </w:pPr>
      <w:r>
        <w:rPr>
          <w:b/>
        </w:rPr>
        <w:t xml:space="preserve">3. </w:t>
      </w:r>
      <w:r>
        <w:t>Consultar SM para saber se há ganho/perda líquida por migração efetiva.</w:t>
      </w:r>
    </w:p>
    <w:p>
      <w:pPr>
        <w:ind w:left="283" w:hanging="198"/>
      </w:pPr>
      <w:r>
        <w:rPr>
          <w:b/>
        </w:rPr>
        <w:t xml:space="preserve">4. </w:t>
      </w:r>
      <w:r>
        <w:t>Consultar TNC para separar migração concretizada de mobilidade latente.</w:t>
      </w:r>
    </w:p>
    <w:p>
      <w:pPr>
        <w:ind w:left="283" w:hanging="198"/>
      </w:pPr>
      <w:r>
        <w:rPr>
          <w:b/>
        </w:rPr>
        <w:t xml:space="preserve">5. </w:t>
      </w:r>
      <w:r>
        <w:t>No painel Longitudinal, verificar se o padrão se repete.</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Resultado / leitura esperada: </w:t>
            </w:r>
            <w:r>
              <w:t>A leitura recomendada é: Pressão + Volume + Saldo + Persistência + Contexto.</w:t>
            </w:r>
          </w:p>
        </w:tc>
      </w:tr>
    </w:tbl>
    <w:p>
      <w:pPr>
        <w:spacing w:after="20"/>
      </w:pPr>
    </w:p>
    <w:p>
      <w:r>
        <w:br w:type="page"/>
      </w:r>
    </w:p>
    <w:p>
      <w:pPr>
        <w:pStyle w:val="Heading1"/>
      </w:pPr>
      <w:r>
        <w:t>9. Painel «Escolas»</w:t>
      </w:r>
    </w:p>
    <w:p>
      <w:pPr>
        <w:pStyle w:val="Heading2"/>
      </w:pPr>
      <w:r>
        <w:t>9.1 Tabela integral</w:t>
      </w:r>
    </w:p>
    <w:p>
      <w:pPr>
        <w:spacing w:after="120" w:line="259" w:lineRule="auto"/>
      </w:pPr>
      <w:r>
        <w:t>A tabela de escolas é o ponto de auditoria da dimensão organizacional. Ao contrário dos rankings, não deve ocultar uma escola apenas por não atingir o limiar M.</w:t>
      </w:r>
    </w:p>
    <w:p>
      <w:pPr>
        <w:pStyle w:val="Heading2"/>
      </w:pPr>
      <w:r>
        <w:t>9.2 Pesquisa</w:t>
      </w:r>
    </w:p>
    <w:p>
      <w:pPr>
        <w:spacing w:after="120" w:line="259" w:lineRule="auto"/>
      </w:pPr>
      <w:r>
        <w:t>A pesquisa deve aceitar código, designação e concelho. O código permanece a chave de identidade; a designação canónica atual é usada para apresentação quando disponível, mantendo-se as designações históricas no ficheiro de auditoria.</w:t>
      </w:r>
    </w:p>
    <w:p>
      <w:pPr>
        <w:pStyle w:val="Heading2"/>
      </w:pPr>
      <w:r>
        <w:t>9.3 Escola sem movimento versus escola inexistente</w:t>
      </w:r>
    </w:p>
    <w:p>
      <w:pPr>
        <w:spacing w:after="120" w:line="259" w:lineRule="auto"/>
      </w:pPr>
      <w:r>
        <w:t>Uma escola pode existir no cadastro e ter E=S=M=0 num determinado ano/filtro. Isso é diferente de um código desconhecido. O primeiro caso significa ausência de movimento observado; o segundo requer validação do cadastro ou das fontes históricas.</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Localizar uma escola com M baixo: </w:t>
            </w:r>
            <w:r/>
          </w:p>
        </w:tc>
      </w:tr>
    </w:tbl>
    <w:p>
      <w:pPr>
        <w:spacing w:after="20"/>
      </w:pPr>
    </w:p>
    <w:p>
      <w:pPr>
        <w:ind w:left="283" w:hanging="198"/>
      </w:pPr>
      <w:r>
        <w:rPr>
          <w:b/>
        </w:rPr>
        <w:t xml:space="preserve">1. </w:t>
      </w:r>
      <w:r>
        <w:t>Pesquisar 403210 no ano 2016/2017.</w:t>
      </w:r>
    </w:p>
    <w:p>
      <w:pPr>
        <w:ind w:left="283" w:hanging="198"/>
      </w:pPr>
      <w:r>
        <w:rPr>
          <w:b/>
        </w:rPr>
        <w:t xml:space="preserve">2. </w:t>
      </w:r>
      <w:r>
        <w:t>Confirmar que a escola existe mesmo com M=4.</w:t>
      </w:r>
    </w:p>
    <w:p>
      <w:pPr>
        <w:ind w:left="283" w:hanging="198"/>
      </w:pPr>
      <w:r>
        <w:rPr>
          <w:b/>
        </w:rPr>
        <w:t xml:space="preserve">3. </w:t>
      </w:r>
      <w:r>
        <w:t>Comparar com o mesmo código nos anos de maior movimento no painel Longitudinal.</w:t>
      </w:r>
    </w:p>
    <w:p>
      <w:pPr>
        <w:pStyle w:val="Heading1"/>
      </w:pPr>
      <w:r>
        <w:t>10. Painel «Longitudinal»</w:t>
      </w:r>
    </w:p>
    <w:p>
      <w:pPr>
        <w:jc w:val="center"/>
      </w:pPr>
      <w:r>
        <w:drawing>
          <wp:inline xmlns:a="http://schemas.openxmlformats.org/drawingml/2006/main" xmlns:pic="http://schemas.openxmlformats.org/drawingml/2006/picture">
            <wp:extent cx="5184648" cy="2330713"/>
            <wp:docPr id="4" name="Picture 4"/>
            <wp:cNvGraphicFramePr>
              <a:graphicFrameLocks noChangeAspect="1"/>
            </wp:cNvGraphicFramePr>
            <a:graphic>
              <a:graphicData uri="http://schemas.openxmlformats.org/drawingml/2006/picture">
                <pic:pic>
                  <pic:nvPicPr>
                    <pic:cNvPr id="0" name="03_palmela_longitudinal.png"/>
                    <pic:cNvPicPr/>
                  </pic:nvPicPr>
                  <pic:blipFill>
                    <a:blip r:embed="rId14"/>
                    <a:stretch>
                      <a:fillRect/>
                    </a:stretch>
                  </pic:blipFill>
                  <pic:spPr>
                    <a:xfrm>
                      <a:off x="0" y="0"/>
                      <a:ext cx="5184648" cy="2330713"/>
                    </a:xfrm>
                    <a:prstGeom prst="rect"/>
                  </pic:spPr>
                </pic:pic>
              </a:graphicData>
            </a:graphic>
          </wp:inline>
        </w:drawing>
      </w:r>
    </w:p>
    <w:p>
      <w:pPr>
        <w:pStyle w:val="Caption2"/>
        <w:jc w:val="center"/>
      </w:pPr>
      <w:r>
        <w:t>Figura 4 — Exemplo de evolução anual de entradas, saídas, PS e PE na Escola Secundária de Palmela.</w:t>
      </w:r>
    </w:p>
    <w:p>
      <w:pPr>
        <w:pStyle w:val="Heading2"/>
      </w:pPr>
      <w:r>
        <w:t>10.1 Anos ativos</w:t>
      </w:r>
    </w:p>
    <w:p>
      <w:pPr>
        <w:spacing w:after="120" w:line="259" w:lineRule="auto"/>
      </w:pPr>
      <w:r>
        <w:t>Para as tipologias, um ano é considerado ativo quando a escola atinge o limiar M selecionado. Com o valor padrão M≥10, anos com movimento residual não influenciam IPPS, volatilidade ou tendência.</w:t>
      </w:r>
    </w:p>
    <w:p>
      <w:pPr>
        <w:pStyle w:val="Heading2"/>
      </w:pPr>
      <w:r>
        <w:t>10.2 Persistência de saída e de entrada</w:t>
      </w:r>
    </w:p>
    <w:p>
      <w:pPr>
        <w:pStyle w:val="Equation"/>
        <w:jc w:val="center"/>
      </w:pPr>
      <w:r>
        <w:rPr>
          <w:b/>
        </w:rPr>
        <w:t>IPPS = n.º de anos ativos com PS&gt;60% / n.º de anos ativos</w:t>
      </w:r>
    </w:p>
    <w:p>
      <w:pPr>
        <w:pStyle w:val="Equation"/>
        <w:jc w:val="center"/>
      </w:pPr>
      <w:r>
        <w:rPr>
          <w:b/>
        </w:rPr>
        <w:t>IPPE = n.º de anos ativos com PE&gt;60% / n.º de anos ativos</w:t>
      </w:r>
    </w:p>
    <w:p>
      <w:pPr>
        <w:spacing w:after="120" w:line="259" w:lineRule="auto"/>
      </w:pPr>
      <w:r>
        <w:t>O limiar de 60% é uma regra heurística. Deve ser lido como predominância recorrente, não como fronteira natural ou jurídica.</w:t>
      </w:r>
    </w:p>
    <w:p>
      <w:pPr>
        <w:pStyle w:val="Heading2"/>
      </w:pPr>
      <w:r>
        <w:t>10.3 Volatilidade</w:t>
      </w:r>
    </w:p>
    <w:p>
      <w:pPr>
        <w:pStyle w:val="Equation"/>
        <w:jc w:val="center"/>
      </w:pPr>
      <w:r>
        <w:rPr>
          <w:b/>
        </w:rPr>
        <w:t>Volatilidade = desvio-padrão amostral de PS nos anos ativos</w:t>
      </w:r>
    </w:p>
    <w:p>
      <w:pPr>
        <w:spacing w:after="120" w:line="259" w:lineRule="auto"/>
      </w:pPr>
      <w:r>
        <w:t>Uma escola pode ter PS média moderada e, ainda assim, oscilar fortemente entre anos emissores e recetores. A volatilidade distingue esse perfil de uma escola consistentemente equilibrada.</w:t>
      </w:r>
    </w:p>
    <w:p>
      <w:pPr>
        <w:pStyle w:val="Heading2"/>
      </w:pPr>
      <w:r>
        <w:t>10.4 Tendência linear</w:t>
      </w:r>
    </w:p>
    <w:p>
      <w:pPr>
        <w:pStyle w:val="Equation"/>
        <w:jc w:val="center"/>
      </w:pPr>
      <w:r>
        <w:rPr>
          <w:b/>
        </w:rPr>
        <w:t>PSᵢ,t = αᵢ + βᵢ t + εᵢ,t</w:t>
      </w:r>
    </w:p>
    <w:p>
      <w:pPr>
        <w:spacing w:after="120" w:line="259" w:lineRule="auto"/>
      </w:pPr>
      <w:r>
        <w:t>A aplicação usa a inclinação linear de PS ao longo dos anos ativos, expressa em pontos percentuais por ano. Trata-se de uma síntese descritiva; não é um teste causal.</w:t>
      </w:r>
    </w:p>
    <w:p>
      <w:pPr>
        <w:pStyle w:val="Heading2"/>
      </w:pPr>
      <w:r>
        <w:t>10.5 Tipologias</w:t>
      </w:r>
    </w:p>
    <w:p>
      <w:pPr>
        <w:spacing w:before="100" w:after="80"/>
      </w:pPr>
      <w:r>
        <w:rPr>
          <w:b/>
        </w:rPr>
        <w:t>Regras heurísticas de classificação longitudinal.</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CE6F1"/>
          </w:tcPr>
          <w:p>
            <w:r>
              <w:rPr>
                <w:b/>
                <w:sz w:val="17"/>
              </w:rPr>
              <w:t>Tipologia</w:t>
            </w:r>
          </w:p>
        </w:tc>
        <w:tc>
          <w:tcPr>
            <w:tcW w:type="dxa" w:w="3324"/>
            <w:shd w:fill="DCE6F1"/>
          </w:tcPr>
          <w:p>
            <w:r>
              <w:rPr>
                <w:b/>
                <w:sz w:val="17"/>
              </w:rPr>
              <w:t>Regra implementada</w:t>
            </w:r>
          </w:p>
        </w:tc>
        <w:tc>
          <w:tcPr>
            <w:tcW w:type="dxa" w:w="3324"/>
            <w:shd w:fill="DCE6F1"/>
          </w:tcPr>
          <w:p>
            <w:r>
              <w:rPr>
                <w:b/>
                <w:sz w:val="17"/>
              </w:rPr>
              <w:t>Leitura</w:t>
            </w:r>
          </w:p>
        </w:tc>
      </w:tr>
      <w:tr>
        <w:tc>
          <w:tcPr>
            <w:tcW w:type="dxa" w:w="3324"/>
          </w:tcPr>
          <w:p>
            <w:r>
              <w:rPr>
                <w:sz w:val="16"/>
              </w:rPr>
              <w:t>Emissora persistente</w:t>
            </w:r>
          </w:p>
        </w:tc>
        <w:tc>
          <w:tcPr>
            <w:tcW w:type="dxa" w:w="3324"/>
          </w:tcPr>
          <w:p>
            <w:r>
              <w:rPr>
                <w:sz w:val="16"/>
              </w:rPr>
              <w:t>≥3 anos ativos e IPPS≥60%</w:t>
            </w:r>
          </w:p>
        </w:tc>
        <w:tc>
          <w:tcPr>
            <w:tcW w:type="dxa" w:w="3324"/>
          </w:tcPr>
          <w:p>
            <w:r>
              <w:rPr>
                <w:sz w:val="16"/>
              </w:rPr>
              <w:t>Predomínio recorrente de saída.</w:t>
            </w:r>
          </w:p>
        </w:tc>
      </w:tr>
      <w:tr>
        <w:tc>
          <w:tcPr>
            <w:tcW w:type="dxa" w:w="3324"/>
          </w:tcPr>
          <w:p>
            <w:r>
              <w:rPr>
                <w:sz w:val="16"/>
              </w:rPr>
              <w:t>Recetora persistente</w:t>
            </w:r>
          </w:p>
        </w:tc>
        <w:tc>
          <w:tcPr>
            <w:tcW w:type="dxa" w:w="3324"/>
          </w:tcPr>
          <w:p>
            <w:r>
              <w:rPr>
                <w:sz w:val="16"/>
              </w:rPr>
              <w:t>≥3 anos ativos e IPPE≥60%</w:t>
            </w:r>
          </w:p>
        </w:tc>
        <w:tc>
          <w:tcPr>
            <w:tcW w:type="dxa" w:w="3324"/>
          </w:tcPr>
          <w:p>
            <w:r>
              <w:rPr>
                <w:sz w:val="16"/>
              </w:rPr>
              <w:t>Predomínio recorrente de entrada.</w:t>
            </w:r>
          </w:p>
        </w:tc>
      </w:tr>
      <w:tr>
        <w:tc>
          <w:tcPr>
            <w:tcW w:type="dxa" w:w="3324"/>
          </w:tcPr>
          <w:p>
            <w:r>
              <w:rPr>
                <w:sz w:val="16"/>
              </w:rPr>
              <w:t>Alta rotação</w:t>
            </w:r>
          </w:p>
        </w:tc>
        <w:tc>
          <w:tcPr>
            <w:tcW w:type="dxa" w:w="3324"/>
          </w:tcPr>
          <w:p>
            <w:r>
              <w:rPr>
                <w:sz w:val="16"/>
              </w:rPr>
              <w:t>M médio ≥ P75 e |PS médio−50|&lt;10</w:t>
            </w:r>
          </w:p>
        </w:tc>
        <w:tc>
          <w:tcPr>
            <w:tcW w:type="dxa" w:w="3324"/>
          </w:tcPr>
          <w:p>
            <w:r>
              <w:rPr>
                <w:sz w:val="16"/>
              </w:rPr>
              <w:t>Muito movimento, relativamente equilibrado.</w:t>
            </w:r>
          </w:p>
        </w:tc>
      </w:tr>
      <w:tr>
        <w:tc>
          <w:tcPr>
            <w:tcW w:type="dxa" w:w="3324"/>
          </w:tcPr>
          <w:p>
            <w:r>
              <w:rPr>
                <w:sz w:val="16"/>
              </w:rPr>
              <w:t>Mobilidade latente elevada</w:t>
            </w:r>
          </w:p>
        </w:tc>
        <w:tc>
          <w:tcPr>
            <w:tcW w:type="dxa" w:w="3324"/>
          </w:tcPr>
          <w:p>
            <w:r>
              <w:rPr>
                <w:sz w:val="16"/>
              </w:rPr>
              <w:t>≥3 anos ativos e TNC média ≥ P75</w:t>
            </w:r>
          </w:p>
        </w:tc>
        <w:tc>
          <w:tcPr>
            <w:tcW w:type="dxa" w:w="3324"/>
          </w:tcPr>
          <w:p>
            <w:r>
              <w:rPr>
                <w:sz w:val="16"/>
              </w:rPr>
              <w:t>Intenção de mobilidade frequentemente não concretizada.</w:t>
            </w:r>
          </w:p>
        </w:tc>
      </w:tr>
      <w:tr>
        <w:tc>
          <w:tcPr>
            <w:tcW w:type="dxa" w:w="3324"/>
          </w:tcPr>
          <w:p>
            <w:r>
              <w:rPr>
                <w:sz w:val="16"/>
              </w:rPr>
              <w:t>Volátil</w:t>
            </w:r>
          </w:p>
        </w:tc>
        <w:tc>
          <w:tcPr>
            <w:tcW w:type="dxa" w:w="3324"/>
          </w:tcPr>
          <w:p>
            <w:r>
              <w:rPr>
                <w:sz w:val="16"/>
              </w:rPr>
              <w:t>≥3 anos ativos e sd(PS) ≥ P75</w:t>
            </w:r>
          </w:p>
        </w:tc>
        <w:tc>
          <w:tcPr>
            <w:tcW w:type="dxa" w:w="3324"/>
          </w:tcPr>
          <w:p>
            <w:r>
              <w:rPr>
                <w:sz w:val="16"/>
              </w:rPr>
              <w:t>Pressão de saída muito variável.</w:t>
            </w:r>
          </w:p>
        </w:tc>
      </w:tr>
      <w:tr>
        <w:tc>
          <w:tcPr>
            <w:tcW w:type="dxa" w:w="3324"/>
          </w:tcPr>
          <w:p>
            <w:r>
              <w:rPr>
                <w:sz w:val="16"/>
              </w:rPr>
              <w:t>Estável / baixa rotação</w:t>
            </w:r>
          </w:p>
        </w:tc>
        <w:tc>
          <w:tcPr>
            <w:tcW w:type="dxa" w:w="3324"/>
          </w:tcPr>
          <w:p>
            <w:r>
              <w:rPr>
                <w:sz w:val="16"/>
              </w:rPr>
              <w:t>M médio ≤ P25 e sd(PS) ≤ mediana</w:t>
            </w:r>
          </w:p>
        </w:tc>
        <w:tc>
          <w:tcPr>
            <w:tcW w:type="dxa" w:w="3324"/>
          </w:tcPr>
          <w:p>
            <w:r>
              <w:rPr>
                <w:sz w:val="16"/>
              </w:rPr>
              <w:t>Movimento e oscilação reduzidos.</w:t>
            </w:r>
          </w:p>
        </w:tc>
      </w:tr>
      <w:tr>
        <w:tc>
          <w:tcPr>
            <w:tcW w:type="dxa" w:w="3324"/>
          </w:tcPr>
          <w:p>
            <w:r>
              <w:rPr>
                <w:sz w:val="16"/>
              </w:rPr>
              <w:t>Misto</w:t>
            </w:r>
          </w:p>
        </w:tc>
        <w:tc>
          <w:tcPr>
            <w:tcW w:type="dxa" w:w="3324"/>
          </w:tcPr>
          <w:p>
            <w:r>
              <w:rPr>
                <w:sz w:val="16"/>
              </w:rPr>
              <w:t>Restantes casos</w:t>
            </w:r>
          </w:p>
        </w:tc>
        <w:tc>
          <w:tcPr>
            <w:tcW w:type="dxa" w:w="3324"/>
          </w:tcPr>
          <w:p>
            <w:r>
              <w:rPr>
                <w:sz w:val="16"/>
              </w:rPr>
              <w:t>Sem pertença clara às regras anteriores.</w:t>
            </w:r>
          </w:p>
        </w:tc>
      </w:tr>
    </w:tbl>
    <w:p>
      <w:pPr>
        <w:spacing w:after="20"/>
      </w:pPr>
    </w:p>
    <w:p>
      <w:pPr>
        <w:jc w:val="center"/>
      </w:pPr>
      <w:r>
        <w:drawing>
          <wp:inline xmlns:a="http://schemas.openxmlformats.org/drawingml/2006/main" xmlns:pic="http://schemas.openxmlformats.org/drawingml/2006/picture">
            <wp:extent cx="4723790" cy="2573432"/>
            <wp:docPr id="5" name="Picture 5"/>
            <wp:cNvGraphicFramePr>
              <a:graphicFrameLocks noChangeAspect="1"/>
            </wp:cNvGraphicFramePr>
            <a:graphic>
              <a:graphicData uri="http://schemas.openxmlformats.org/drawingml/2006/picture">
                <pic:pic>
                  <pic:nvPicPr>
                    <pic:cNvPr id="0" name="08_tipologias.png"/>
                    <pic:cNvPicPr/>
                  </pic:nvPicPr>
                  <pic:blipFill>
                    <a:blip r:embed="rId15"/>
                    <a:stretch>
                      <a:fillRect/>
                    </a:stretch>
                  </pic:blipFill>
                  <pic:spPr>
                    <a:xfrm>
                      <a:off x="0" y="0"/>
                      <a:ext cx="4723790" cy="2573432"/>
                    </a:xfrm>
                    <a:prstGeom prst="rect"/>
                  </pic:spPr>
                </pic:pic>
              </a:graphicData>
            </a:graphic>
          </wp:inline>
        </w:drawing>
      </w:r>
    </w:p>
    <w:p>
      <w:pPr>
        <w:pStyle w:val="Caption2"/>
        <w:jc w:val="center"/>
      </w:pPr>
      <w:r>
        <w:t>Figura 5 — Distribuição das tipologias na série longitudinal com M≥10.</w:t>
      </w:r>
    </w:p>
    <w:p>
      <w:pPr>
        <w:pStyle w:val="Heading2"/>
      </w:pPr>
      <w:r>
        <w:t>10.6 Lista completa e tipologias</w:t>
      </w:r>
    </w:p>
    <w:p>
      <w:pPr>
        <w:spacing w:after="120" w:line="259" w:lineRule="auto"/>
      </w:pPr>
      <w:r>
        <w:t>A tabela visível pode mostrar apenas os casos mais relevantes. O download «lista completa + tipologias» deve incluir todo o cadastro. Uma escola sem anos ativos ao limiar atual deve surgir como «Sem classificação ao limiar atual», não desaparecer.</w:t>
      </w:r>
    </w:p>
    <w:p>
      <w:pPr>
        <w:pStyle w:val="Heading2"/>
      </w:pPr>
      <w:r>
        <w:t>10.7 Corredores persistentes</w:t>
      </w:r>
    </w:p>
    <w:p>
      <w:pPr>
        <w:pStyle w:val="Equation"/>
        <w:jc w:val="center"/>
      </w:pPr>
      <w:r>
        <w:rPr>
          <w:b/>
        </w:rPr>
        <w:t>Persistência do corredor = anos com fluxo / anos do período × 100</w:t>
      </w:r>
    </w:p>
    <w:p>
      <w:pPr>
        <w:jc w:val="center"/>
      </w:pPr>
      <w:r>
        <w:drawing>
          <wp:inline xmlns:a="http://schemas.openxmlformats.org/drawingml/2006/main" xmlns:pic="http://schemas.openxmlformats.org/drawingml/2006/picture">
            <wp:extent cx="4608576" cy="2255261"/>
            <wp:docPr id="6" name="Picture 6"/>
            <wp:cNvGraphicFramePr>
              <a:graphicFrameLocks noChangeAspect="1"/>
            </wp:cNvGraphicFramePr>
            <a:graphic>
              <a:graphicData uri="http://schemas.openxmlformats.org/drawingml/2006/picture">
                <pic:pic>
                  <pic:nvPicPr>
                    <pic:cNvPr id="0" name="09_corredor_persistente.png"/>
                    <pic:cNvPicPr/>
                  </pic:nvPicPr>
                  <pic:blipFill>
                    <a:blip r:embed="rId16"/>
                    <a:stretch>
                      <a:fillRect/>
                    </a:stretch>
                  </pic:blipFill>
                  <pic:spPr>
                    <a:xfrm>
                      <a:off x="0" y="0"/>
                      <a:ext cx="4608576" cy="2255261"/>
                    </a:xfrm>
                    <a:prstGeom prst="rect"/>
                  </pic:spPr>
                </pic:pic>
              </a:graphicData>
            </a:graphic>
          </wp:inline>
        </w:drawing>
      </w:r>
    </w:p>
    <w:p>
      <w:pPr>
        <w:pStyle w:val="Caption2"/>
        <w:jc w:val="center"/>
      </w:pPr>
      <w:r>
        <w:t>Figura 6 — Exemplo: um corredor observado em 7 de 10 anos tem persistência de 70%.</w:t>
      </w:r>
    </w:p>
    <w:p>
      <w:pPr>
        <w:spacing w:after="120" w:line="259" w:lineRule="auto"/>
      </w:pPr>
      <w:r>
        <w:t>Por defeito, a aplicação considera um corredor persistente quando aparece em pelo menos 60% dos anos selecionados e em, no mínimo, dois anos. O utilizador pode alterar o limiar. O critério é heurístico e transparente.</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Analisar corredores persistentes: </w:t>
            </w:r>
            <w:r/>
          </w:p>
        </w:tc>
      </w:tr>
    </w:tbl>
    <w:p>
      <w:pPr>
        <w:spacing w:after="20"/>
      </w:pPr>
    </w:p>
    <w:p>
      <w:pPr>
        <w:ind w:left="283" w:hanging="198"/>
      </w:pPr>
      <w:r>
        <w:rPr>
          <w:b/>
        </w:rPr>
        <w:t xml:space="preserve">1. </w:t>
      </w:r>
      <w:r>
        <w:t>Definir o período longitudinal.</w:t>
      </w:r>
    </w:p>
    <w:p>
      <w:pPr>
        <w:ind w:left="283" w:hanging="198"/>
      </w:pPr>
      <w:r>
        <w:rPr>
          <w:b/>
        </w:rPr>
        <w:t xml:space="preserve">2. </w:t>
      </w:r>
      <w:r>
        <w:t>Manter 60% como referência inicial ou testar 50/70/80% para robustez.</w:t>
      </w:r>
    </w:p>
    <w:p>
      <w:pPr>
        <w:ind w:left="283" w:hanging="198"/>
      </w:pPr>
      <w:r>
        <w:rPr>
          <w:b/>
        </w:rPr>
        <w:t xml:space="preserve">3. </w:t>
      </w:r>
      <w:r>
        <w:t>Consultar a tabela dos primeiros corredores.</w:t>
      </w:r>
    </w:p>
    <w:p>
      <w:pPr>
        <w:ind w:left="283" w:hanging="198"/>
      </w:pPr>
      <w:r>
        <w:rPr>
          <w:b/>
        </w:rPr>
        <w:t xml:space="preserve">4. </w:t>
      </w:r>
      <w:r>
        <w:t>Descarregar «todos os corredores» e «só persistentes» para análise integral.</w:t>
      </w:r>
    </w:p>
    <w:p>
      <w:r>
        <w:br w:type="page"/>
      </w:r>
    </w:p>
    <w:p>
      <w:pPr>
        <w:pStyle w:val="Heading1"/>
      </w:pPr>
      <w:r>
        <w:t>11. Painel «Trajetórias»</w:t>
      </w:r>
    </w:p>
    <w:p>
      <w:pPr>
        <w:jc w:val="center"/>
      </w:pPr>
      <w:r>
        <w:drawing>
          <wp:inline xmlns:a="http://schemas.openxmlformats.org/drawingml/2006/main" xmlns:pic="http://schemas.openxmlformats.org/drawingml/2006/picture">
            <wp:extent cx="4839004" cy="2416070"/>
            <wp:docPr id="7" name="Picture 7"/>
            <wp:cNvGraphicFramePr>
              <a:graphicFrameLocks noChangeAspect="1"/>
            </wp:cNvGraphicFramePr>
            <a:graphic>
              <a:graphicData uri="http://schemas.openxmlformats.org/drawingml/2006/picture">
                <pic:pic>
                  <pic:nvPicPr>
                    <pic:cNvPr id="0" name="07_trajetorias_participacao.png"/>
                    <pic:cNvPicPr/>
                  </pic:nvPicPr>
                  <pic:blipFill>
                    <a:blip r:embed="rId17"/>
                    <a:stretch>
                      <a:fillRect/>
                    </a:stretch>
                  </pic:blipFill>
                  <pic:spPr>
                    <a:xfrm>
                      <a:off x="0" y="0"/>
                      <a:ext cx="4839004" cy="2416070"/>
                    </a:xfrm>
                    <a:prstGeom prst="rect"/>
                  </pic:spPr>
                </pic:pic>
              </a:graphicData>
            </a:graphic>
          </wp:inline>
        </w:drawing>
      </w:r>
    </w:p>
    <w:p>
      <w:pPr>
        <w:pStyle w:val="Caption2"/>
        <w:jc w:val="center"/>
      </w:pPr>
      <w:r>
        <w:t>Figura 7 — Distribuição do número de anos de participação dos painéis docente × grupo.</w:t>
      </w:r>
    </w:p>
    <w:p>
      <w:pPr>
        <w:pStyle w:val="Heading2"/>
      </w:pPr>
      <w:r>
        <w:t>11.1 Unidade de análise</w:t>
      </w:r>
    </w:p>
    <w:p>
      <w:pPr>
        <w:pStyle w:val="Equation"/>
        <w:jc w:val="center"/>
      </w:pPr>
      <w:r>
        <w:rPr>
          <w:b/>
        </w:rPr>
        <w:t>Painel = docente anonimizado × grupo</w:t>
      </w:r>
    </w:p>
    <w:p>
      <w:pPr>
        <w:spacing w:after="120" w:line="259" w:lineRule="auto"/>
      </w:pPr>
      <w:r>
        <w:t>Esta escolha evita atribuir dois estados contraditórios ao mesmo painel quando um docente surge em mais de um grupo no mesmo ano.</w:t>
      </w:r>
    </w:p>
    <w:p>
      <w:pPr>
        <w:pStyle w:val="Heading2"/>
      </w:pPr>
      <w:r>
        <w:t>11.2 Estados</w:t>
      </w:r>
    </w:p>
    <w:tbl>
      <w:tblPr>
        <w:tblStyle w:val="TableGrid"/>
        <w:tblW w:type="auto" w:w="0"/>
        <w:jc w:val="center"/>
        <w:tblLook w:firstColumn="1" w:firstRow="1" w:lastColumn="0" w:lastRow="0" w:noHBand="0" w:noVBand="1" w:val="04A0"/>
      </w:tblPr>
      <w:tblGrid>
        <w:gridCol w:w="4986"/>
        <w:gridCol w:w="4986"/>
      </w:tblGrid>
      <w:tr>
        <w:tc>
          <w:tcPr>
            <w:tcW w:type="dxa" w:w="4986"/>
            <w:shd w:fill="DCE6F1"/>
          </w:tcPr>
          <w:p>
            <w:r>
              <w:rPr>
                <w:b/>
                <w:sz w:val="17"/>
              </w:rPr>
              <w:t>Estado</w:t>
            </w:r>
          </w:p>
        </w:tc>
        <w:tc>
          <w:tcPr>
            <w:tcW w:type="dxa" w:w="4986"/>
            <w:shd w:fill="DCE6F1"/>
          </w:tcPr>
          <w:p>
            <w:r>
              <w:rPr>
                <w:b/>
                <w:sz w:val="17"/>
              </w:rPr>
              <w:t>Definição</w:t>
            </w:r>
          </w:p>
        </w:tc>
      </w:tr>
      <w:tr>
        <w:tc>
          <w:tcPr>
            <w:tcW w:type="dxa" w:w="4986"/>
          </w:tcPr>
          <w:p>
            <w:r>
              <w:rPr>
                <w:sz w:val="16"/>
              </w:rPr>
              <w:t>P</w:t>
            </w:r>
          </w:p>
        </w:tc>
        <w:tc>
          <w:tcPr>
            <w:tcW w:type="dxa" w:w="4986"/>
          </w:tcPr>
          <w:p>
            <w:r>
              <w:rPr>
                <w:sz w:val="16"/>
              </w:rPr>
              <w:t>Colocado na mesma escola: origem = destino.</w:t>
            </w:r>
          </w:p>
        </w:tc>
      </w:tr>
      <w:tr>
        <w:tc>
          <w:tcPr>
            <w:tcW w:type="dxa" w:w="4986"/>
          </w:tcPr>
          <w:p>
            <w:r>
              <w:rPr>
                <w:sz w:val="16"/>
              </w:rPr>
              <w:t>M</w:t>
            </w:r>
          </w:p>
        </w:tc>
        <w:tc>
          <w:tcPr>
            <w:tcW w:type="dxa" w:w="4986"/>
          </w:tcPr>
          <w:p>
            <w:r>
              <w:rPr>
                <w:sz w:val="16"/>
              </w:rPr>
              <w:t>Migração efetiva: origem e destino conhecidos e diferentes.</w:t>
            </w:r>
          </w:p>
        </w:tc>
      </w:tr>
      <w:tr>
        <w:tc>
          <w:tcPr>
            <w:tcW w:type="dxa" w:w="4986"/>
          </w:tcPr>
          <w:p>
            <w:r>
              <w:rPr>
                <w:sz w:val="16"/>
              </w:rPr>
              <w:t>NC</w:t>
            </w:r>
          </w:p>
        </w:tc>
        <w:tc>
          <w:tcPr>
            <w:tcW w:type="dxa" w:w="4986"/>
          </w:tcPr>
          <w:p>
            <w:r>
              <w:rPr>
                <w:sz w:val="16"/>
              </w:rPr>
              <w:t>Não colocado.</w:t>
            </w:r>
          </w:p>
        </w:tc>
      </w:tr>
      <w:tr>
        <w:tc>
          <w:tcPr>
            <w:tcW w:type="dxa" w:w="4986"/>
          </w:tcPr>
          <w:p>
            <w:r>
              <w:rPr>
                <w:sz w:val="16"/>
              </w:rPr>
              <w:t>?</w:t>
            </w:r>
          </w:p>
        </w:tc>
        <w:tc>
          <w:tcPr>
            <w:tcW w:type="dxa" w:w="4986"/>
          </w:tcPr>
          <w:p>
            <w:r>
              <w:rPr>
                <w:sz w:val="16"/>
              </w:rPr>
              <w:t>Colocado, mas sem origem escolar recuperável.</w:t>
            </w:r>
          </w:p>
        </w:tc>
      </w:tr>
    </w:tbl>
    <w:p>
      <w:pPr>
        <w:spacing w:after="20"/>
      </w:pPr>
    </w:p>
    <w:p>
      <w:pPr>
        <w:pStyle w:val="Heading2"/>
      </w:pPr>
      <w:r>
        <w:t>11.3 Taxas de recorrência observada</w:t>
      </w:r>
    </w:p>
    <w:p>
      <w:pPr>
        <w:pStyle w:val="Equation"/>
        <w:jc w:val="center"/>
      </w:pPr>
      <w:r>
        <w:rPr>
          <w:b/>
        </w:rPr>
        <w:t>TPR = anos de participação / anos do período selecionado</w:t>
      </w:r>
    </w:p>
    <w:p>
      <w:pPr>
        <w:pStyle w:val="Equation"/>
        <w:jc w:val="center"/>
      </w:pPr>
      <w:r>
        <w:rPr>
          <w:b/>
        </w:rPr>
        <w:t>TME = anos com migração / anos de participação</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Limitação do TPR: </w:t>
            </w:r>
            <w:r>
              <w:t>O denominador são anos observados, não anos de elegibilidade jurídica comprovada. Por isso a aplicação fala em TPR observada.</w:t>
            </w:r>
          </w:p>
        </w:tc>
      </w:tr>
    </w:tbl>
    <w:p>
      <w:pPr>
        <w:spacing w:after="20"/>
      </w:pPr>
    </w:p>
    <w:p>
      <w:pPr>
        <w:pStyle w:val="Heading2"/>
      </w:pPr>
      <w:r>
        <w:t>11.4 Índice de recorrência</w:t>
      </w:r>
    </w:p>
    <w:p>
      <w:pPr>
        <w:pStyle w:val="Equation"/>
        <w:jc w:val="center"/>
      </w:pPr>
      <w:r>
        <w:rPr>
          <w:b/>
        </w:rPr>
        <w:t>IR = 100 × [0,35 TPR + 0,35 TME + 0,15 C + 0,15 D]</w:t>
      </w:r>
    </w:p>
    <w:p>
      <w:pPr>
        <w:spacing w:after="120" w:line="259" w:lineRule="auto"/>
      </w:pPr>
      <w:r>
        <w:t>C representa a maior sequência de anos consecutivos dividida pela duração do período; D representa diversidade escolar normalizada: min(1,(n.º de escolas distintas−1)/4). O índice é descritivo e pondera igualmente participação e mudança (35%+35%), com menor peso para continuidade temporal e diversidade de escolas (15%+15%).</w:t>
      </w:r>
    </w:p>
    <w:p>
      <w:pPr>
        <w:pStyle w:val="Heading2"/>
      </w:pPr>
      <w:r>
        <w:t>11.5 Elevada recorrência por percentil</w:t>
      </w:r>
    </w:p>
    <w:p>
      <w:pPr>
        <w:spacing w:after="120" w:line="259" w:lineRule="auto"/>
      </w:pPr>
      <w:r>
        <w:t>Em vez de um corte absoluto  a versão atual usa por defeito o percentil 75 da distribuição do índice entre painéis com pelo menos duas participações. No período completo atualmente analisado existem 39 724 painéis multi-ano e o P75 do índice é aproximadamente 50.6. Este número muda com o período selecionado.</w:t>
      </w:r>
    </w:p>
    <w:p>
      <w:pPr>
        <w:pStyle w:val="Equation"/>
        <w:jc w:val="center"/>
      </w:pPr>
      <w:r>
        <w:rPr>
          <w:b/>
        </w:rPr>
        <w:t>Elevada recorrência: IR ≥ P75 entre painéis com pelo menos 2 participações</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Interpretação: </w:t>
            </w:r>
            <w:r>
              <w:t>«Elevada» significa quartil superior da distribuição observada. Não é uma fronteira jurídica, disciplinar, clínica ou ética. O utilizador pode alterar o percentil entre P50 e P95.</w:t>
            </w:r>
          </w:p>
        </w:tc>
      </w:tr>
    </w:tbl>
    <w:p>
      <w:pPr>
        <w:spacing w:after="20"/>
      </w:pPr>
    </w:p>
    <w:p>
      <w:pPr>
        <w:pStyle w:val="Heading2"/>
      </w:pPr>
      <w:r>
        <w:t>11.6 Como ler o gráfico de participação</w:t>
      </w:r>
    </w:p>
    <w:p>
      <w:pPr>
        <w:spacing w:after="120" w:line="259" w:lineRule="auto"/>
      </w:pPr>
      <w:r>
        <w:t>O eixo horizontal mostra em quantos anos do período o painel docente×grupo aparece; o eixo vertical mostra quantos painéis têm essa duração. Uma barra em 3 anos significa «n.º de painéis observados em exatamente três anos», e não necessariamente «n.º de professores que só podiam concorrer três anos».</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Investigar uma trajetória: </w:t>
            </w:r>
            <w:r/>
          </w:p>
        </w:tc>
      </w:tr>
    </w:tbl>
    <w:p>
      <w:pPr>
        <w:spacing w:after="20"/>
      </w:pPr>
    </w:p>
    <w:p>
      <w:pPr>
        <w:ind w:left="283" w:hanging="198"/>
      </w:pPr>
      <w:r>
        <w:rPr>
          <w:b/>
        </w:rPr>
        <w:t xml:space="preserve">1. </w:t>
      </w:r>
      <w:r>
        <w:t>Pesquisar o ID anonimizado do painel.</w:t>
      </w:r>
    </w:p>
    <w:p>
      <w:pPr>
        <w:ind w:left="283" w:hanging="198"/>
      </w:pPr>
      <w:r>
        <w:rPr>
          <w:b/>
        </w:rPr>
        <w:t xml:space="preserve">2. </w:t>
      </w:r>
      <w:r>
        <w:t>Observar anos de participação, TPR, mudanças, TME, NC e escolas distintas.</w:t>
      </w:r>
    </w:p>
    <w:p>
      <w:pPr>
        <w:ind w:left="283" w:hanging="198"/>
      </w:pPr>
      <w:r>
        <w:rPr>
          <w:b/>
        </w:rPr>
        <w:t xml:space="preserve">3. </w:t>
      </w:r>
      <w:r>
        <w:t>Ler a sequência P/M/NC/· ao longo do período.</w:t>
      </w:r>
    </w:p>
    <w:p>
      <w:pPr>
        <w:ind w:left="283" w:hanging="198"/>
      </w:pPr>
      <w:r>
        <w:rPr>
          <w:b/>
        </w:rPr>
        <w:t xml:space="preserve">4. </w:t>
      </w:r>
      <w:r>
        <w:t>Comparar o índice com o percentil de corte atual.</w:t>
      </w:r>
    </w:p>
    <w:p>
      <w:pPr>
        <w:ind w:left="283" w:hanging="198"/>
      </w:pPr>
      <w:r>
        <w:rPr>
          <w:b/>
        </w:rPr>
        <w:t xml:space="preserve">5. </w:t>
      </w:r>
      <w:r>
        <w:t>Descarregar a lista integral para análises externas.</w:t>
      </w:r>
    </w:p>
    <w:p>
      <w:r>
        <w:br w:type="page"/>
      </w:r>
    </w:p>
    <w:p>
      <w:pPr>
        <w:pStyle w:val="Heading1"/>
      </w:pPr>
      <w:r>
        <w:t>12. Painel «Markov»</w:t>
      </w:r>
    </w:p>
    <w:p>
      <w:pPr>
        <w:jc w:val="center"/>
      </w:pPr>
      <w:r>
        <w:drawing>
          <wp:inline xmlns:a="http://schemas.openxmlformats.org/drawingml/2006/main" xmlns:pic="http://schemas.openxmlformats.org/drawingml/2006/picture">
            <wp:extent cx="3802075" cy="3290493"/>
            <wp:docPr id="8" name="Picture 8"/>
            <wp:cNvGraphicFramePr>
              <a:graphicFrameLocks noChangeAspect="1"/>
            </wp:cNvGraphicFramePr>
            <a:graphic>
              <a:graphicData uri="http://schemas.openxmlformats.org/drawingml/2006/picture">
                <pic:pic>
                  <pic:nvPicPr>
                    <pic:cNvPr id="0" name="04_markov_heatmap.png"/>
                    <pic:cNvPicPr/>
                  </pic:nvPicPr>
                  <pic:blipFill>
                    <a:blip r:embed="rId18"/>
                    <a:stretch>
                      <a:fillRect/>
                    </a:stretch>
                  </pic:blipFill>
                  <pic:spPr>
                    <a:xfrm>
                      <a:off x="0" y="0"/>
                      <a:ext cx="3802075" cy="3290493"/>
                    </a:xfrm>
                    <a:prstGeom prst="rect"/>
                  </pic:spPr>
                </pic:pic>
              </a:graphicData>
            </a:graphic>
          </wp:inline>
        </w:drawing>
      </w:r>
    </w:p>
    <w:p>
      <w:pPr>
        <w:pStyle w:val="Caption2"/>
        <w:jc w:val="center"/>
      </w:pPr>
      <w:r>
        <w:t>Figura 8 — Matriz de transição entre permanência (P), migração (M) e não colocação (NC) no período completo.</w:t>
      </w:r>
    </w:p>
    <w:p>
      <w:pPr>
        <w:pStyle w:val="Heading2"/>
      </w:pPr>
      <w:r>
        <w:t>12.1 Objetivo</w:t>
      </w:r>
    </w:p>
    <w:p>
      <w:pPr>
        <w:spacing w:after="120" w:line="259" w:lineRule="auto"/>
      </w:pPr>
      <w:r>
        <w:t>A matriz de Markov resume o que aconteceu no ano seguinte quando um painel esteve em determinado estado no ano anterior. Só são usadas transições entre anos consecutivos e estados conhecidos P, M e NC.</w:t>
      </w:r>
    </w:p>
    <w:p>
      <w:pPr>
        <w:pStyle w:val="Equation"/>
        <w:jc w:val="center"/>
      </w:pPr>
      <w:r>
        <w:rPr>
          <w:b/>
        </w:rPr>
        <w:t>P(a→b) = N(a→b) / soma das transições que partem de a</w:t>
      </w:r>
    </w:p>
    <w:p>
      <w:pPr>
        <w:pStyle w:val="Heading2"/>
      </w:pPr>
      <w:r>
        <w:t>12.2 Exemplo de interpretação</w:t>
      </w:r>
    </w:p>
    <w:p>
      <w:pPr>
        <w:spacing w:after="120" w:line="259" w:lineRule="auto"/>
      </w:pPr>
      <w:r>
        <w:t>Na matriz do período completo, a transição P→P é cerca de 61,6%; M→M cerca de 56,8%; NC→NC cerca de 64,1%. Estes números são probabilidades empíricas condicionais no universo observado, não probabilidades causais nem previsões individuais garantidas.</w:t>
      </w:r>
    </w:p>
    <w:p>
      <w:pPr>
        <w:pStyle w:val="Heading2"/>
      </w:pPr>
      <w:r>
        <w:t>12.3 Tempo até permanência</w:t>
      </w:r>
    </w:p>
    <w:p>
      <w:pPr>
        <w:spacing w:after="120" w:line="259" w:lineRule="auto"/>
      </w:pPr>
      <w:r>
        <w:t>A aplicação pode sintetizar o primeiro ano em que surge P e sequências de P consecutivos. Estas medidas são proxies de estabilização observada; não substituem informação jurídica sobre provimento, vinculação ou elegibilidade.</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Como usar Markov: </w:t>
            </w:r>
            <w:r/>
          </w:p>
        </w:tc>
      </w:tr>
    </w:tbl>
    <w:p>
      <w:pPr>
        <w:spacing w:after="20"/>
      </w:pPr>
    </w:p>
    <w:p>
      <w:pPr>
        <w:ind w:left="283" w:hanging="198"/>
      </w:pPr>
      <w:r>
        <w:rPr>
          <w:b/>
        </w:rPr>
        <w:t xml:space="preserve">1. </w:t>
      </w:r>
      <w:r>
        <w:t>Selecionar um período longitudinal suficientemente longo.</w:t>
      </w:r>
    </w:p>
    <w:p>
      <w:pPr>
        <w:ind w:left="283" w:hanging="198"/>
      </w:pPr>
      <w:r>
        <w:rPr>
          <w:b/>
        </w:rPr>
        <w:t xml:space="preserve">2. </w:t>
      </w:r>
      <w:r>
        <w:t>Ler a linha correspondente ao estado anterior.</w:t>
      </w:r>
    </w:p>
    <w:p>
      <w:pPr>
        <w:ind w:left="283" w:hanging="198"/>
      </w:pPr>
      <w:r>
        <w:rPr>
          <w:b/>
        </w:rPr>
        <w:t xml:space="preserve">3. </w:t>
      </w:r>
      <w:r>
        <w:t>Comparar P→P, P→M e P→NC; depois repetir para M e NC.</w:t>
      </w:r>
    </w:p>
    <w:p>
      <w:pPr>
        <w:ind w:left="283" w:hanging="198"/>
      </w:pPr>
      <w:r>
        <w:rPr>
          <w:b/>
        </w:rPr>
        <w:t xml:space="preserve">4. </w:t>
      </w:r>
      <w:r>
        <w:t>Alterar o período para perceber se o padrão de transição se modifica.</w:t>
      </w:r>
    </w:p>
    <w:p>
      <w:r>
        <w:br w:type="page"/>
      </w:r>
    </w:p>
    <w:p>
      <w:pPr>
        <w:pStyle w:val="Heading1"/>
      </w:pPr>
      <w:r>
        <w:t>13. Painel «Qualidade»</w:t>
      </w:r>
    </w:p>
    <w:p>
      <w:pPr>
        <w:jc w:val="center"/>
      </w:pPr>
      <w:r>
        <w:drawing>
          <wp:inline xmlns:a="http://schemas.openxmlformats.org/drawingml/2006/main" xmlns:pic="http://schemas.openxmlformats.org/drawingml/2006/picture">
            <wp:extent cx="5299862" cy="4409129"/>
            <wp:docPr id="11" name="Picture 11"/>
            <wp:cNvGraphicFramePr>
              <a:graphicFrameLocks noChangeAspect="1"/>
            </wp:cNvGraphicFramePr>
            <a:graphic>
              <a:graphicData uri="http://schemas.openxmlformats.org/drawingml/2006/picture">
                <pic:pic>
                  <pic:nvPicPr>
                    <pic:cNvPr id="0" name="06_heatmap_qualidade.png"/>
                    <pic:cNvPicPr/>
                  </pic:nvPicPr>
                  <pic:blipFill>
                    <a:blip r:embed="rId21"/>
                    <a:stretch>
                      <a:fillRect/>
                    </a:stretch>
                  </pic:blipFill>
                  <pic:spPr>
                    <a:xfrm>
                      <a:off x="0" y="0"/>
                      <a:ext cx="5299862" cy="4409129"/>
                    </a:xfrm>
                    <a:prstGeom prst="rect"/>
                  </pic:spPr>
                </pic:pic>
              </a:graphicData>
            </a:graphic>
          </wp:inline>
        </w:drawing>
      </w:r>
    </w:p>
    <w:p>
      <w:pPr>
        <w:pStyle w:val="Caption2"/>
        <w:jc w:val="center"/>
      </w:pPr>
      <w:r>
        <w:t>Figura 11 — Heatmap grupo × ano expresso como percentagem do universo anual.</w:t>
      </w:r>
    </w:p>
    <w:p>
      <w:pPr>
        <w:pStyle w:val="Heading2"/>
      </w:pPr>
      <w:r>
        <w:t>13.1 Auditoria anual</w:t>
      </w:r>
    </w:p>
    <w:p>
      <w:pPr>
        <w:spacing w:after="120" w:line="259" w:lineRule="auto"/>
      </w:pPr>
      <w:r>
        <w:t>O painel de qualidade apresenta número de registos, grupos, grupos ausentes, origens desconhecidas, colocados e casos elegíveis para a rede. Serve para distinguir ausência de movimento de falha documental ou de codificação.</w:t>
      </w:r>
    </w:p>
    <w:p>
      <w:pPr>
        <w:pStyle w:val="Heading2"/>
      </w:pPr>
      <w:r>
        <w:t>13.2 Heatmap de cobertura grupo × ano</w:t>
      </w:r>
    </w:p>
    <w:p>
      <w:pPr>
        <w:spacing w:after="120" w:line="259" w:lineRule="auto"/>
      </w:pPr>
      <w:r>
        <w:t>Cada célula cruza grupo de recrutamento e ano. Na escala N, a cor representa número de candidaturas; na escala %, representa a percentagem que o grupo ocupa no universo daquele ano. Branco/zero significa ausência de candidaturas na base naquele cruzamento, não uma «nota de qualidade».</w:t>
      </w:r>
    </w:p>
    <w:p>
      <w:pPr>
        <w:pStyle w:val="Equation"/>
        <w:jc w:val="center"/>
      </w:pPr>
      <w:r>
        <w:rPr>
          <w:b/>
        </w:rPr>
        <w:t>% do ano = N(grupo, ano) / N(total do ano) × 100</w:t>
      </w:r>
    </w:p>
    <w:p>
      <w:pPr>
        <w:pStyle w:val="Heading2"/>
      </w:pPr>
      <w:r>
        <w:t>13.3 Quando usar N e quando usar %</w:t>
      </w:r>
    </w:p>
    <w:p>
      <w:pPr>
        <w:pStyle w:val="ListBullet"/>
      </w:pPr>
      <w:r>
        <w:t>Usar N para perceber carga absoluta de candidaturas e dimensão operacional do grupo.</w:t>
      </w:r>
    </w:p>
    <w:p>
      <w:pPr>
        <w:pStyle w:val="ListBullet"/>
      </w:pPr>
      <w:r>
        <w:t>Usar % para comparar importância relativa entre anos com universos muito diferentes.</w:t>
      </w:r>
    </w:p>
    <w:p>
      <w:pPr>
        <w:pStyle w:val="ListBullet"/>
      </w:pPr>
      <w:r>
        <w:t>Usar a tabela de qualidade para verificar se um zero resulta de ausência real ou de problema conhecido de fonte.</w:t>
      </w:r>
    </w:p>
    <w:tbl>
      <w:tblPr>
        <w:tblW w:type="auto" w:w="0"/>
        <w:jc w:val="center"/>
        <w:tblLayout w:type="autofit"/>
        <w:tblLook w:firstColumn="1" w:firstRow="1" w:lastColumn="0" w:lastRow="0" w:noHBand="0" w:noVBand="1" w:val="04A0"/>
      </w:tblPr>
      <w:tblGrid>
        <w:gridCol w:w="9972"/>
      </w:tblGrid>
      <w:tr>
        <w:tc>
          <w:tcPr>
            <w:tcW w:type="dxa" w:w="9972"/>
            <w:shd w:fill="EEF4FF"/>
            <w:vAlign w:val="center"/>
          </w:tcPr>
          <w:p>
            <w:r>
              <w:rPr>
                <w:b/>
                <w:color w:val="17365D"/>
              </w:rPr>
              <w:t xml:space="preserve">Exemplo de utilização — Interpretar uma célula: </w:t>
            </w:r>
            <w:r/>
          </w:p>
        </w:tc>
      </w:tr>
    </w:tbl>
    <w:p>
      <w:pPr>
        <w:spacing w:after="20"/>
      </w:pPr>
    </w:p>
    <w:p>
      <w:pPr>
        <w:ind w:left="283" w:hanging="198"/>
      </w:pPr>
      <w:r>
        <w:rPr>
          <w:b/>
        </w:rPr>
        <w:t xml:space="preserve">1. </w:t>
      </w:r>
      <w:r>
        <w:t>Passar o rato sobre o grupo e ano.</w:t>
      </w:r>
    </w:p>
    <w:p>
      <w:pPr>
        <w:ind w:left="283" w:hanging="198"/>
      </w:pPr>
      <w:r>
        <w:rPr>
          <w:b/>
        </w:rPr>
        <w:t xml:space="preserve">2. </w:t>
      </w:r>
      <w:r>
        <w:t>Ler N e % do ano.</w:t>
      </w:r>
    </w:p>
    <w:p>
      <w:pPr>
        <w:ind w:left="283" w:hanging="198"/>
      </w:pPr>
      <w:r>
        <w:rPr>
          <w:b/>
        </w:rPr>
        <w:t xml:space="preserve">3. </w:t>
      </w:r>
      <w:r>
        <w:t>Comparar a mesma linha noutros anos.</w:t>
      </w:r>
    </w:p>
    <w:p>
      <w:pPr>
        <w:ind w:left="283" w:hanging="198"/>
      </w:pPr>
      <w:r>
        <w:rPr>
          <w:b/>
        </w:rPr>
        <w:t xml:space="preserve">4. </w:t>
      </w:r>
      <w:r>
        <w:t>Se surgir uma quebra abrupta, consultar primeiro o quadro de qualidade e alterações do universo antes de interpretar como fenómeno substantivo.</w:t>
      </w:r>
    </w:p>
    <w:p>
      <w:pPr>
        <w:pStyle w:val="Heading1"/>
      </w:pPr>
      <w:r>
        <w:t>14. Painel «Metodologia»</w:t>
      </w:r>
    </w:p>
    <w:p>
      <w:pPr>
        <w:pStyle w:val="Heading2"/>
      </w:pPr>
      <w:r>
        <w:t>14.1 Função do painel</w:t>
      </w:r>
    </w:p>
    <w:p>
      <w:pPr>
        <w:spacing w:after="120" w:line="259" w:lineRule="auto"/>
      </w:pPr>
      <w:r>
        <w:t>O separador Metodologia funciona como referência rápida dentro da aplicação. Este manual é a versão expandida: documenta fórmulas, denominadores, regras de limpeza, identidade escolar, tipologias, corredores, trajetórias, inferência e limitações.</w:t>
      </w:r>
    </w:p>
    <w:p>
      <w:pPr>
        <w:pStyle w:val="Heading2"/>
      </w:pPr>
      <w:r>
        <w:t>14.2 Regra de reprodutibilidade</w:t>
      </w:r>
    </w:p>
    <w:p>
      <w:pPr>
        <w:spacing w:after="120" w:line="259" w:lineRule="auto"/>
      </w:pPr>
      <w:r>
        <w:t>Sempre que a interface resume um universo — Top 25, primeiras 100 linhas, primeiros 300 painéis — deve existir uma exportação do universo completo ou um ficheiro de suporte no pacote de cálculos. O princípio é: «o painel pode resumir; o download deve permitir auditar».</w:t>
      </w:r>
    </w:p>
    <w:p>
      <w:pPr>
        <w:pStyle w:val="Heading1"/>
      </w:pPr>
      <w:r>
        <w:t>15. Metodologia longitudinal integrada</w:t>
      </w:r>
    </w:p>
    <w:p>
      <w:pPr>
        <w:pStyle w:val="Heading2"/>
      </w:pPr>
      <w:r>
        <w:t>15.1 Painel escola × ano</w:t>
      </w:r>
    </w:p>
    <w:p>
      <w:pPr>
        <w:spacing w:after="120" w:line="259" w:lineRule="auto"/>
      </w:pPr>
      <w:r>
        <w:t>A unidade organizacional longitudinal é o código da escola por ano. Os indicadores anuais são calculados primeiro; depois são agregados apenas nos anos que cumprem o limiar M escolhido para a componente longitudinal.</w:t>
      </w:r>
    </w:p>
    <w:p>
      <w:pPr>
        <w:pStyle w:val="Heading2"/>
      </w:pPr>
      <w:r>
        <w:t>15.2 Persistência versus tendência</w:t>
      </w:r>
    </w:p>
    <w:p>
      <w:pPr>
        <w:spacing w:after="120" w:line="259" w:lineRule="auto"/>
      </w:pPr>
      <w:r>
        <w:t>Persistência responde «com que frequência ocorreu um padrão?»; tendência responde «a intensidade desse padrão está a aumentar ou diminuir?». Uma escola pode ter IPPS elevado e tendência negativa se continua emissora, mas com PS progressivamente menor.</w:t>
      </w:r>
    </w:p>
    <w:p>
      <w:pPr>
        <w:pStyle w:val="Heading2"/>
      </w:pPr>
      <w:r>
        <w:t>15.3 Volatilidade versus alta rotação</w:t>
      </w:r>
    </w:p>
    <w:p>
      <w:pPr>
        <w:spacing w:after="120" w:line="259" w:lineRule="auto"/>
      </w:pPr>
      <w:r>
        <w:t>Volatilidade refere-se à oscilação de PS entre anos; alta rotação refere-se a M elevado com entradas e saídas relativamente equilibradas. São dimensões diferentes e podem coexistir.</w:t>
      </w:r>
    </w:p>
    <w:p>
      <w:pPr>
        <w:pStyle w:val="Heading2"/>
      </w:pPr>
      <w:r>
        <w:t>15.4 Testes de robustez recomendados</w:t>
      </w:r>
    </w:p>
    <w:p>
      <w:pPr>
        <w:pStyle w:val="ListBullet"/>
      </w:pPr>
      <w:r>
        <w:t>Recalcular rankings/tipologias com M≥5, M≥10 e M≥20.</w:t>
      </w:r>
    </w:p>
    <w:p>
      <w:pPr>
        <w:pStyle w:val="ListBullet"/>
      </w:pPr>
      <w:r>
        <w:t>Comparar IPPS com limiares de 55%, 60% e 65%.</w:t>
      </w:r>
    </w:p>
    <w:p>
      <w:pPr>
        <w:pStyle w:val="ListBullet"/>
      </w:pPr>
      <w:r>
        <w:t>Comparar corredores persistentes com 50%, 60%, 70% e 80%.</w:t>
      </w:r>
    </w:p>
    <w:p>
      <w:pPr>
        <w:pStyle w:val="ListBullet"/>
      </w:pPr>
      <w:r>
        <w:t>Comparar elevada recorrência em P70, P75, P80 e P90.</w:t>
      </w:r>
    </w:p>
    <w:p>
      <w:pPr>
        <w:pStyle w:val="ListBullet"/>
      </w:pPr>
      <w:r>
        <w:t>Repetir inferência por grupo de recrutamento quando o tamanho amostral o permita.</w:t>
      </w:r>
    </w:p>
    <w:p>
      <w:pPr>
        <w:pStyle w:val="Heading1"/>
      </w:pPr>
      <w:r>
        <w:t>16. Privacidade, ética e leitura responsável</w:t>
      </w:r>
    </w:p>
    <w:p>
      <w:pPr>
        <w:pStyle w:val="Heading2"/>
      </w:pPr>
      <w:r>
        <w:t>16.1 Anonimização</w:t>
      </w:r>
    </w:p>
    <w:p>
      <w:pPr>
        <w:spacing w:after="120" w:line="259" w:lineRule="auto"/>
      </w:pPr>
      <w:r>
        <w:t>As trajetórias individuais usam identificadores anonimizados. Nomes e números de utilizador não devem ser expostos na versão pública do Observatório.</w:t>
      </w:r>
    </w:p>
    <w:p>
      <w:pPr>
        <w:pStyle w:val="Heading2"/>
      </w:pPr>
      <w:r>
        <w:t>16.2 Anomalia estatística não é irregularidade</w:t>
      </w:r>
    </w:p>
    <w:p>
      <w:pPr>
        <w:spacing w:after="120" w:line="259" w:lineRule="auto"/>
      </w:pPr>
      <w:r>
        <w:t>Um padrão raro pode resultar de preferências legítimas, alterações familiares, saúde, horários, oferta geográfica, reorganizações escolares ou regras do concurso. Métodos de deteção de outliers devem ser usados para investigação, nunca como prova autónoma de abuso.</w:t>
      </w:r>
    </w:p>
    <w:p>
      <w:pPr>
        <w:pStyle w:val="Heading2"/>
      </w:pPr>
      <w:r>
        <w:t>16.3 Escolas</w:t>
      </w:r>
    </w:p>
    <w:p>
      <w:pPr>
        <w:spacing w:after="120" w:line="259" w:lineRule="auto"/>
      </w:pPr>
      <w:r>
        <w:t>As tipologias são perfis estatísticos. Não constituem avaliação da qualidade pedagógica, liderança, ambiente escolar ou desempenho. Uma escola recetora ou emissora pode sê-lo por razões estruturais externas à organização.</w:t>
      </w:r>
    </w:p>
    <w:p>
      <w:pPr>
        <w:pStyle w:val="Heading1"/>
      </w:pPr>
      <w:r>
        <w:t>17. Ficheiros de download e reprodutibilidade</w:t>
      </w:r>
    </w:p>
    <w:p>
      <w:pPr>
        <w:pStyle w:val="Heading2"/>
      </w:pPr>
      <w:r>
        <w:t>17.1 Downloads na aplicação</w:t>
      </w:r>
    </w:p>
    <w:p>
      <w:pPr>
        <w:pStyle w:val="ListBullet"/>
      </w:pPr>
      <w:r>
        <w:t>Pressão e rankings: gráfico completo SVG e CSV completo para cada ranking.</w:t>
      </w:r>
    </w:p>
    <w:p>
      <w:pPr>
        <w:pStyle w:val="ListBullet"/>
      </w:pPr>
      <w:r>
        <w:t>Longitudinal: lista completa de escolas/tipologias; todos os corredores; só corredores persistentes.</w:t>
      </w:r>
    </w:p>
    <w:p>
      <w:pPr>
        <w:pStyle w:val="ListBullet"/>
      </w:pPr>
      <w:r>
        <w:t>Trajetórias: todas as trajetórias anonimizadas e respetiva classificação.</w:t>
      </w:r>
    </w:p>
    <w:p>
      <w:pPr>
        <w:pStyle w:val="ListBullet"/>
      </w:pPr>
      <w:r>
        <w:t>Qualidade: matriz grupo×ano com N e percentagem.</w:t>
      </w:r>
    </w:p>
    <w:p>
      <w:pPr>
        <w:pStyle w:val="Heading2"/>
      </w:pPr>
      <w:r>
        <w:t>17.2 Pacote de cálculos</w:t>
      </w:r>
    </w:p>
    <w:p>
      <w:pPr>
        <w:spacing w:after="120" w:line="259" w:lineRule="auto"/>
      </w:pPr>
      <w:r>
        <w:t>O pacote de suporte contém tabelas de eventos, resumo anual, indicadores escola×ano, QA/QE vs QZP por ano/grupo, rankings, longitudinal, corredores, trajetórias, Markov, inferência, cobertura e auditoria de códigos. Estes ficheiros devem ser preservados com a versão da aplicação para permitir auditoria.</w:t>
      </w:r>
    </w:p>
    <w:p>
      <w:pPr>
        <w:pStyle w:val="Heading1"/>
      </w:pPr>
      <w:r>
        <w:t>18. Perguntas frequentes</w:t>
      </w:r>
    </w:p>
    <w:p>
      <w:pPr>
        <w:pStyle w:val="Heading2"/>
      </w:pPr>
      <w:r>
        <w:t>Porque uma escola não aparece num ranking?</w:t>
      </w:r>
    </w:p>
    <w:p>
      <w:pPr>
        <w:spacing w:after="120" w:line="259" w:lineRule="auto"/>
      </w:pPr>
      <w:r>
        <w:t>Pode não atingir o limiar M. Isso não significa que esteja ausente da base.</w:t>
      </w:r>
    </w:p>
    <w:p>
      <w:pPr>
        <w:pStyle w:val="Heading2"/>
      </w:pPr>
      <w:r>
        <w:t>PS=80% significa que 80% dos professores da escola saíram?</w:t>
      </w:r>
    </w:p>
    <w:p>
      <w:pPr>
        <w:spacing w:after="120" w:line="259" w:lineRule="auto"/>
      </w:pPr>
      <w:r>
        <w:t>Não. Significa que 80% do movimento E+S contabilizado na MI corresponde a saídas.</w:t>
      </w:r>
    </w:p>
    <w:p>
      <w:pPr>
        <w:pStyle w:val="Heading2"/>
      </w:pPr>
      <w:r>
        <w:t>Porque um não colocado aumenta E e S?</w:t>
      </w:r>
    </w:p>
    <w:p>
      <w:pPr>
        <w:spacing w:after="120" w:line="259" w:lineRule="auto"/>
      </w:pPr>
      <w:r>
        <w:t>Para representar a pressão de mobilidade: há saída administrativa da origem e regresso à mesma origem. Não existe aresta na rede.</w:t>
      </w:r>
    </w:p>
    <w:p>
      <w:pPr>
        <w:pStyle w:val="Heading2"/>
      </w:pPr>
      <w:r>
        <w:t>Porque duas escolas do mesmo concelho aparecem separadas?</w:t>
      </w:r>
    </w:p>
    <w:p>
      <w:pPr>
        <w:spacing w:after="120" w:line="259" w:lineRule="auto"/>
      </w:pPr>
      <w:r>
        <w:t>Porque têm códigos diferentes e o código define a identidade.</w:t>
      </w:r>
    </w:p>
    <w:p>
      <w:pPr>
        <w:pStyle w:val="Heading2"/>
      </w:pPr>
      <w:r>
        <w:t>Um corredor com 60% é necessariamente estrutural?</w:t>
      </w:r>
    </w:p>
    <w:p>
      <w:pPr>
        <w:spacing w:after="120" w:line="259" w:lineRule="auto"/>
      </w:pPr>
      <w:r>
        <w:t>Não. É uma classificação heurística de persistência; deve ser testada com outros limiares e contexto.</w:t>
      </w:r>
    </w:p>
    <w:p>
      <w:pPr>
        <w:pStyle w:val="Heading2"/>
      </w:pPr>
      <w:r>
        <w:t>P75 de recorrência significa índice 75?</w:t>
      </w:r>
    </w:p>
    <w:p>
      <w:pPr>
        <w:spacing w:after="120" w:line="259" w:lineRule="auto"/>
      </w:pPr>
      <w:r>
        <w:t>Não. Significa o valor do índice que separa aproximadamente o quartil superior da distribuição de painéis multi-ano.</w:t>
      </w:r>
    </w:p>
    <w:p>
      <w:pPr>
        <w:pStyle w:val="Heading2"/>
      </w:pPr>
      <w:r>
        <w:t>Um zero no heatmap é falha de dados?</w:t>
      </w:r>
    </w:p>
    <w:p>
      <w:pPr>
        <w:spacing w:after="120" w:line="259" w:lineRule="auto"/>
      </w:pPr>
      <w:r>
        <w:t>Não necessariamente; pode ser ausência real de candidaturas naquele grupo/ano. Verificar a tabela de qualidade.</w:t>
      </w:r>
    </w:p>
    <w:p>
      <w:pPr>
        <w:pStyle w:val="Heading2"/>
      </w:pPr>
      <w:r>
        <w:t>Posso usar os downloads em R, Python, SPSS ou Excel?</w:t>
      </w:r>
    </w:p>
    <w:p>
      <w:pPr>
        <w:spacing w:after="120" w:line="259" w:lineRule="auto"/>
      </w:pPr>
      <w:r>
        <w:t>Sim. Os CSV são intencionalmente tabulares e reprodutíveis.</w:t>
      </w:r>
    </w:p>
    <w:p>
      <w:pPr>
        <w:pStyle w:val="Heading1"/>
      </w:pPr>
      <w:r>
        <w:t>19. Glossário</w:t>
      </w:r>
    </w:p>
    <w:tbl>
      <w:tblPr>
        <w:tblStyle w:val="TableGrid"/>
        <w:tblW w:type="auto" w:w="0"/>
        <w:jc w:val="center"/>
        <w:tblLook w:firstColumn="1" w:firstRow="1" w:lastColumn="0" w:lastRow="0" w:noHBand="0" w:noVBand="1" w:val="04A0"/>
      </w:tblPr>
      <w:tblGrid>
        <w:gridCol w:w="4986"/>
        <w:gridCol w:w="4986"/>
      </w:tblGrid>
      <w:tr>
        <w:tc>
          <w:tcPr>
            <w:tcW w:type="dxa" w:w="4986"/>
            <w:shd w:fill="DCE6F1"/>
          </w:tcPr>
          <w:p>
            <w:r>
              <w:rPr>
                <w:b/>
                <w:sz w:val="17"/>
              </w:rPr>
              <w:t>Sigla / termo</w:t>
            </w:r>
          </w:p>
        </w:tc>
        <w:tc>
          <w:tcPr>
            <w:tcW w:type="dxa" w:w="4986"/>
            <w:shd w:fill="DCE6F1"/>
          </w:tcPr>
          <w:p>
            <w:r>
              <w:rPr>
                <w:b/>
                <w:sz w:val="17"/>
              </w:rPr>
              <w:t>Definição</w:t>
            </w:r>
          </w:p>
        </w:tc>
      </w:tr>
      <w:tr>
        <w:tc>
          <w:tcPr>
            <w:tcW w:type="dxa" w:w="4986"/>
          </w:tcPr>
          <w:p>
            <w:r>
              <w:rPr>
                <w:sz w:val="16"/>
              </w:rPr>
              <w:t>AE</w:t>
            </w:r>
          </w:p>
        </w:tc>
        <w:tc>
          <w:tcPr>
            <w:tcW w:type="dxa" w:w="4986"/>
          </w:tcPr>
          <w:p>
            <w:r>
              <w:rPr>
                <w:sz w:val="16"/>
              </w:rPr>
              <w:t>Agrupamento de Escolas.</w:t>
            </w:r>
          </w:p>
        </w:tc>
      </w:tr>
      <w:tr>
        <w:tc>
          <w:tcPr>
            <w:tcW w:type="dxa" w:w="4986"/>
          </w:tcPr>
          <w:p>
            <w:r>
              <w:rPr>
                <w:sz w:val="16"/>
              </w:rPr>
              <w:t>ENA</w:t>
            </w:r>
          </w:p>
        </w:tc>
        <w:tc>
          <w:tcPr>
            <w:tcW w:type="dxa" w:w="4986"/>
          </w:tcPr>
          <w:p>
            <w:r>
              <w:rPr>
                <w:sz w:val="16"/>
              </w:rPr>
              <w:t>Escola Não Agrupada.</w:t>
            </w:r>
          </w:p>
        </w:tc>
      </w:tr>
      <w:tr>
        <w:tc>
          <w:tcPr>
            <w:tcW w:type="dxa" w:w="4986"/>
          </w:tcPr>
          <w:p>
            <w:r>
              <w:rPr>
                <w:sz w:val="16"/>
              </w:rPr>
              <w:t>MI</w:t>
            </w:r>
          </w:p>
        </w:tc>
        <w:tc>
          <w:tcPr>
            <w:tcW w:type="dxa" w:w="4986"/>
          </w:tcPr>
          <w:p>
            <w:r>
              <w:rPr>
                <w:sz w:val="16"/>
              </w:rPr>
              <w:t>Mobilidade Interna.</w:t>
            </w:r>
          </w:p>
        </w:tc>
      </w:tr>
      <w:tr>
        <w:tc>
          <w:tcPr>
            <w:tcW w:type="dxa" w:w="4986"/>
          </w:tcPr>
          <w:p>
            <w:r>
              <w:rPr>
                <w:sz w:val="16"/>
              </w:rPr>
              <w:t>QA/QE</w:t>
            </w:r>
          </w:p>
        </w:tc>
        <w:tc>
          <w:tcPr>
            <w:tcW w:type="dxa" w:w="4986"/>
          </w:tcPr>
          <w:p>
            <w:r>
              <w:rPr>
                <w:sz w:val="16"/>
              </w:rPr>
              <w:t>Docente de quadro de agrupamento / quadro de escola.</w:t>
            </w:r>
          </w:p>
        </w:tc>
      </w:tr>
      <w:tr>
        <w:tc>
          <w:tcPr>
            <w:tcW w:type="dxa" w:w="4986"/>
          </w:tcPr>
          <w:p>
            <w:r>
              <w:rPr>
                <w:sz w:val="16"/>
              </w:rPr>
              <w:t>QZP</w:t>
            </w:r>
          </w:p>
        </w:tc>
        <w:tc>
          <w:tcPr>
            <w:tcW w:type="dxa" w:w="4986"/>
          </w:tcPr>
          <w:p>
            <w:r>
              <w:rPr>
                <w:sz w:val="16"/>
              </w:rPr>
              <w:t>Docente de Quadro de Zona Pedagógica.</w:t>
            </w:r>
          </w:p>
        </w:tc>
      </w:tr>
      <w:tr>
        <w:tc>
          <w:tcPr>
            <w:tcW w:type="dxa" w:w="4986"/>
          </w:tcPr>
          <w:p>
            <w:r>
              <w:rPr>
                <w:sz w:val="16"/>
              </w:rPr>
              <w:t>E</w:t>
            </w:r>
          </w:p>
        </w:tc>
        <w:tc>
          <w:tcPr>
            <w:tcW w:type="dxa" w:w="4986"/>
          </w:tcPr>
          <w:p>
            <w:r>
              <w:rPr>
                <w:sz w:val="16"/>
              </w:rPr>
              <w:t>Entradas contabilizadas.</w:t>
            </w:r>
          </w:p>
        </w:tc>
      </w:tr>
      <w:tr>
        <w:tc>
          <w:tcPr>
            <w:tcW w:type="dxa" w:w="4986"/>
          </w:tcPr>
          <w:p>
            <w:r>
              <w:rPr>
                <w:sz w:val="16"/>
              </w:rPr>
              <w:t>S</w:t>
            </w:r>
          </w:p>
        </w:tc>
        <w:tc>
          <w:tcPr>
            <w:tcW w:type="dxa" w:w="4986"/>
          </w:tcPr>
          <w:p>
            <w:r>
              <w:rPr>
                <w:sz w:val="16"/>
              </w:rPr>
              <w:t>Saídas contabilizadas.</w:t>
            </w:r>
          </w:p>
        </w:tc>
      </w:tr>
      <w:tr>
        <w:tc>
          <w:tcPr>
            <w:tcW w:type="dxa" w:w="4986"/>
          </w:tcPr>
          <w:p>
            <w:r>
              <w:rPr>
                <w:sz w:val="16"/>
              </w:rPr>
              <w:t>M</w:t>
            </w:r>
          </w:p>
        </w:tc>
        <w:tc>
          <w:tcPr>
            <w:tcW w:type="dxa" w:w="4986"/>
          </w:tcPr>
          <w:p>
            <w:r>
              <w:rPr>
                <w:sz w:val="16"/>
              </w:rPr>
              <w:t>Movimento total E+S.</w:t>
            </w:r>
          </w:p>
        </w:tc>
      </w:tr>
      <w:tr>
        <w:tc>
          <w:tcPr>
            <w:tcW w:type="dxa" w:w="4986"/>
          </w:tcPr>
          <w:p>
            <w:r>
              <w:rPr>
                <w:sz w:val="16"/>
              </w:rPr>
              <w:t>PS</w:t>
            </w:r>
          </w:p>
        </w:tc>
        <w:tc>
          <w:tcPr>
            <w:tcW w:type="dxa" w:w="4986"/>
          </w:tcPr>
          <w:p>
            <w:r>
              <w:rPr>
                <w:sz w:val="16"/>
              </w:rPr>
              <w:t>Pressão de saída.</w:t>
            </w:r>
          </w:p>
        </w:tc>
      </w:tr>
      <w:tr>
        <w:tc>
          <w:tcPr>
            <w:tcW w:type="dxa" w:w="4986"/>
          </w:tcPr>
          <w:p>
            <w:r>
              <w:rPr>
                <w:sz w:val="16"/>
              </w:rPr>
              <w:t>PE</w:t>
            </w:r>
          </w:p>
        </w:tc>
        <w:tc>
          <w:tcPr>
            <w:tcW w:type="dxa" w:w="4986"/>
          </w:tcPr>
          <w:p>
            <w:r>
              <w:rPr>
                <w:sz w:val="16"/>
              </w:rPr>
              <w:t>Pressão de entrada.</w:t>
            </w:r>
          </w:p>
        </w:tc>
      </w:tr>
      <w:tr>
        <w:tc>
          <w:tcPr>
            <w:tcW w:type="dxa" w:w="4986"/>
          </w:tcPr>
          <w:p>
            <w:r>
              <w:rPr>
                <w:sz w:val="16"/>
              </w:rPr>
              <w:t>SM</w:t>
            </w:r>
          </w:p>
        </w:tc>
        <w:tc>
          <w:tcPr>
            <w:tcW w:type="dxa" w:w="4986"/>
          </w:tcPr>
          <w:p>
            <w:r>
              <w:rPr>
                <w:sz w:val="16"/>
              </w:rPr>
              <w:t>Saldo migratório efetivo.</w:t>
            </w:r>
          </w:p>
        </w:tc>
      </w:tr>
      <w:tr>
        <w:tc>
          <w:tcPr>
            <w:tcW w:type="dxa" w:w="4986"/>
          </w:tcPr>
          <w:p>
            <w:r>
              <w:rPr>
                <w:sz w:val="16"/>
              </w:rPr>
              <w:t>NC</w:t>
            </w:r>
          </w:p>
        </w:tc>
        <w:tc>
          <w:tcPr>
            <w:tcW w:type="dxa" w:w="4986"/>
          </w:tcPr>
          <w:p>
            <w:r>
              <w:rPr>
                <w:sz w:val="16"/>
              </w:rPr>
              <w:t>Não colocado.</w:t>
            </w:r>
          </w:p>
        </w:tc>
      </w:tr>
      <w:tr>
        <w:tc>
          <w:tcPr>
            <w:tcW w:type="dxa" w:w="4986"/>
          </w:tcPr>
          <w:p>
            <w:r>
              <w:rPr>
                <w:sz w:val="16"/>
              </w:rPr>
              <w:t>TNC</w:t>
            </w:r>
          </w:p>
        </w:tc>
        <w:tc>
          <w:tcPr>
            <w:tcW w:type="dxa" w:w="4986"/>
          </w:tcPr>
          <w:p>
            <w:r>
              <w:rPr>
                <w:sz w:val="16"/>
              </w:rPr>
              <w:t>Taxa de não colocação escolar no universo da MI.</w:t>
            </w:r>
          </w:p>
        </w:tc>
      </w:tr>
      <w:tr>
        <w:tc>
          <w:tcPr>
            <w:tcW w:type="dxa" w:w="4986"/>
          </w:tcPr>
          <w:p>
            <w:r>
              <w:rPr>
                <w:sz w:val="16"/>
              </w:rPr>
              <w:t>IPPS</w:t>
            </w:r>
          </w:p>
        </w:tc>
        <w:tc>
          <w:tcPr>
            <w:tcW w:type="dxa" w:w="4986"/>
          </w:tcPr>
          <w:p>
            <w:r>
              <w:rPr>
                <w:sz w:val="16"/>
              </w:rPr>
              <w:t>Índice de persistência da pressão de saída.</w:t>
            </w:r>
          </w:p>
        </w:tc>
      </w:tr>
      <w:tr>
        <w:tc>
          <w:tcPr>
            <w:tcW w:type="dxa" w:w="4986"/>
          </w:tcPr>
          <w:p>
            <w:r>
              <w:rPr>
                <w:sz w:val="16"/>
              </w:rPr>
              <w:t>IPPE</w:t>
            </w:r>
          </w:p>
        </w:tc>
        <w:tc>
          <w:tcPr>
            <w:tcW w:type="dxa" w:w="4986"/>
          </w:tcPr>
          <w:p>
            <w:r>
              <w:rPr>
                <w:sz w:val="16"/>
              </w:rPr>
              <w:t>Índice de persistência da pressão de entrada.</w:t>
            </w:r>
          </w:p>
        </w:tc>
      </w:tr>
      <w:tr>
        <w:tc>
          <w:tcPr>
            <w:tcW w:type="dxa" w:w="4986"/>
          </w:tcPr>
          <w:p>
            <w:r>
              <w:rPr>
                <w:sz w:val="16"/>
              </w:rPr>
              <w:t>TPR</w:t>
            </w:r>
          </w:p>
        </w:tc>
        <w:tc>
          <w:tcPr>
            <w:tcW w:type="dxa" w:w="4986"/>
          </w:tcPr>
          <w:p>
            <w:r>
              <w:rPr>
                <w:sz w:val="16"/>
              </w:rPr>
              <w:t>Taxa de participação recorrente observada.</w:t>
            </w:r>
          </w:p>
        </w:tc>
      </w:tr>
      <w:tr>
        <w:tc>
          <w:tcPr>
            <w:tcW w:type="dxa" w:w="4986"/>
          </w:tcPr>
          <w:p>
            <w:r>
              <w:rPr>
                <w:sz w:val="16"/>
              </w:rPr>
              <w:t>TME</w:t>
            </w:r>
          </w:p>
        </w:tc>
        <w:tc>
          <w:tcPr>
            <w:tcW w:type="dxa" w:w="4986"/>
          </w:tcPr>
          <w:p>
            <w:r>
              <w:rPr>
                <w:sz w:val="16"/>
              </w:rPr>
              <w:t>Taxa de mudança efetiva.</w:t>
            </w:r>
          </w:p>
        </w:tc>
      </w:tr>
      <w:tr>
        <w:tc>
          <w:tcPr>
            <w:tcW w:type="dxa" w:w="4986"/>
          </w:tcPr>
          <w:p>
            <w:r>
              <w:rPr>
                <w:sz w:val="16"/>
              </w:rPr>
              <w:t>INCD</w:t>
            </w:r>
          </w:p>
        </w:tc>
        <w:tc>
          <w:tcPr>
            <w:tcW w:type="dxa" w:w="4986"/>
          </w:tcPr>
          <w:p>
            <w:r>
              <w:rPr>
                <w:sz w:val="16"/>
              </w:rPr>
              <w:t>Diferença de não colocação QA/QE−QZP.</w:t>
            </w:r>
          </w:p>
        </w:tc>
      </w:tr>
      <w:tr>
        <w:tc>
          <w:tcPr>
            <w:tcW w:type="dxa" w:w="4986"/>
          </w:tcPr>
          <w:p>
            <w:r>
              <w:rPr>
                <w:sz w:val="16"/>
              </w:rPr>
              <w:t>RR-NC</w:t>
            </w:r>
          </w:p>
        </w:tc>
        <w:tc>
          <w:tcPr>
            <w:tcW w:type="dxa" w:w="4986"/>
          </w:tcPr>
          <w:p>
            <w:r>
              <w:rPr>
                <w:sz w:val="16"/>
              </w:rPr>
              <w:t>Rácio das taxas de não colocação QA/QE/QZP.</w:t>
            </w:r>
          </w:p>
        </w:tc>
      </w:tr>
      <w:tr>
        <w:tc>
          <w:tcPr>
            <w:tcW w:type="dxa" w:w="4986"/>
          </w:tcPr>
          <w:p>
            <w:r>
              <w:rPr>
                <w:sz w:val="16"/>
              </w:rPr>
              <w:t>OR</w:t>
            </w:r>
          </w:p>
        </w:tc>
        <w:tc>
          <w:tcPr>
            <w:tcW w:type="dxa" w:w="4986"/>
          </w:tcPr>
          <w:p>
            <w:r>
              <w:rPr>
                <w:sz w:val="16"/>
              </w:rPr>
              <w:t>Odds ratio.</w:t>
            </w:r>
          </w:p>
        </w:tc>
      </w:tr>
      <w:tr>
        <w:tc>
          <w:tcPr>
            <w:tcW w:type="dxa" w:w="4986"/>
          </w:tcPr>
          <w:p>
            <w:r>
              <w:rPr>
                <w:sz w:val="16"/>
              </w:rPr>
              <w:t>IC95%</w:t>
            </w:r>
          </w:p>
        </w:tc>
        <w:tc>
          <w:tcPr>
            <w:tcW w:type="dxa" w:w="4986"/>
          </w:tcPr>
          <w:p>
            <w:r>
              <w:rPr>
                <w:sz w:val="16"/>
              </w:rPr>
              <w:t>Intervalo de confiança de 95%.</w:t>
            </w:r>
          </w:p>
        </w:tc>
      </w:tr>
    </w:tbl>
    <w:p>
      <w:pPr>
        <w:spacing w:after="20"/>
      </w:pPr>
    </w:p>
    <w:p>
      <w:pPr>
        <w:pStyle w:val="Heading1"/>
      </w:pPr>
      <w:r>
        <w:t>Apêndice A. Fórmulas de referência</w:t>
      </w:r>
    </w:p>
    <w:tbl>
      <w:tblPr>
        <w:tblStyle w:val="TableGrid"/>
        <w:tblW w:type="auto" w:w="0"/>
        <w:jc w:val="center"/>
        <w:tblLook w:firstColumn="1" w:firstRow="1" w:lastColumn="0" w:lastRow="0" w:noHBand="0" w:noVBand="1" w:val="04A0"/>
      </w:tblPr>
      <w:tblGrid>
        <w:gridCol w:w="4986"/>
        <w:gridCol w:w="4986"/>
      </w:tblGrid>
      <w:tr>
        <w:tc>
          <w:tcPr>
            <w:tcW w:type="dxa" w:w="4986"/>
            <w:shd w:fill="DCE6F1"/>
          </w:tcPr>
          <w:p>
            <w:r>
              <w:rPr>
                <w:b/>
                <w:sz w:val="17"/>
              </w:rPr>
              <w:t>Indicador</w:t>
            </w:r>
          </w:p>
        </w:tc>
        <w:tc>
          <w:tcPr>
            <w:tcW w:type="dxa" w:w="4986"/>
            <w:shd w:fill="DCE6F1"/>
          </w:tcPr>
          <w:p>
            <w:r>
              <w:rPr>
                <w:b/>
                <w:sz w:val="17"/>
              </w:rPr>
              <w:t>Fórmula / definição</w:t>
            </w:r>
          </w:p>
        </w:tc>
      </w:tr>
      <w:tr>
        <w:tc>
          <w:tcPr>
            <w:tcW w:type="dxa" w:w="4986"/>
          </w:tcPr>
          <w:p>
            <w:r>
              <w:rPr>
                <w:sz w:val="16"/>
              </w:rPr>
              <w:t>M</w:t>
            </w:r>
          </w:p>
        </w:tc>
        <w:tc>
          <w:tcPr>
            <w:tcW w:type="dxa" w:w="4986"/>
          </w:tcPr>
          <w:p>
            <w:r>
              <w:rPr>
                <w:sz w:val="16"/>
              </w:rPr>
              <w:t>E + S</w:t>
            </w:r>
          </w:p>
        </w:tc>
      </w:tr>
      <w:tr>
        <w:tc>
          <w:tcPr>
            <w:tcW w:type="dxa" w:w="4986"/>
          </w:tcPr>
          <w:p>
            <w:r>
              <w:rPr>
                <w:sz w:val="16"/>
              </w:rPr>
              <w:t>PS</w:t>
            </w:r>
          </w:p>
        </w:tc>
        <w:tc>
          <w:tcPr>
            <w:tcW w:type="dxa" w:w="4986"/>
          </w:tcPr>
          <w:p>
            <w:r>
              <w:rPr>
                <w:sz w:val="16"/>
              </w:rPr>
              <w:t>S/(E+S) × 100</w:t>
            </w:r>
          </w:p>
        </w:tc>
      </w:tr>
      <w:tr>
        <w:tc>
          <w:tcPr>
            <w:tcW w:type="dxa" w:w="4986"/>
          </w:tcPr>
          <w:p>
            <w:r>
              <w:rPr>
                <w:sz w:val="16"/>
              </w:rPr>
              <w:t>PE</w:t>
            </w:r>
          </w:p>
        </w:tc>
        <w:tc>
          <w:tcPr>
            <w:tcW w:type="dxa" w:w="4986"/>
          </w:tcPr>
          <w:p>
            <w:r>
              <w:rPr>
                <w:sz w:val="16"/>
              </w:rPr>
              <w:t>E/(E+S) × 100</w:t>
            </w:r>
          </w:p>
        </w:tc>
      </w:tr>
      <w:tr>
        <w:tc>
          <w:tcPr>
            <w:tcW w:type="dxa" w:w="4986"/>
          </w:tcPr>
          <w:p>
            <w:r>
              <w:rPr>
                <w:sz w:val="16"/>
              </w:rPr>
              <w:t>SM</w:t>
            </w:r>
          </w:p>
        </w:tc>
        <w:tc>
          <w:tcPr>
            <w:tcW w:type="dxa" w:w="4986"/>
          </w:tcPr>
          <w:p>
            <w:r>
              <w:rPr>
                <w:sz w:val="16"/>
              </w:rPr>
              <w:t>migrações recebidas − migrações originadas</w:t>
            </w:r>
          </w:p>
        </w:tc>
      </w:tr>
      <w:tr>
        <w:tc>
          <w:tcPr>
            <w:tcW w:type="dxa" w:w="4986"/>
          </w:tcPr>
          <w:p>
            <w:r>
              <w:rPr>
                <w:sz w:val="16"/>
              </w:rPr>
              <w:t>TNC</w:t>
            </w:r>
          </w:p>
        </w:tc>
        <w:tc>
          <w:tcPr>
            <w:tcW w:type="dxa" w:w="4986"/>
          </w:tcPr>
          <w:p>
            <w:r>
              <w:rPr>
                <w:sz w:val="16"/>
              </w:rPr>
              <w:t>NC/S × 100</w:t>
            </w:r>
          </w:p>
        </w:tc>
      </w:tr>
      <w:tr>
        <w:tc>
          <w:tcPr>
            <w:tcW w:type="dxa" w:w="4986"/>
          </w:tcPr>
          <w:p>
            <w:r>
              <w:rPr>
                <w:sz w:val="16"/>
              </w:rPr>
              <w:t>PQA</w:t>
            </w:r>
          </w:p>
        </w:tc>
        <w:tc>
          <w:tcPr>
            <w:tcW w:type="dxa" w:w="4986"/>
          </w:tcPr>
          <w:p>
            <w:r>
              <w:rPr>
                <w:sz w:val="16"/>
              </w:rPr>
              <w:t>QA/QE em MI / total MI × 100</w:t>
            </w:r>
          </w:p>
        </w:tc>
      </w:tr>
      <w:tr>
        <w:tc>
          <w:tcPr>
            <w:tcW w:type="dxa" w:w="4986"/>
          </w:tcPr>
          <w:p>
            <w:r>
              <w:rPr>
                <w:sz w:val="16"/>
              </w:rPr>
              <w:t>PQZP</w:t>
            </w:r>
          </w:p>
        </w:tc>
        <w:tc>
          <w:tcPr>
            <w:tcW w:type="dxa" w:w="4986"/>
          </w:tcPr>
          <w:p>
            <w:r>
              <w:rPr>
                <w:sz w:val="16"/>
              </w:rPr>
              <w:t>QZP em MI / total MI × 100</w:t>
            </w:r>
          </w:p>
        </w:tc>
      </w:tr>
      <w:tr>
        <w:tc>
          <w:tcPr>
            <w:tcW w:type="dxa" w:w="4986"/>
          </w:tcPr>
          <w:p>
            <w:r>
              <w:rPr>
                <w:sz w:val="16"/>
              </w:rPr>
              <w:t>IMV-QA</w:t>
            </w:r>
          </w:p>
        </w:tc>
        <w:tc>
          <w:tcPr>
            <w:tcW w:type="dxa" w:w="4986"/>
          </w:tcPr>
          <w:p>
            <w:r>
              <w:rPr>
                <w:sz w:val="16"/>
              </w:rPr>
              <w:t>QA/QE na prioridade equivalente / total QA/QE em MI × 100</w:t>
            </w:r>
          </w:p>
        </w:tc>
      </w:tr>
      <w:tr>
        <w:tc>
          <w:tcPr>
            <w:tcW w:type="dxa" w:w="4986"/>
          </w:tcPr>
          <w:p>
            <w:r>
              <w:rPr>
                <w:sz w:val="16"/>
              </w:rPr>
              <w:t>IP-QZP colocados</w:t>
            </w:r>
          </w:p>
        </w:tc>
        <w:tc>
          <w:tcPr>
            <w:tcW w:type="dxa" w:w="4986"/>
          </w:tcPr>
          <w:p>
            <w:r>
              <w:rPr>
                <w:sz w:val="16"/>
              </w:rPr>
              <w:t>QZP colocados na mesma escola / QZP colocados × 100</w:t>
            </w:r>
          </w:p>
        </w:tc>
      </w:tr>
      <w:tr>
        <w:tc>
          <w:tcPr>
            <w:tcW w:type="dxa" w:w="4986"/>
          </w:tcPr>
          <w:p>
            <w:r>
              <w:rPr>
                <w:sz w:val="16"/>
              </w:rPr>
              <w:t>IP-QZP total</w:t>
            </w:r>
          </w:p>
        </w:tc>
        <w:tc>
          <w:tcPr>
            <w:tcW w:type="dxa" w:w="4986"/>
          </w:tcPr>
          <w:p>
            <w:r>
              <w:rPr>
                <w:sz w:val="16"/>
              </w:rPr>
              <w:t>QZP na mesma escola / total QZP em MI × 100</w:t>
            </w:r>
          </w:p>
        </w:tc>
      </w:tr>
      <w:tr>
        <w:tc>
          <w:tcPr>
            <w:tcW w:type="dxa" w:w="4986"/>
          </w:tcPr>
          <w:p>
            <w:r>
              <w:rPr>
                <w:sz w:val="16"/>
              </w:rPr>
              <w:t>INCD</w:t>
            </w:r>
          </w:p>
        </w:tc>
        <w:tc>
          <w:tcPr>
            <w:tcW w:type="dxa" w:w="4986"/>
          </w:tcPr>
          <w:p>
            <w:r>
              <w:rPr>
                <w:sz w:val="16"/>
              </w:rPr>
              <w:t>NC% QA/QE − NC% QZP</w:t>
            </w:r>
          </w:p>
        </w:tc>
      </w:tr>
      <w:tr>
        <w:tc>
          <w:tcPr>
            <w:tcW w:type="dxa" w:w="4986"/>
          </w:tcPr>
          <w:p>
            <w:r>
              <w:rPr>
                <w:sz w:val="16"/>
              </w:rPr>
              <w:t>RR-NC</w:t>
            </w:r>
          </w:p>
        </w:tc>
        <w:tc>
          <w:tcPr>
            <w:tcW w:type="dxa" w:w="4986"/>
          </w:tcPr>
          <w:p>
            <w:r>
              <w:rPr>
                <w:sz w:val="16"/>
              </w:rPr>
              <w:t>NC% QA/QE / NC% QZP</w:t>
            </w:r>
          </w:p>
        </w:tc>
      </w:tr>
      <w:tr>
        <w:tc>
          <w:tcPr>
            <w:tcW w:type="dxa" w:w="4986"/>
          </w:tcPr>
          <w:p>
            <w:r>
              <w:rPr>
                <w:sz w:val="16"/>
              </w:rPr>
              <w:t>IPPS</w:t>
            </w:r>
          </w:p>
        </w:tc>
        <w:tc>
          <w:tcPr>
            <w:tcW w:type="dxa" w:w="4986"/>
          </w:tcPr>
          <w:p>
            <w:r>
              <w:rPr>
                <w:sz w:val="16"/>
              </w:rPr>
              <w:t>anos ativos com PS&gt;60% / anos ativos</w:t>
            </w:r>
          </w:p>
        </w:tc>
      </w:tr>
      <w:tr>
        <w:tc>
          <w:tcPr>
            <w:tcW w:type="dxa" w:w="4986"/>
          </w:tcPr>
          <w:p>
            <w:r>
              <w:rPr>
                <w:sz w:val="16"/>
              </w:rPr>
              <w:t>IPPE</w:t>
            </w:r>
          </w:p>
        </w:tc>
        <w:tc>
          <w:tcPr>
            <w:tcW w:type="dxa" w:w="4986"/>
          </w:tcPr>
          <w:p>
            <w:r>
              <w:rPr>
                <w:sz w:val="16"/>
              </w:rPr>
              <w:t>anos ativos com PE&gt;60% / anos ativos</w:t>
            </w:r>
          </w:p>
        </w:tc>
      </w:tr>
      <w:tr>
        <w:tc>
          <w:tcPr>
            <w:tcW w:type="dxa" w:w="4986"/>
          </w:tcPr>
          <w:p>
            <w:r>
              <w:rPr>
                <w:sz w:val="16"/>
              </w:rPr>
              <w:t>TPR</w:t>
            </w:r>
          </w:p>
        </w:tc>
        <w:tc>
          <w:tcPr>
            <w:tcW w:type="dxa" w:w="4986"/>
          </w:tcPr>
          <w:p>
            <w:r>
              <w:rPr>
                <w:sz w:val="16"/>
              </w:rPr>
              <w:t>anos de participação / anos do período</w:t>
            </w:r>
          </w:p>
        </w:tc>
      </w:tr>
      <w:tr>
        <w:tc>
          <w:tcPr>
            <w:tcW w:type="dxa" w:w="4986"/>
          </w:tcPr>
          <w:p>
            <w:r>
              <w:rPr>
                <w:sz w:val="16"/>
              </w:rPr>
              <w:t>TME</w:t>
            </w:r>
          </w:p>
        </w:tc>
        <w:tc>
          <w:tcPr>
            <w:tcW w:type="dxa" w:w="4986"/>
          </w:tcPr>
          <w:p>
            <w:r>
              <w:rPr>
                <w:sz w:val="16"/>
              </w:rPr>
              <w:t>anos M / anos de participação</w:t>
            </w:r>
          </w:p>
        </w:tc>
      </w:tr>
      <w:tr>
        <w:tc>
          <w:tcPr>
            <w:tcW w:type="dxa" w:w="4986"/>
          </w:tcPr>
          <w:p>
            <w:r>
              <w:rPr>
                <w:sz w:val="16"/>
              </w:rPr>
              <w:t>Persistência corredor</w:t>
            </w:r>
          </w:p>
        </w:tc>
        <w:tc>
          <w:tcPr>
            <w:tcW w:type="dxa" w:w="4986"/>
          </w:tcPr>
          <w:p>
            <w:r>
              <w:rPr>
                <w:sz w:val="16"/>
              </w:rPr>
              <w:t>anos com fluxo A→B / anos do período</w:t>
            </w:r>
          </w:p>
        </w:tc>
      </w:tr>
      <w:tr>
        <w:tc>
          <w:tcPr>
            <w:tcW w:type="dxa" w:w="4986"/>
          </w:tcPr>
          <w:p>
            <w:r>
              <w:rPr>
                <w:sz w:val="16"/>
              </w:rPr>
              <w:t>OR</w:t>
            </w:r>
          </w:p>
        </w:tc>
        <w:tc>
          <w:tcPr>
            <w:tcW w:type="dxa" w:w="4986"/>
          </w:tcPr>
          <w:p>
            <w:r>
              <w:rPr>
                <w:sz w:val="16"/>
              </w:rPr>
              <w:t>(QZP colocados/QZP NC)/(QA colocados/QA NC)</w:t>
            </w:r>
          </w:p>
        </w:tc>
      </w:tr>
    </w:tbl>
    <w:p>
      <w:pPr>
        <w:spacing w:after="20"/>
      </w:pPr>
    </w:p>
    <w:p>
      <w:pPr>
        <w:pStyle w:val="Heading1"/>
      </w:pPr>
      <w:r>
        <w:t>Apêndice B. Ficha técnica</w:t>
      </w:r>
    </w:p>
    <w:p>
      <w:pPr>
        <w:spacing w:after="120" w:line="259" w:lineRule="auto"/>
      </w:pPr>
      <w:r>
        <w:t>Aplicação documentada: Observatório Estatístico e Longitudinal da Mobilidade Docente, versão v6 — Consulta Descritiva, incorporando as correções de pesquisa da rede, revisão de códigos escolares, exportações integrais e correção da série longitudinal individual.</w:t>
      </w:r>
    </w:p>
    <w:tbl>
      <w:tblPr>
        <w:tblStyle w:val="TableGrid"/>
        <w:tblW w:type="auto" w:w="0"/>
        <w:jc w:val="center"/>
        <w:tblLook w:firstColumn="1" w:firstRow="1" w:lastColumn="0" w:lastRow="0" w:noHBand="0" w:noVBand="1" w:val="04A0"/>
      </w:tblPr>
      <w:tblGrid>
        <w:gridCol w:w="4986"/>
        <w:gridCol w:w="4986"/>
      </w:tblGrid>
      <w:tr>
        <w:tc>
          <w:tcPr>
            <w:tcW w:type="dxa" w:w="4986"/>
            <w:shd w:fill="DCE6F1"/>
          </w:tcPr>
          <w:p>
            <w:r>
              <w:rPr>
                <w:b/>
                <w:sz w:val="17"/>
              </w:rPr>
              <w:t>Elemento</w:t>
            </w:r>
          </w:p>
        </w:tc>
        <w:tc>
          <w:tcPr>
            <w:tcW w:type="dxa" w:w="4986"/>
            <w:shd w:fill="DCE6F1"/>
          </w:tcPr>
          <w:p>
            <w:r>
              <w:rPr>
                <w:b/>
                <w:sz w:val="17"/>
              </w:rPr>
              <w:t>Descrição</w:t>
            </w:r>
          </w:p>
        </w:tc>
      </w:tr>
      <w:tr>
        <w:tc>
          <w:tcPr>
            <w:tcW w:type="dxa" w:w="4986"/>
          </w:tcPr>
          <w:p>
            <w:r>
              <w:rPr>
                <w:sz w:val="16"/>
              </w:rPr>
              <w:t>Autores</w:t>
            </w:r>
          </w:p>
        </w:tc>
        <w:tc>
          <w:tcPr>
            <w:tcW w:type="dxa" w:w="4986"/>
          </w:tcPr>
          <w:p>
            <w:r>
              <w:rPr>
                <w:sz w:val="16"/>
              </w:rPr>
              <w:t>Prof. Manuel P. Fernandes; Prof. Pedro Serra</w:t>
            </w:r>
          </w:p>
        </w:tc>
      </w:tr>
      <w:tr>
        <w:tc>
          <w:tcPr>
            <w:tcW w:type="dxa" w:w="4986"/>
          </w:tcPr>
          <w:p>
            <w:r>
              <w:rPr>
                <w:sz w:val="16"/>
              </w:rPr>
              <w:t>Período</w:t>
            </w:r>
          </w:p>
        </w:tc>
        <w:tc>
          <w:tcPr>
            <w:tcW w:type="dxa" w:w="4986"/>
          </w:tcPr>
          <w:p>
            <w:r>
              <w:rPr>
                <w:sz w:val="16"/>
              </w:rPr>
              <w:t>2016/2017–2026/2027</w:t>
            </w:r>
          </w:p>
        </w:tc>
      </w:tr>
      <w:tr>
        <w:tc>
          <w:tcPr>
            <w:tcW w:type="dxa" w:w="4986"/>
          </w:tcPr>
          <w:p>
            <w:r>
              <w:rPr>
                <w:sz w:val="16"/>
              </w:rPr>
              <w:t>Unidade anual individual</w:t>
            </w:r>
          </w:p>
        </w:tc>
        <w:tc>
          <w:tcPr>
            <w:tcW w:type="dxa" w:w="4986"/>
          </w:tcPr>
          <w:p>
            <w:r>
              <w:rPr>
                <w:sz w:val="16"/>
              </w:rPr>
              <w:t>Participação docente × grupo × ano</w:t>
            </w:r>
          </w:p>
        </w:tc>
      </w:tr>
      <w:tr>
        <w:tc>
          <w:tcPr>
            <w:tcW w:type="dxa" w:w="4986"/>
          </w:tcPr>
          <w:p>
            <w:r>
              <w:rPr>
                <w:sz w:val="16"/>
              </w:rPr>
              <w:t>Unidade longitudinal individual</w:t>
            </w:r>
          </w:p>
        </w:tc>
        <w:tc>
          <w:tcPr>
            <w:tcW w:type="dxa" w:w="4986"/>
          </w:tcPr>
          <w:p>
            <w:r>
              <w:rPr>
                <w:sz w:val="16"/>
              </w:rPr>
              <w:t>Docente anonimizado × grupo</w:t>
            </w:r>
          </w:p>
        </w:tc>
      </w:tr>
      <w:tr>
        <w:tc>
          <w:tcPr>
            <w:tcW w:type="dxa" w:w="4986"/>
          </w:tcPr>
          <w:p>
            <w:r>
              <w:rPr>
                <w:sz w:val="16"/>
              </w:rPr>
              <w:t>Unidade organizacional</w:t>
            </w:r>
          </w:p>
        </w:tc>
        <w:tc>
          <w:tcPr>
            <w:tcW w:type="dxa" w:w="4986"/>
          </w:tcPr>
          <w:p>
            <w:r>
              <w:rPr>
                <w:sz w:val="16"/>
              </w:rPr>
              <w:t>Código de escola/agrupamento × ano</w:t>
            </w:r>
          </w:p>
        </w:tc>
      </w:tr>
      <w:tr>
        <w:tc>
          <w:tcPr>
            <w:tcW w:type="dxa" w:w="4986"/>
          </w:tcPr>
          <w:p>
            <w:r>
              <w:rPr>
                <w:sz w:val="16"/>
              </w:rPr>
              <w:t>Rede</w:t>
            </w:r>
          </w:p>
        </w:tc>
        <w:tc>
          <w:tcPr>
            <w:tcW w:type="dxa" w:w="4986"/>
          </w:tcPr>
          <w:p>
            <w:r>
              <w:rPr>
                <w:sz w:val="16"/>
              </w:rPr>
              <w:t>Grafo dirigido de migrações efetivas escola→escola</w:t>
            </w:r>
          </w:p>
        </w:tc>
      </w:tr>
      <w:tr>
        <w:tc>
          <w:tcPr>
            <w:tcW w:type="dxa" w:w="4986"/>
          </w:tcPr>
          <w:p>
            <w:r>
              <w:rPr>
                <w:sz w:val="16"/>
              </w:rPr>
              <w:t>Privacidade</w:t>
            </w:r>
          </w:p>
        </w:tc>
        <w:tc>
          <w:tcPr>
            <w:tcW w:type="dxa" w:w="4986"/>
          </w:tcPr>
          <w:p>
            <w:r>
              <w:rPr>
                <w:sz w:val="16"/>
              </w:rPr>
              <w:t>Identificadores individuais anonimizados na versão pública</w:t>
            </w:r>
          </w:p>
        </w:tc>
      </w:tr>
      <w:tr>
        <w:tc>
          <w:tcPr>
            <w:tcW w:type="dxa" w:w="4986"/>
          </w:tcPr>
          <w:p>
            <w:r>
              <w:rPr>
                <w:sz w:val="16"/>
              </w:rPr>
              <w:t>Versão do manual</w:t>
            </w:r>
          </w:p>
        </w:tc>
        <w:tc>
          <w:tcPr>
            <w:tcW w:type="dxa" w:w="4986"/>
          </w:tcPr>
          <w:p>
            <w:r>
              <w:rPr>
                <w:sz w:val="16"/>
              </w:rPr>
              <w:t>1.0 — agosto de 2026</w:t>
            </w:r>
          </w:p>
        </w:tc>
      </w:tr>
    </w:tbl>
    <w:p>
      <w:pPr>
        <w:spacing w:after="20"/>
      </w:pP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7085"/>
        <w:sz w:val="16"/>
      </w:rPr>
      <w:t>Manual do Observatório Estatístico e Longitudinal da Mobilidade Docente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rlito" w:hAnsi="Carli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rlito" w:hAnsi="Carlito"/>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rlito" w:hAnsi="Carlito"/>
      <w:b/>
      <w:bCs/>
      <w:color w:val="2255A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rlito" w:hAnsi="Carli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rlito" w:hAnsi="Carlito"/>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rlito" w:hAnsi="Carlito"/>
      <w:i/>
      <w:iCs/>
      <w:color w:val="475467"/>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80"/>
    </w:pPr>
    <w:rPr>
      <w:rFonts w:ascii="Cambria Math" w:hAnsi="Cambria Math"/>
      <w:sz w:val="22"/>
    </w:rPr>
  </w:style>
  <w:style w:type="paragraph" w:customStyle="1" w:styleId="Caption2">
    <w:name w:val="Caption2"/>
    <w:rPr>
      <w:rFonts w:ascii="Carlito" w:hAnsi="Carlito"/>
      <w:i/>
      <w:color w:val="47546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do Observatório Estatístico e Longitudinal da Mobilidade Docente</dc:title>
  <dc:subject>Metodologia, utilização, interpretação e reprodutibilidade</dc:subject>
  <dc:creator>Manuel P. Fernandes; Pedro Serra</dc:creator>
  <cp:keywords>mobilidade interna, docentes, observatório, longitudinal, redes, estatística</cp:keywords>
  <dc:description>generated by python-docx</dc:description>
  <cp:lastModifiedBy/>
  <cp:revision>1</cp:revision>
  <dcterms:created xsi:type="dcterms:W3CDTF">2013-12-23T23:15:00Z</dcterms:created>
  <dcterms:modified xsi:type="dcterms:W3CDTF">2013-12-23T23:15:00Z</dcterms:modified>
  <cp:category/>
</cp:coreProperties>
</file>