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Arial" w:hAnsi="Arial"/>
          <w:b/>
          <w:color w:val="17365D"/>
          <w:sz w:val="58"/>
        </w:rPr>
        <w:t>PLATAFORMA DE</w:t>
        <w:br/>
        <w:t>GOVERNANÇA EDUCACIONAL</w:t>
        <w:br/>
        <w:t>MUNICIPAL</w:t>
      </w:r>
    </w:p>
    <w:p>
      <w:pPr>
        <w:jc w:val="center"/>
      </w:pPr>
      <w:r>
        <w:rPr>
          <w:b/>
          <w:color w:val="0F6B6D"/>
          <w:sz w:val="32"/>
        </w:rPr>
        <w:t>Documento-Mãe — Volume 1</w:t>
      </w:r>
    </w:p>
    <w:p>
      <w:pPr>
        <w:jc w:val="center"/>
      </w:pPr>
      <w:r>
        <w:rPr>
          <w:color w:val="4B5563"/>
          <w:sz w:val="26"/>
        </w:rPr>
        <w:t>Estratégia, metodologia, arquitetura e modelo de implantação</w:t>
      </w:r>
    </w:p>
    <w:p/>
    <w:tbl>
      <w:tblPr>
        <w:tblW w:type="auto" w:w="0"/>
        <w:jc w:val="center"/>
        <w:tblLayout w:type="fixed"/>
        <w:tblLook w:firstColumn="1" w:firstRow="1" w:lastColumn="0" w:lastRow="0" w:noHBand="0" w:noVBand="1" w:val="04A0"/>
      </w:tblPr>
      <w:tblGrid>
        <w:gridCol w:w="8220"/>
      </w:tblGrid>
      <w:tr>
        <w:trPr>
          <w:cantSplit/>
        </w:trPr>
        <w:tc>
          <w:tcPr>
            <w:tcW w:type="dxa" w:w="9859"/>
            <w:shd w:fill="EEF4FA"/>
            <w:tcMar>
              <w:top w:w="250" w:type="dxa"/>
              <w:start w:w="300" w:type="dxa"/>
              <w:bottom w:w="250" w:type="dxa"/>
              <w:end w:w="300" w:type="dxa"/>
            </w:tcMar>
          </w:tcPr>
          <w:p>
            <w:pPr>
              <w:keepNext/>
              <w:jc w:val="center"/>
            </w:pPr>
            <w:r>
              <w:rPr>
                <w:rFonts w:ascii="Arial" w:hAnsi="Arial"/>
                <w:b/>
                <w:color w:val="17365D"/>
                <w:sz w:val="22"/>
              </w:rPr>
              <w:t>Propósito do documento</w:t>
            </w:r>
          </w:p>
          <w:p>
            <w:pPr>
              <w:keepNext/>
              <w:jc w:val="center"/>
            </w:pPr>
            <w:r>
              <w:rPr>
                <w:rFonts w:ascii="Arial" w:hAnsi="Arial"/>
                <w:sz w:val="18"/>
              </w:rPr>
              <w:t>Estabelecer a base conceitual de uma solução modular de governança educacional para municípios, capaz de transformar normas, programas e prioridades públicas em diagnóstico, planejamento, formação, implementação, evidências, indicadores e decisões de gestão.</w:t>
            </w:r>
          </w:p>
          <w:p>
            <w:pPr>
              <w:keepNext/>
              <w:jc w:val="center"/>
            </w:pPr>
            <w:r>
              <w:rPr>
                <w:rFonts w:ascii="Arial" w:hAnsi="Arial"/>
                <w:sz w:val="18"/>
              </w:rPr>
              <w:t>A BNCC Computação é tratada como módulo prioritário de entrada e será detalhada em volume específico.</w:t>
            </w:r>
          </w:p>
        </w:tc>
      </w:tr>
    </w:tbl>
    <w:p>
      <w:pPr>
        <w:spacing w:before="1600"/>
        <w:jc w:val="center"/>
      </w:pPr>
      <w:r>
        <w:rPr>
          <w:color w:val="6B7280"/>
          <w:sz w:val="20"/>
        </w:rPr>
        <w:t>Versão 1.0  •  Setembro de 2026</w:t>
      </w:r>
    </w:p>
    <w:p>
      <w:r>
        <w:br w:type="page"/>
      </w:r>
    </w:p>
    <w:p>
      <w:pPr>
        <w:pStyle w:val="Heading1"/>
      </w:pPr>
      <w:r>
        <w:t>Ficha do documento</w:t>
      </w:r>
    </w:p>
    <w:tbl>
      <w:tblPr>
        <w:tblStyle w:val="TableGrid"/>
        <w:tblW w:type="auto" w:w="0"/>
        <w:jc w:val="center"/>
        <w:tblLook w:firstColumn="1" w:firstRow="1" w:lastColumn="0" w:lastRow="0" w:noHBand="0" w:noVBand="1" w:val="04A0"/>
      </w:tblPr>
      <w:tblGrid>
        <w:gridCol w:w="4929"/>
        <w:gridCol w:w="4929"/>
      </w:tblGrid>
      <w:tr>
        <w:trPr>
          <w:cantSplit/>
        </w:trPr>
        <w:tc>
          <w:tcPr>
            <w:tcW w:type="dxa" w:w="2551"/>
            <w:shd w:fill="EEF4FA"/>
            <w:tcMar>
              <w:top w:w="100" w:type="dxa"/>
              <w:start w:w="120" w:type="dxa"/>
              <w:bottom w:w="100" w:type="dxa"/>
              <w:end w:w="120" w:type="dxa"/>
            </w:tcMar>
            <w:vAlign w:val="center"/>
          </w:tcPr>
          <w:p>
            <w:pPr>
              <w:keepNext/>
            </w:pPr>
            <w:r>
              <w:rPr>
                <w:rFonts w:ascii="Arial" w:hAnsi="Arial"/>
                <w:b/>
                <w:sz w:val="18"/>
              </w:rPr>
              <w:t>Natureza</w:t>
            </w:r>
          </w:p>
        </w:tc>
        <w:tc>
          <w:tcPr>
            <w:tcW w:type="dxa" w:w="6520"/>
            <w:tcMar>
              <w:top w:w="100" w:type="dxa"/>
              <w:start w:w="120" w:type="dxa"/>
              <w:bottom w:w="100" w:type="dxa"/>
              <w:end w:w="120" w:type="dxa"/>
            </w:tcMar>
            <w:vAlign w:val="center"/>
          </w:tcPr>
          <w:p>
            <w:pPr>
              <w:keepNext/>
            </w:pPr>
            <w:r>
              <w:rPr>
                <w:rFonts w:ascii="Arial" w:hAnsi="Arial"/>
                <w:sz w:val="18"/>
              </w:rPr>
              <w:t>Documento estratégico, metodológico e de arquitetura de produto.</w:t>
            </w:r>
          </w:p>
        </w:tc>
      </w:tr>
      <w:tr>
        <w:trPr>
          <w:cantSplit/>
        </w:trPr>
        <w:tc>
          <w:tcPr>
            <w:tcW w:type="dxa" w:w="2551"/>
            <w:shd w:fill="EEF4FA"/>
            <w:tcMar>
              <w:top w:w="100" w:type="dxa"/>
              <w:start w:w="120" w:type="dxa"/>
              <w:bottom w:w="100" w:type="dxa"/>
              <w:end w:w="120" w:type="dxa"/>
            </w:tcMar>
            <w:vAlign w:val="center"/>
          </w:tcPr>
          <w:p>
            <w:r>
              <w:rPr>
                <w:rFonts w:ascii="Arial" w:hAnsi="Arial"/>
                <w:b/>
                <w:sz w:val="18"/>
              </w:rPr>
              <w:t>Abrangência</w:t>
            </w:r>
          </w:p>
        </w:tc>
        <w:tc>
          <w:tcPr>
            <w:tcW w:type="dxa" w:w="6520"/>
            <w:tcMar>
              <w:top w:w="100" w:type="dxa"/>
              <w:start w:w="120" w:type="dxa"/>
              <w:bottom w:w="100" w:type="dxa"/>
              <w:end w:w="120" w:type="dxa"/>
            </w:tcMar>
            <w:vAlign w:val="center"/>
          </w:tcPr>
          <w:p>
            <w:r>
              <w:rPr>
                <w:rFonts w:ascii="Arial" w:hAnsi="Arial"/>
                <w:sz w:val="18"/>
              </w:rPr>
              <w:t>Aplicável a redes municipais de educação, com parametrização conforme porte, estrutura, maturidade e prioridades locais.</w:t>
            </w:r>
          </w:p>
        </w:tc>
      </w:tr>
      <w:tr>
        <w:trPr>
          <w:cantSplit/>
        </w:trPr>
        <w:tc>
          <w:tcPr>
            <w:tcW w:type="dxa" w:w="2551"/>
            <w:shd w:fill="EEF4FA"/>
            <w:tcMar>
              <w:top w:w="100" w:type="dxa"/>
              <w:start w:w="120" w:type="dxa"/>
              <w:bottom w:w="100" w:type="dxa"/>
              <w:end w:w="120" w:type="dxa"/>
            </w:tcMar>
            <w:vAlign w:val="center"/>
          </w:tcPr>
          <w:p>
            <w:r>
              <w:rPr>
                <w:rFonts w:ascii="Arial" w:hAnsi="Arial"/>
                <w:b/>
                <w:sz w:val="18"/>
              </w:rPr>
              <w:t>Situação</w:t>
            </w:r>
          </w:p>
        </w:tc>
        <w:tc>
          <w:tcPr>
            <w:tcW w:type="dxa" w:w="6520"/>
            <w:tcMar>
              <w:top w:w="100" w:type="dxa"/>
              <w:start w:w="120" w:type="dxa"/>
              <w:bottom w:w="100" w:type="dxa"/>
              <w:end w:w="120" w:type="dxa"/>
            </w:tcMar>
            <w:vAlign w:val="center"/>
          </w:tcPr>
          <w:p>
            <w:r>
              <w:rPr>
                <w:rFonts w:ascii="Arial" w:hAnsi="Arial"/>
                <w:sz w:val="18"/>
              </w:rPr>
              <w:t>Documento-mãe em desenvolvimento. Serve como referência para os volumes temáticos e para propostas municipais customizadas.</w:t>
            </w:r>
          </w:p>
        </w:tc>
      </w:tr>
      <w:tr>
        <w:trPr>
          <w:cantSplit/>
        </w:trPr>
        <w:tc>
          <w:tcPr>
            <w:tcW w:type="dxa" w:w="2551"/>
            <w:shd w:fill="EEF4FA"/>
            <w:tcMar>
              <w:top w:w="100" w:type="dxa"/>
              <w:start w:w="120" w:type="dxa"/>
              <w:bottom w:w="100" w:type="dxa"/>
              <w:end w:w="120" w:type="dxa"/>
            </w:tcMar>
            <w:vAlign w:val="center"/>
          </w:tcPr>
          <w:p>
            <w:r>
              <w:rPr>
                <w:rFonts w:ascii="Arial" w:hAnsi="Arial"/>
                <w:b/>
                <w:sz w:val="18"/>
              </w:rPr>
              <w:t>Módulo prioritário</w:t>
            </w:r>
          </w:p>
        </w:tc>
        <w:tc>
          <w:tcPr>
            <w:tcW w:type="dxa" w:w="6520"/>
            <w:tcMar>
              <w:top w:w="100" w:type="dxa"/>
              <w:start w:w="120" w:type="dxa"/>
              <w:bottom w:w="100" w:type="dxa"/>
              <w:end w:w="120" w:type="dxa"/>
            </w:tcMar>
            <w:vAlign w:val="center"/>
          </w:tcPr>
          <w:p>
            <w:r>
              <w:rPr>
                <w:rFonts w:ascii="Arial" w:hAnsi="Arial"/>
                <w:sz w:val="18"/>
              </w:rPr>
              <w:t>BNCC Computação — implementação curricular, formação, evidências, monitoramento e governança.</w:t>
            </w:r>
          </w:p>
        </w:tc>
      </w:tr>
      <w:tr>
        <w:trPr>
          <w:cantSplit/>
        </w:trPr>
        <w:tc>
          <w:tcPr>
            <w:tcW w:type="dxa" w:w="2551"/>
            <w:shd w:fill="EEF4FA"/>
            <w:tcMar>
              <w:top w:w="100" w:type="dxa"/>
              <w:start w:w="120" w:type="dxa"/>
              <w:bottom w:w="100" w:type="dxa"/>
              <w:end w:w="120" w:type="dxa"/>
            </w:tcMar>
            <w:vAlign w:val="center"/>
          </w:tcPr>
          <w:p>
            <w:r>
              <w:rPr>
                <w:rFonts w:ascii="Arial" w:hAnsi="Arial"/>
                <w:b/>
                <w:sz w:val="18"/>
              </w:rPr>
              <w:t>Uso esperado</w:t>
            </w:r>
          </w:p>
        </w:tc>
        <w:tc>
          <w:tcPr>
            <w:tcW w:type="dxa" w:w="6520"/>
            <w:tcMar>
              <w:top w:w="100" w:type="dxa"/>
              <w:start w:w="120" w:type="dxa"/>
              <w:bottom w:w="100" w:type="dxa"/>
              <w:end w:w="120" w:type="dxa"/>
            </w:tcMar>
            <w:vAlign w:val="center"/>
          </w:tcPr>
          <w:p>
            <w:r>
              <w:rPr>
                <w:rFonts w:ascii="Arial" w:hAnsi="Arial"/>
                <w:sz w:val="18"/>
              </w:rPr>
              <w:t>Planejamento de produto, apresentação institucional, desenho de propostas, escopo de implantação, referência para desenvolvimento tecnológico e alinhamento com parceiros.</w:t>
            </w:r>
          </w:p>
        </w:tc>
      </w:tr>
      <w:tr>
        <w:trPr>
          <w:cantSplit/>
        </w:trPr>
        <w:tc>
          <w:tcPr>
            <w:tcW w:type="dxa" w:w="2551"/>
            <w:shd w:fill="EEF4FA"/>
            <w:tcMar>
              <w:top w:w="100" w:type="dxa"/>
              <w:start w:w="120" w:type="dxa"/>
              <w:bottom w:w="100" w:type="dxa"/>
              <w:end w:w="120" w:type="dxa"/>
            </w:tcMar>
            <w:vAlign w:val="center"/>
          </w:tcPr>
          <w:p>
            <w:r>
              <w:rPr>
                <w:rFonts w:ascii="Arial" w:hAnsi="Arial"/>
                <w:b/>
                <w:sz w:val="18"/>
              </w:rPr>
              <w:t>Limites</w:t>
            </w:r>
          </w:p>
        </w:tc>
        <w:tc>
          <w:tcPr>
            <w:tcW w:type="dxa" w:w="6520"/>
            <w:tcMar>
              <w:top w:w="100" w:type="dxa"/>
              <w:start w:w="120" w:type="dxa"/>
              <w:bottom w:w="100" w:type="dxa"/>
              <w:end w:w="120" w:type="dxa"/>
            </w:tcMar>
            <w:vAlign w:val="center"/>
          </w:tcPr>
          <w:p>
            <w:r>
              <w:rPr>
                <w:rFonts w:ascii="Arial" w:hAnsi="Arial"/>
                <w:sz w:val="18"/>
              </w:rPr>
              <w:t>Não substitui parecer jurídico, normativo, contábil, pedagógico ou de contratação pública. Regras federais e estaduais devem ser confirmadas no ciclo vigente de cada política.</w:t>
            </w:r>
          </w:p>
        </w:tc>
      </w:tr>
    </w:tbl>
    <w:p>
      <w:pPr>
        <w:pStyle w:val="Heading2"/>
      </w:pPr>
      <w:r>
        <w:t>Como este documento se conecta aos próximos volumes</w:t>
      </w:r>
    </w:p>
    <w:p>
      <w:pPr>
        <w:pStyle w:val="ListBullet"/>
      </w:pPr>
      <w:r>
        <w:t>Volume 1 — Estratégia, metodologia e arquitetura da plataforma (este documento).</w:t>
      </w:r>
    </w:p>
    <w:p>
      <w:pPr>
        <w:pStyle w:val="ListBullet"/>
      </w:pPr>
      <w:r>
        <w:t>Volume 2 — Catálogo de soluções: fichas completas dos módulos, entregáveis, indicadores e combinações possíveis.</w:t>
      </w:r>
    </w:p>
    <w:p>
      <w:pPr>
        <w:pStyle w:val="ListBullet"/>
      </w:pPr>
      <w:r>
        <w:t>Volume 3 — BNCC Computação: projeto completo do módulo prioritário, da adequação curricular à implementação nas escolas.</w:t>
      </w:r>
    </w:p>
    <w:p>
      <w:pPr>
        <w:pStyle w:val="ListBullet"/>
      </w:pPr>
      <w:r>
        <w:t>Volume 4 — Instrumentos operacionais: diagnósticos, matrizes, checklists, modelos de documentos, indicadores, dados e anexos.</w:t>
      </w:r>
    </w:p>
    <w:p>
      <w:r>
        <w:br w:type="page"/>
      </w:r>
    </w:p>
    <w:p>
      <w:pPr>
        <w:pStyle w:val="Heading1"/>
      </w:pPr>
      <w:r>
        <w:t>Sumário executivo</w:t>
      </w:r>
    </w:p>
    <w:p>
      <w:r>
        <w:t>A gestão municipal de educação opera em um ambiente no qual a capacidade de transformar normas e programas em execução comprovável tornou-se tão importante quanto a existência formal das políticas. Secretarias precisam conhecer sua rede, organizar responsabilidades, formar profissionais, acompanhar escolas, consolidar evidências, alimentar sistemas oficiais, observar indicadores de aprendizagem e responder rapidamente a mudanças normativas. Em muitos municípios, essas funções permanecem fragmentadas em planilhas, documentos isolados, mensagens, sistemas não integrados e processos dependentes de conhecimento tácito de poucas pessoas.</w:t>
      </w:r>
    </w:p>
    <w:p>
      <w:r>
        <w:t>A Plataforma de Governança Educacional Municipal é concebida para atuar nesse intervalo entre “a política publicada” e “a política implementada”. Não é apenas um software, um ambiente de cursos ou um painel de indicadores. É uma arquitetura de serviços, método e tecnologia que organiza o ciclo completo: identificar a exigência ou prioridade, diagnosticar a situação municipal, planejar a resposta, estruturar a governança, formar os atores, acompanhar a execução, registrar evidências, medir resultados e retroalimentar a decisão.</w:t>
      </w:r>
    </w:p>
    <w:p>
      <w:pPr>
        <w:pStyle w:val="Heading2"/>
      </w:pPr>
      <w:r>
        <w:t>Tese central</w:t>
      </w:r>
    </w:p>
    <w:p>
      <w:pPr>
        <w:pStyle w:val="QuoteBox"/>
      </w:pPr>
      <w:r>
        <w:t>O município não precisa comprar uma plataforma “cheia de módulos”. Ele precisa resolver uma prioridade concreta. A solução entra pela dor mais urgente, entrega valor mensurável e amplia gradualmente o escopo de governança conforme novas necessidades são identificadas.</w:t>
      </w:r>
    </w:p>
    <w:p>
      <w:r>
        <w:t>A arquitetura comercial e técnica, portanto, é modular. Um município pode iniciar por BNCC Computação, alfabetização, Saeb/Ideb, permanência e equidade, formação continuada, gestão escolar, educação em tempo integral ou outra frente. O mesmo núcleo metodológico permanece; mudam os requisitos, conteúdos, indicadores, documentos e fluxos específicos de cada política.</w:t>
      </w:r>
    </w:p>
    <w:p>
      <w:pPr>
        <w:pStyle w:val="Heading2"/>
      </w:pPr>
      <w:r>
        <w:t>Por que a BNCC Computação é um módulo prioritário de entrada</w:t>
      </w:r>
    </w:p>
    <w:p>
      <w:r>
        <w:t>A Computação na Educação Básica possui respaldo normativo nacional como complemento à BNCC, com determinação de implementação das aprendizagens e consideração das normas na formação inicial e continuada de professores. A Política Nacional de Educação Digital reforçou a educação digital escolar e alterou a LDB. Além disso, no ciclo VAAR 2027, a metodologia da Condicionalidade V passou a verificar o alinhamento dos referenciais curriculares também às Normas sobre Computação na Educação Básica. Isso cria uma combinação rara de urgência regulatória, necessidade pedagógica, formação profissional e demanda de evidências de gestão.</w:t>
      </w:r>
    </w:p>
    <w:p>
      <w:r>
        <w:t>A solução, contudo, não deve ser vendida como promessa de repasse financeiro. O alinhamento curricular é uma condicionalidade dentro de um sistema mais amplo de habilitação e resultados do VAAR. A proposta de valor é reduzir risco de desorganização, aumentar a capacidade de comprovação, estruturar a implementação real e apoiar uma gestão orientada por evidências.</w:t>
      </w:r>
    </w:p>
    <w:p>
      <w:pPr>
        <w:pStyle w:val="Heading2"/>
      </w:pPr>
      <w:r>
        <w:t>Visão de produto em uma frase</w:t>
      </w:r>
    </w:p>
    <w:p>
      <w:pPr>
        <w:pStyle w:val="QuoteBox"/>
      </w:pPr>
      <w:r>
        <w:t>Uma plataforma e metodologia para transformar políticas educacionais em execução governada, evidências confiáveis e melhoria contínua na rede municipal.</w:t>
      </w:r>
    </w:p>
    <w:p>
      <w:r>
        <w:br w:type="page"/>
      </w:r>
    </w:p>
    <w:p>
      <w:pPr>
        <w:pStyle w:val="Heading1"/>
      </w:pPr>
      <w:r>
        <w:t>Estrutura do Volume 1</w:t>
      </w:r>
    </w:p>
    <w:p>
      <w:r>
        <w:t>1. Educação municipal na era da governança por evidências</w:t>
      </w:r>
    </w:p>
    <w:p>
      <w:r>
        <w:t>2. Conceito, missão, visão e proposta de valor</w:t>
      </w:r>
    </w:p>
    <w:p>
      <w:r>
        <w:t>3. Estratégia de produto e arquitetura de negócio</w:t>
      </w:r>
    </w:p>
    <w:p>
      <w:r>
        <w:t>4. Método IMPACTA — ciclo de governança educacional</w:t>
      </w:r>
    </w:p>
    <w:p>
      <w:r>
        <w:t>5. Modelo de diagnóstico e maturidade municipal</w:t>
      </w:r>
    </w:p>
    <w:p>
      <w:r>
        <w:t>6. Governança, papéis e responsabilidades</w:t>
      </w:r>
    </w:p>
    <w:p>
      <w:r>
        <w:t>7. Arquitetura funcional da plataforma</w:t>
      </w:r>
    </w:p>
    <w:p>
      <w:r>
        <w:t>8. Arquitetura de dados, tecnologia, segurança e LGPD</w:t>
      </w:r>
    </w:p>
    <w:p>
      <w:r>
        <w:t>9. Catálogo estratégico de soluções</w:t>
      </w:r>
    </w:p>
    <w:p>
      <w:r>
        <w:t>10. Modelo de implantação municipal</w:t>
      </w:r>
    </w:p>
    <w:p>
      <w:r>
        <w:t>11. Monitoramento, indicadores e evidências</w:t>
      </w:r>
    </w:p>
    <w:p>
      <w:r>
        <w:t>12. Modelo de contratação e composição comercial</w:t>
      </w:r>
    </w:p>
    <w:p>
      <w:r>
        <w:t>13. Escala, roadmap e inteligência de rede</w:t>
      </w:r>
    </w:p>
    <w:p>
      <w:r>
        <w:t>14. BNCC Computação como porta de entrada</w:t>
      </w:r>
    </w:p>
    <w:p>
      <w:r>
        <w:t>15. Riscos, premissas e salvaguardas</w:t>
      </w:r>
    </w:p>
    <w:p>
      <w:r>
        <w:t>16. Próximos volumes e decisões de validação</w:t>
      </w:r>
    </w:p>
    <w:p>
      <w:r>
        <w:t>Anexos — instrumentos de referência inicial</w:t>
      </w:r>
    </w:p>
    <w:p>
      <w:r>
        <w:br w:type="page"/>
      </w:r>
    </w:p>
    <w:p>
      <w:pPr>
        <w:pStyle w:val="Heading1"/>
      </w:pPr>
      <w:r>
        <w:t>1. Educação municipal na era da governança por evidências</w:t>
      </w:r>
    </w:p>
    <w:p>
      <w:pPr>
        <w:pStyle w:val="Heading2"/>
      </w:pPr>
      <w:r>
        <w:t>1.1 O problema que a solução pretende resolver</w:t>
      </w:r>
    </w:p>
    <w:p>
      <w:r>
        <w:t>Em uma secretaria municipal, políticas educacionais chegam por diferentes vias: legislação federal, normas do CNE, programas do MEC, regras do Fundeb, orientações estaduais, decisões do conselho municipal, metas locais, avaliações externas e prioridades do próprio governo. O problema raramente é apenas “conhecer a norma”. O desafio é operacionalizá-la em uma rede heterogênea, com escolas de diferentes portes, equipes com diferentes níveis de capacidade e dados distribuídos em múltiplas fontes.</w:t>
      </w:r>
    </w:p>
    <w:p>
      <w:pPr>
        <w:pStyle w:val="ListBullet"/>
      </w:pPr>
      <w:r>
        <w:t>Informação fragmentada: documentos, planilhas e bases que não conversam entre si.</w:t>
      </w:r>
    </w:p>
    <w:p>
      <w:pPr>
        <w:pStyle w:val="ListBullet"/>
      </w:pPr>
      <w:r>
        <w:t>Gestão reativa: a secretaria descobre pendências perto do prazo oficial, quando a capacidade de correção já é reduzida.</w:t>
      </w:r>
    </w:p>
    <w:p>
      <w:pPr>
        <w:pStyle w:val="ListBullet"/>
      </w:pPr>
      <w:r>
        <w:t>Distância entre norma e escola: currículo, resolução ou programa existe formalmente, mas sua execução não é acompanhada de maneira sistemática.</w:t>
      </w:r>
    </w:p>
    <w:p>
      <w:pPr>
        <w:pStyle w:val="ListBullet"/>
      </w:pPr>
      <w:r>
        <w:t>Formação desconectada de implementação: cursos são ofertados, porém nem sempre se mede se o profissional aplicou o que aprendeu.</w:t>
      </w:r>
    </w:p>
    <w:p>
      <w:pPr>
        <w:pStyle w:val="ListBullet"/>
      </w:pPr>
      <w:r>
        <w:t>Evidências dispersas: documentos, atas, planos, relatórios e registros pedagógicos não formam uma trilha auditável de implementação.</w:t>
      </w:r>
    </w:p>
    <w:p>
      <w:pPr>
        <w:pStyle w:val="ListBullet"/>
      </w:pPr>
      <w:r>
        <w:t>Indicadores sem ação: dashboards mostram números, mas não vinculam resultados às políticas, responsáveis, metas e planos de melhoria.</w:t>
      </w:r>
    </w:p>
    <w:p>
      <w:pPr>
        <w:pStyle w:val="ListBullet"/>
      </w:pPr>
      <w:r>
        <w:t>Dependência de pessoas-chave: mudanças de gestão ou equipe podem provocar perda de memória institucional e descontinuidade.</w:t>
      </w:r>
    </w:p>
    <w:p>
      <w:pPr>
        <w:pStyle w:val="ListBullet"/>
      </w:pPr>
      <w:r>
        <w:t>Dificuldade de priorização: o município não enxerga com clareza quais fragilidades representam risco regulatório, financeiro, pedagógico ou reputacional.</w:t>
      </w:r>
    </w:p>
    <w:p>
      <w:pPr>
        <w:pStyle w:val="Heading2"/>
      </w:pPr>
      <w:r>
        <w:t>1.2 A oportunidade</w:t>
      </w:r>
    </w:p>
    <w:p>
      <w:r>
        <w:t>Essas fragilidades podem ser tratadas por uma camada transversal de governança. O mesmo município que precisa comprovar um referencial curricular também precisa acompanhar formação, implantação nas escolas, participação em avaliações, permanência, resultados e evidências. Em vez de criar um sistema independente para cada programa, a proposta é construir um núcleo comum de governança, com módulos temáticos que reutilizam cadastros, perfis, fluxos, indicadores e registros.</w:t>
      </w:r>
    </w:p>
    <w:p>
      <w:pPr>
        <w:pStyle w:val="Heading2"/>
      </w:pPr>
      <w:r>
        <w:t>1.3 Do sistema isolado ao ciclo de política pública</w:t>
      </w:r>
    </w:p>
    <w:tbl>
      <w:tblPr>
        <w:tblStyle w:val="TableGrid"/>
        <w:tblW w:type="auto" w:w="0"/>
        <w:jc w:val="center"/>
        <w:tblLook w:firstColumn="1" w:firstRow="1" w:lastColumn="0" w:lastRow="0" w:noHBand="0" w:noVBand="1" w:val="04A0"/>
      </w:tblPr>
      <w:tblGrid>
        <w:gridCol w:w="1232"/>
        <w:gridCol w:w="1232"/>
        <w:gridCol w:w="1232"/>
        <w:gridCol w:w="1232"/>
        <w:gridCol w:w="1232"/>
        <w:gridCol w:w="1232"/>
        <w:gridCol w:w="1232"/>
        <w:gridCol w:w="1232"/>
      </w:tblGrid>
      <w:tr>
        <w:trPr>
          <w:cantSplit/>
        </w:trPr>
        <w:tc>
          <w:tcPr>
            <w:tcW w:type="dxa" w:w="1134"/>
            <w:shd w:fill="EEF4FA"/>
            <w:vAlign w:val="center"/>
          </w:tcPr>
          <w:p>
            <w:pPr>
              <w:keepNext/>
              <w:jc w:val="center"/>
            </w:pPr>
            <w:r>
              <w:rPr>
                <w:rFonts w:ascii="Arial" w:hAnsi="Arial"/>
                <w:b/>
                <w:sz w:val="17"/>
              </w:rPr>
              <w:t>Norma / prioridade</w:t>
            </w:r>
          </w:p>
        </w:tc>
        <w:tc>
          <w:tcPr>
            <w:tcW w:type="dxa" w:w="1134"/>
            <w:shd w:fill="D9EAF7"/>
            <w:vAlign w:val="center"/>
          </w:tcPr>
          <w:p>
            <w:pPr>
              <w:keepNext/>
              <w:jc w:val="center"/>
            </w:pPr>
            <w:r>
              <w:rPr>
                <w:rFonts w:ascii="Arial" w:hAnsi="Arial"/>
                <w:b/>
                <w:sz w:val="17"/>
              </w:rPr>
              <w:t>Diagnóstico</w:t>
            </w:r>
          </w:p>
        </w:tc>
        <w:tc>
          <w:tcPr>
            <w:tcW w:type="dxa" w:w="1134"/>
            <w:shd w:fill="EEF4FA"/>
            <w:vAlign w:val="center"/>
          </w:tcPr>
          <w:p>
            <w:pPr>
              <w:keepNext/>
              <w:jc w:val="center"/>
            </w:pPr>
            <w:r>
              <w:rPr>
                <w:rFonts w:ascii="Arial" w:hAnsi="Arial"/>
                <w:b/>
                <w:sz w:val="17"/>
              </w:rPr>
              <w:t>Plano</w:t>
            </w:r>
          </w:p>
        </w:tc>
        <w:tc>
          <w:tcPr>
            <w:tcW w:type="dxa" w:w="1134"/>
            <w:shd w:fill="D9EAF7"/>
            <w:vAlign w:val="center"/>
          </w:tcPr>
          <w:p>
            <w:pPr>
              <w:keepNext/>
              <w:jc w:val="center"/>
            </w:pPr>
            <w:r>
              <w:rPr>
                <w:rFonts w:ascii="Arial" w:hAnsi="Arial"/>
                <w:b/>
                <w:sz w:val="17"/>
              </w:rPr>
              <w:t>Governança</w:t>
            </w:r>
          </w:p>
        </w:tc>
        <w:tc>
          <w:tcPr>
            <w:tcW w:type="dxa" w:w="1134"/>
            <w:shd w:fill="EEF4FA"/>
            <w:vAlign w:val="center"/>
          </w:tcPr>
          <w:p>
            <w:pPr>
              <w:keepNext/>
              <w:jc w:val="center"/>
            </w:pPr>
            <w:r>
              <w:rPr>
                <w:rFonts w:ascii="Arial" w:hAnsi="Arial"/>
                <w:b/>
                <w:sz w:val="17"/>
              </w:rPr>
              <w:t>Formação</w:t>
            </w:r>
          </w:p>
        </w:tc>
        <w:tc>
          <w:tcPr>
            <w:tcW w:type="dxa" w:w="1134"/>
            <w:shd w:fill="D9EAF7"/>
            <w:vAlign w:val="center"/>
          </w:tcPr>
          <w:p>
            <w:pPr>
              <w:keepNext/>
              <w:jc w:val="center"/>
            </w:pPr>
            <w:r>
              <w:rPr>
                <w:rFonts w:ascii="Arial" w:hAnsi="Arial"/>
                <w:b/>
                <w:sz w:val="17"/>
              </w:rPr>
              <w:t>Execução</w:t>
            </w:r>
          </w:p>
        </w:tc>
        <w:tc>
          <w:tcPr>
            <w:tcW w:type="dxa" w:w="1134"/>
            <w:shd w:fill="EEF4FA"/>
            <w:vAlign w:val="center"/>
          </w:tcPr>
          <w:p>
            <w:pPr>
              <w:keepNext/>
              <w:jc w:val="center"/>
            </w:pPr>
            <w:r>
              <w:rPr>
                <w:rFonts w:ascii="Arial" w:hAnsi="Arial"/>
                <w:b/>
                <w:sz w:val="17"/>
              </w:rPr>
              <w:t>Evidências</w:t>
            </w:r>
          </w:p>
        </w:tc>
        <w:tc>
          <w:tcPr>
            <w:tcW w:type="dxa" w:w="1134"/>
            <w:shd w:fill="D9EAF7"/>
            <w:vAlign w:val="center"/>
          </w:tcPr>
          <w:p>
            <w:pPr>
              <w:keepNext/>
              <w:jc w:val="center"/>
            </w:pPr>
            <w:r>
              <w:rPr>
                <w:rFonts w:ascii="Arial" w:hAnsi="Arial"/>
                <w:b/>
                <w:sz w:val="17"/>
              </w:rPr>
              <w:t>Indicadores / decisão</w:t>
            </w:r>
          </w:p>
        </w:tc>
      </w:tr>
    </w:tbl>
    <w:p>
      <w:r>
        <w:t>A tecnologia aparece como infraestrutura para esse ciclo, e não como fim. O produto precisa funcionar mesmo quando a maior parte da mudança depende de pessoas, normas, formação, documentos e processos administrativos.</w:t>
      </w:r>
    </w:p>
    <w:p>
      <w:pPr>
        <w:pStyle w:val="Heading2"/>
      </w:pPr>
      <w:r>
        <w:t>1.4 Princípios de desenho</w:t>
      </w:r>
    </w:p>
    <w:tbl>
      <w:tblPr>
        <w:tblStyle w:val="TableGrid"/>
        <w:tblW w:type="auto" w:w="0"/>
        <w:jc w:val="center"/>
        <w:tblLook w:firstColumn="1" w:firstRow="1" w:lastColumn="0" w:lastRow="0" w:noHBand="0" w:noVBand="1" w:val="04A0"/>
      </w:tblPr>
      <w:tblGrid>
        <w:gridCol w:w="4929"/>
        <w:gridCol w:w="4929"/>
      </w:tblGrid>
      <w:tr>
        <w:trPr>
          <w:tblHeader w:val="true"/>
          <w:cantSplit/>
        </w:trPr>
        <w:tc>
          <w:tcPr>
            <w:tcW w:type="dxa" w:w="2381"/>
            <w:shd w:fill="17365D"/>
          </w:tcPr>
          <w:p>
            <w:pPr>
              <w:keepNext/>
            </w:pPr>
            <w:r>
              <w:rPr>
                <w:rFonts w:ascii="Arial" w:hAnsi="Arial"/>
                <w:b/>
                <w:color w:val="FFFFFF"/>
                <w:sz w:val="18"/>
              </w:rPr>
              <w:t>Princípio</w:t>
            </w:r>
          </w:p>
        </w:tc>
        <w:tc>
          <w:tcPr>
            <w:tcW w:type="dxa" w:w="6690"/>
            <w:shd w:fill="17365D"/>
          </w:tcPr>
          <w:p>
            <w:pPr>
              <w:keepNext/>
            </w:pPr>
            <w:r>
              <w:rPr>
                <w:rFonts w:ascii="Arial" w:hAnsi="Arial"/>
                <w:b/>
                <w:color w:val="FFFFFF"/>
                <w:sz w:val="18"/>
              </w:rPr>
              <w:t>Aplicação</w:t>
            </w:r>
          </w:p>
        </w:tc>
      </w:tr>
      <w:tr>
        <w:trPr>
          <w:cantSplit/>
        </w:trPr>
        <w:tc>
          <w:tcPr>
            <w:tcW w:type="dxa" w:w="4929"/>
            <w:tcMar>
              <w:top w:w="90" w:type="dxa"/>
              <w:start w:w="100" w:type="dxa"/>
              <w:bottom w:w="90" w:type="dxa"/>
              <w:end w:w="100" w:type="dxa"/>
            </w:tcMar>
          </w:tcPr>
          <w:p>
            <w:r>
              <w:rPr>
                <w:rFonts w:ascii="Arial" w:hAnsi="Arial"/>
                <w:b/>
                <w:sz w:val="18"/>
              </w:rPr>
              <w:t>Municipal por natureza</w:t>
            </w:r>
          </w:p>
        </w:tc>
        <w:tc>
          <w:tcPr>
            <w:tcW w:type="dxa" w:w="4929"/>
            <w:tcMar>
              <w:top w:w="90" w:type="dxa"/>
              <w:start w:w="100" w:type="dxa"/>
              <w:bottom w:w="90" w:type="dxa"/>
              <w:end w:w="100" w:type="dxa"/>
            </w:tcMar>
          </w:tcPr>
          <w:p>
            <w:r>
              <w:rPr>
                <w:rFonts w:ascii="Arial" w:hAnsi="Arial"/>
                <w:sz w:val="18"/>
              </w:rPr>
              <w:t>A unidade de desenho é a rede municipal: secretaria, escolas, profissionais, estudantes, conselhos e responsabilidades locais.</w:t>
            </w:r>
          </w:p>
        </w:tc>
      </w:tr>
      <w:tr>
        <w:trPr>
          <w:cantSplit/>
        </w:trPr>
        <w:tc>
          <w:tcPr>
            <w:tcW w:type="dxa" w:w="4929"/>
            <w:tcMar>
              <w:top w:w="90" w:type="dxa"/>
              <w:start w:w="100" w:type="dxa"/>
              <w:bottom w:w="90" w:type="dxa"/>
              <w:end w:w="100" w:type="dxa"/>
            </w:tcMar>
          </w:tcPr>
          <w:p>
            <w:r>
              <w:rPr>
                <w:rFonts w:ascii="Arial" w:hAnsi="Arial"/>
                <w:b/>
                <w:sz w:val="18"/>
              </w:rPr>
              <w:t>Modular por necessidade</w:t>
            </w:r>
          </w:p>
        </w:tc>
        <w:tc>
          <w:tcPr>
            <w:tcW w:type="dxa" w:w="4929"/>
            <w:tcMar>
              <w:top w:w="90" w:type="dxa"/>
              <w:start w:w="100" w:type="dxa"/>
              <w:bottom w:w="90" w:type="dxa"/>
              <w:end w:w="100" w:type="dxa"/>
            </w:tcMar>
          </w:tcPr>
          <w:p>
            <w:r>
              <w:rPr>
                <w:rFonts w:ascii="Arial" w:hAnsi="Arial"/>
                <w:sz w:val="18"/>
              </w:rPr>
              <w:t>O município contrata a frente que resolve sua dor atual e pode ampliar o escopo sem reconstruir a base.</w:t>
            </w:r>
          </w:p>
        </w:tc>
      </w:tr>
      <w:tr>
        <w:trPr>
          <w:cantSplit/>
        </w:trPr>
        <w:tc>
          <w:tcPr>
            <w:tcW w:type="dxa" w:w="4929"/>
            <w:tcMar>
              <w:top w:w="90" w:type="dxa"/>
              <w:start w:w="100" w:type="dxa"/>
              <w:bottom w:w="90" w:type="dxa"/>
              <w:end w:w="100" w:type="dxa"/>
            </w:tcMar>
          </w:tcPr>
          <w:p>
            <w:r>
              <w:rPr>
                <w:rFonts w:ascii="Arial" w:hAnsi="Arial"/>
                <w:b/>
                <w:sz w:val="18"/>
              </w:rPr>
              <w:t>Governança antes de tecnologia</w:t>
            </w:r>
          </w:p>
        </w:tc>
        <w:tc>
          <w:tcPr>
            <w:tcW w:type="dxa" w:w="4929"/>
            <w:tcMar>
              <w:top w:w="90" w:type="dxa"/>
              <w:start w:w="100" w:type="dxa"/>
              <w:bottom w:w="90" w:type="dxa"/>
              <w:end w:w="100" w:type="dxa"/>
            </w:tcMar>
          </w:tcPr>
          <w:p>
            <w:r>
              <w:rPr>
                <w:rFonts w:ascii="Arial" w:hAnsi="Arial"/>
                <w:sz w:val="18"/>
              </w:rPr>
              <w:t>Papéis, regras, responsabilidades, calendário e evidências devem existir antes da automação.</w:t>
            </w:r>
          </w:p>
        </w:tc>
      </w:tr>
      <w:tr>
        <w:trPr>
          <w:cantSplit/>
        </w:trPr>
        <w:tc>
          <w:tcPr>
            <w:tcW w:type="dxa" w:w="4929"/>
            <w:tcMar>
              <w:top w:w="90" w:type="dxa"/>
              <w:start w:w="100" w:type="dxa"/>
              <w:bottom w:w="90" w:type="dxa"/>
              <w:end w:w="100" w:type="dxa"/>
            </w:tcMar>
          </w:tcPr>
          <w:p>
            <w:r>
              <w:rPr>
                <w:rFonts w:ascii="Arial" w:hAnsi="Arial"/>
                <w:b/>
                <w:sz w:val="18"/>
              </w:rPr>
              <w:t>Dados com finalidade</w:t>
            </w:r>
          </w:p>
        </w:tc>
        <w:tc>
          <w:tcPr>
            <w:tcW w:type="dxa" w:w="4929"/>
            <w:tcMar>
              <w:top w:w="90" w:type="dxa"/>
              <w:start w:w="100" w:type="dxa"/>
              <w:bottom w:w="90" w:type="dxa"/>
              <w:end w:w="100" w:type="dxa"/>
            </w:tcMar>
          </w:tcPr>
          <w:p>
            <w:r>
              <w:rPr>
                <w:rFonts w:ascii="Arial" w:hAnsi="Arial"/>
                <w:sz w:val="18"/>
              </w:rPr>
              <w:t>Cada dado coletado deve responder a uma pergunta de gestão, uma exigência ou um indicador.</w:t>
            </w:r>
          </w:p>
        </w:tc>
      </w:tr>
      <w:tr>
        <w:trPr>
          <w:cantSplit/>
        </w:trPr>
        <w:tc>
          <w:tcPr>
            <w:tcW w:type="dxa" w:w="4929"/>
            <w:tcMar>
              <w:top w:w="90" w:type="dxa"/>
              <w:start w:w="100" w:type="dxa"/>
              <w:bottom w:w="90" w:type="dxa"/>
              <w:end w:w="100" w:type="dxa"/>
            </w:tcMar>
          </w:tcPr>
          <w:p>
            <w:r>
              <w:rPr>
                <w:rFonts w:ascii="Arial" w:hAnsi="Arial"/>
                <w:b/>
                <w:sz w:val="18"/>
              </w:rPr>
              <w:t>Evidência como ativo</w:t>
            </w:r>
          </w:p>
        </w:tc>
        <w:tc>
          <w:tcPr>
            <w:tcW w:type="dxa" w:w="4929"/>
            <w:tcMar>
              <w:top w:w="90" w:type="dxa"/>
              <w:start w:w="100" w:type="dxa"/>
              <w:bottom w:w="90" w:type="dxa"/>
              <w:end w:w="100" w:type="dxa"/>
            </w:tcMar>
          </w:tcPr>
          <w:p>
            <w:r>
              <w:rPr>
                <w:rFonts w:ascii="Arial" w:hAnsi="Arial"/>
                <w:sz w:val="18"/>
              </w:rPr>
              <w:t>A plataforma deve organizar prova de execução: quem fez, quando, em qual escola, com qual documento e qual resultado.</w:t>
            </w:r>
          </w:p>
        </w:tc>
      </w:tr>
      <w:tr>
        <w:trPr>
          <w:cantSplit/>
        </w:trPr>
        <w:tc>
          <w:tcPr>
            <w:tcW w:type="dxa" w:w="4929"/>
            <w:tcMar>
              <w:top w:w="90" w:type="dxa"/>
              <w:start w:w="100" w:type="dxa"/>
              <w:bottom w:w="90" w:type="dxa"/>
              <w:end w:w="100" w:type="dxa"/>
            </w:tcMar>
          </w:tcPr>
          <w:p>
            <w:r>
              <w:rPr>
                <w:rFonts w:ascii="Arial" w:hAnsi="Arial"/>
                <w:b/>
                <w:sz w:val="18"/>
              </w:rPr>
              <w:t>Formação aplicada</w:t>
            </w:r>
          </w:p>
        </w:tc>
        <w:tc>
          <w:tcPr>
            <w:tcW w:type="dxa" w:w="4929"/>
            <w:tcMar>
              <w:top w:w="90" w:type="dxa"/>
              <w:start w:w="100" w:type="dxa"/>
              <w:bottom w:w="90" w:type="dxa"/>
              <w:end w:w="100" w:type="dxa"/>
            </w:tcMar>
          </w:tcPr>
          <w:p>
            <w:r>
              <w:rPr>
                <w:rFonts w:ascii="Arial" w:hAnsi="Arial"/>
                <w:sz w:val="18"/>
              </w:rPr>
              <w:t>A trilha formativa deve conectar competência, prática, acompanhamento e certificação.</w:t>
            </w:r>
          </w:p>
        </w:tc>
      </w:tr>
      <w:tr>
        <w:trPr>
          <w:cantSplit/>
        </w:trPr>
        <w:tc>
          <w:tcPr>
            <w:tcW w:type="dxa" w:w="4929"/>
            <w:tcMar>
              <w:top w:w="90" w:type="dxa"/>
              <w:start w:w="100" w:type="dxa"/>
              <w:bottom w:w="90" w:type="dxa"/>
              <w:end w:w="100" w:type="dxa"/>
            </w:tcMar>
          </w:tcPr>
          <w:p>
            <w:r>
              <w:rPr>
                <w:rFonts w:ascii="Arial" w:hAnsi="Arial"/>
                <w:b/>
                <w:sz w:val="18"/>
              </w:rPr>
              <w:t>Melhoria contínua</w:t>
            </w:r>
          </w:p>
        </w:tc>
        <w:tc>
          <w:tcPr>
            <w:tcW w:type="dxa" w:w="4929"/>
            <w:tcMar>
              <w:top w:w="90" w:type="dxa"/>
              <w:start w:w="100" w:type="dxa"/>
              <w:bottom w:w="90" w:type="dxa"/>
              <w:end w:w="100" w:type="dxa"/>
            </w:tcMar>
          </w:tcPr>
          <w:p>
            <w:r>
              <w:rPr>
                <w:rFonts w:ascii="Arial" w:hAnsi="Arial"/>
                <w:sz w:val="18"/>
              </w:rPr>
              <w:t>O ciclo não termina no envio ao sistema oficial; resultados geram novas prioridades e planos.</w:t>
            </w:r>
          </w:p>
        </w:tc>
      </w:tr>
      <w:tr>
        <w:trPr>
          <w:cantSplit/>
        </w:trPr>
        <w:tc>
          <w:tcPr>
            <w:tcW w:type="dxa" w:w="4929"/>
            <w:tcMar>
              <w:top w:w="90" w:type="dxa"/>
              <w:start w:w="100" w:type="dxa"/>
              <w:bottom w:w="90" w:type="dxa"/>
              <w:end w:w="100" w:type="dxa"/>
            </w:tcMar>
          </w:tcPr>
          <w:p>
            <w:r>
              <w:rPr>
                <w:rFonts w:ascii="Arial" w:hAnsi="Arial"/>
                <w:b/>
                <w:sz w:val="18"/>
              </w:rPr>
              <w:t>Interoperabilidade e portabilidade</w:t>
            </w:r>
          </w:p>
        </w:tc>
        <w:tc>
          <w:tcPr>
            <w:tcW w:type="dxa" w:w="4929"/>
            <w:tcMar>
              <w:top w:w="90" w:type="dxa"/>
              <w:start w:w="100" w:type="dxa"/>
              <w:bottom w:w="90" w:type="dxa"/>
              <w:end w:w="100" w:type="dxa"/>
            </w:tcMar>
          </w:tcPr>
          <w:p>
            <w:r>
              <w:rPr>
                <w:rFonts w:ascii="Arial" w:hAnsi="Arial"/>
                <w:sz w:val="18"/>
              </w:rPr>
              <w:t>Dados e documentos precisam poder ser exportados e integrados, evitando aprisionamento tecnológico.</w:t>
            </w:r>
          </w:p>
        </w:tc>
      </w:tr>
      <w:tr>
        <w:trPr>
          <w:cantSplit/>
        </w:trPr>
        <w:tc>
          <w:tcPr>
            <w:tcW w:type="dxa" w:w="4929"/>
            <w:tcMar>
              <w:top w:w="90" w:type="dxa"/>
              <w:start w:w="100" w:type="dxa"/>
              <w:bottom w:w="90" w:type="dxa"/>
              <w:end w:w="100" w:type="dxa"/>
            </w:tcMar>
          </w:tcPr>
          <w:p>
            <w:r>
              <w:rPr>
                <w:rFonts w:ascii="Arial" w:hAnsi="Arial"/>
                <w:b/>
                <w:sz w:val="18"/>
              </w:rPr>
              <w:t>Privacidade por padrão</w:t>
            </w:r>
          </w:p>
        </w:tc>
        <w:tc>
          <w:tcPr>
            <w:tcW w:type="dxa" w:w="4929"/>
            <w:tcMar>
              <w:top w:w="90" w:type="dxa"/>
              <w:start w:w="100" w:type="dxa"/>
              <w:bottom w:w="90" w:type="dxa"/>
              <w:end w:w="100" w:type="dxa"/>
            </w:tcMar>
          </w:tcPr>
          <w:p>
            <w:r>
              <w:rPr>
                <w:rFonts w:ascii="Arial" w:hAnsi="Arial"/>
                <w:sz w:val="18"/>
              </w:rPr>
              <w:t>Dados pessoais, especialmente de estudantes, devem ser minimizados e protegidos desde a concepção.</w:t>
            </w:r>
          </w:p>
        </w:tc>
      </w:tr>
    </w:tbl>
    <w:p>
      <w:pPr>
        <w:pStyle w:val="Heading1"/>
      </w:pPr>
      <w:r>
        <w:t>2. Conceito, missão, visão e proposta de valor</w:t>
      </w:r>
    </w:p>
    <w:p>
      <w:pPr>
        <w:pStyle w:val="Heading2"/>
      </w:pPr>
      <w:r>
        <w:t>2.1 Conceito</w:t>
      </w:r>
    </w:p>
    <w:p>
      <w:r>
        <w:t>A Plataforma de Governança Educacional Municipal é um ecossistema composto por metodologia, consultoria, serviços educacionais e tecnologia. Seu objetivo é fornecer uma infraestrutura contínua para que secretarias municipais organizem políticas e programas desde a leitura da necessidade até o acompanhamento de resultados.</w:t>
      </w:r>
    </w:p>
    <w:p>
      <w:pPr>
        <w:pStyle w:val="Heading2"/>
      </w:pPr>
      <w:r>
        <w:t>2.2 Missão</w:t>
      </w:r>
    </w:p>
    <w:p>
      <w:r>
        <w:t>Aumentar a capacidade dos municípios de implementar políticas educacionais com clareza de responsabilidades, formação adequada, dados confiáveis, evidências organizadas e acompanhamento contínuo.</w:t>
      </w:r>
    </w:p>
    <w:p>
      <w:pPr>
        <w:pStyle w:val="Heading2"/>
      </w:pPr>
      <w:r>
        <w:t>2.3 Visão</w:t>
      </w:r>
    </w:p>
    <w:p>
      <w:r>
        <w:t>Tornar-se uma referência nacional em governança educacional municipal modular, permitindo que redes de diferentes portes transformem exigências e prioridades em ciclos sustentáveis de implementação e melhoria.</w:t>
      </w:r>
    </w:p>
    <w:p>
      <w:pPr>
        <w:pStyle w:val="Heading2"/>
      </w:pPr>
      <w:r>
        <w:t>2.4 Proposta de valor por público</w:t>
      </w:r>
    </w:p>
    <w:tbl>
      <w:tblPr>
        <w:tblStyle w:val="TableGrid"/>
        <w:tblW w:type="auto" w:w="0"/>
        <w:jc w:val="center"/>
        <w:tblLook w:firstColumn="1" w:firstRow="1" w:lastColumn="0" w:lastRow="0" w:noHBand="0" w:noVBand="1" w:val="04A0"/>
      </w:tblPr>
      <w:tblGrid>
        <w:gridCol w:w="4929"/>
        <w:gridCol w:w="4929"/>
      </w:tblGrid>
      <w:tr>
        <w:trPr>
          <w:tblHeader w:val="true"/>
          <w:cantSplit/>
        </w:trPr>
        <w:tc>
          <w:tcPr>
            <w:tcW w:type="dxa" w:w="2381"/>
            <w:shd w:fill="17365D"/>
          </w:tcPr>
          <w:p>
            <w:pPr>
              <w:keepNext/>
            </w:pPr>
            <w:r>
              <w:rPr>
                <w:rFonts w:ascii="Arial" w:hAnsi="Arial"/>
                <w:b/>
                <w:color w:val="FFFFFF"/>
                <w:sz w:val="18"/>
              </w:rPr>
              <w:t>Público</w:t>
            </w:r>
          </w:p>
        </w:tc>
        <w:tc>
          <w:tcPr>
            <w:tcW w:type="dxa" w:w="6690"/>
            <w:shd w:fill="17365D"/>
          </w:tcPr>
          <w:p>
            <w:pPr>
              <w:keepNext/>
            </w:pPr>
            <w:r>
              <w:rPr>
                <w:rFonts w:ascii="Arial" w:hAnsi="Arial"/>
                <w:b/>
                <w:color w:val="FFFFFF"/>
                <w:sz w:val="18"/>
              </w:rPr>
              <w:t>Valor entregue</w:t>
            </w:r>
          </w:p>
        </w:tc>
      </w:tr>
      <w:tr>
        <w:trPr>
          <w:cantSplit/>
        </w:trPr>
        <w:tc>
          <w:tcPr>
            <w:tcW w:type="dxa" w:w="4929"/>
          </w:tcPr>
          <w:p>
            <w:r>
              <w:rPr>
                <w:rFonts w:ascii="Arial" w:hAnsi="Arial"/>
                <w:b/>
                <w:sz w:val="18"/>
              </w:rPr>
              <w:t>Prefeito / alta gestão</w:t>
            </w:r>
          </w:p>
        </w:tc>
        <w:tc>
          <w:tcPr>
            <w:tcW w:type="dxa" w:w="4929"/>
          </w:tcPr>
          <w:p>
            <w:r>
              <w:rPr>
                <w:rFonts w:ascii="Arial" w:hAnsi="Arial"/>
                <w:sz w:val="18"/>
              </w:rPr>
              <w:t>Visão executiva de riscos, prioridades, execução e resultados; melhor capacidade de decidir onde investir.</w:t>
            </w:r>
          </w:p>
        </w:tc>
      </w:tr>
      <w:tr>
        <w:trPr>
          <w:cantSplit/>
        </w:trPr>
        <w:tc>
          <w:tcPr>
            <w:tcW w:type="dxa" w:w="4929"/>
          </w:tcPr>
          <w:p>
            <w:r>
              <w:rPr>
                <w:rFonts w:ascii="Arial" w:hAnsi="Arial"/>
                <w:b/>
                <w:sz w:val="18"/>
              </w:rPr>
              <w:t>Secretário(a) de Educação</w:t>
            </w:r>
          </w:p>
        </w:tc>
        <w:tc>
          <w:tcPr>
            <w:tcW w:type="dxa" w:w="4929"/>
          </w:tcPr>
          <w:p>
            <w:r>
              <w:rPr>
                <w:rFonts w:ascii="Arial" w:hAnsi="Arial"/>
                <w:sz w:val="18"/>
              </w:rPr>
              <w:t>Controle do portfólio de políticas, prazos, responsáveis, indicadores e evidências em uma visão única.</w:t>
            </w:r>
          </w:p>
        </w:tc>
      </w:tr>
      <w:tr>
        <w:trPr>
          <w:cantSplit/>
        </w:trPr>
        <w:tc>
          <w:tcPr>
            <w:tcW w:type="dxa" w:w="4929"/>
          </w:tcPr>
          <w:p>
            <w:r>
              <w:rPr>
                <w:rFonts w:ascii="Arial" w:hAnsi="Arial"/>
                <w:b/>
                <w:sz w:val="18"/>
              </w:rPr>
              <w:t>Equipe técnica da Secretaria</w:t>
            </w:r>
          </w:p>
        </w:tc>
        <w:tc>
          <w:tcPr>
            <w:tcW w:type="dxa" w:w="4929"/>
          </w:tcPr>
          <w:p>
            <w:r>
              <w:rPr>
                <w:rFonts w:ascii="Arial" w:hAnsi="Arial"/>
                <w:sz w:val="18"/>
              </w:rPr>
              <w:t>Fluxos claros, checklists, documentos, planos de ação, bases organizadas e redução de retrabalho.</w:t>
            </w:r>
          </w:p>
        </w:tc>
      </w:tr>
      <w:tr>
        <w:trPr>
          <w:cantSplit/>
        </w:trPr>
        <w:tc>
          <w:tcPr>
            <w:tcW w:type="dxa" w:w="4929"/>
          </w:tcPr>
          <w:p>
            <w:r>
              <w:rPr>
                <w:rFonts w:ascii="Arial" w:hAnsi="Arial"/>
                <w:b/>
                <w:sz w:val="18"/>
              </w:rPr>
              <w:t>Gestor escolar</w:t>
            </w:r>
          </w:p>
        </w:tc>
        <w:tc>
          <w:tcPr>
            <w:tcW w:type="dxa" w:w="4929"/>
          </w:tcPr>
          <w:p>
            <w:r>
              <w:rPr>
                <w:rFonts w:ascii="Arial" w:hAnsi="Arial"/>
                <w:sz w:val="18"/>
              </w:rPr>
              <w:t>Orientação objetiva sobre o que a escola precisa executar, registrar e comprovar.</w:t>
            </w:r>
          </w:p>
        </w:tc>
      </w:tr>
      <w:tr>
        <w:trPr>
          <w:cantSplit/>
        </w:trPr>
        <w:tc>
          <w:tcPr>
            <w:tcW w:type="dxa" w:w="4929"/>
          </w:tcPr>
          <w:p>
            <w:r>
              <w:rPr>
                <w:rFonts w:ascii="Arial" w:hAnsi="Arial"/>
                <w:b/>
                <w:sz w:val="18"/>
              </w:rPr>
              <w:t>Professor / profissional</w:t>
            </w:r>
          </w:p>
        </w:tc>
        <w:tc>
          <w:tcPr>
            <w:tcW w:type="dxa" w:w="4929"/>
          </w:tcPr>
          <w:p>
            <w:r>
              <w:rPr>
                <w:rFonts w:ascii="Arial" w:hAnsi="Arial"/>
                <w:sz w:val="18"/>
              </w:rPr>
              <w:t>Trilhas formativas contextualizadas, acompanhamento de progresso, aplicação prática e reconhecimento.</w:t>
            </w:r>
          </w:p>
        </w:tc>
      </w:tr>
      <w:tr>
        <w:trPr>
          <w:cantSplit/>
        </w:trPr>
        <w:tc>
          <w:tcPr>
            <w:tcW w:type="dxa" w:w="4929"/>
          </w:tcPr>
          <w:p>
            <w:r>
              <w:rPr>
                <w:rFonts w:ascii="Arial" w:hAnsi="Arial"/>
                <w:b/>
                <w:sz w:val="18"/>
              </w:rPr>
              <w:t>Conselho / instâncias de governança</w:t>
            </w:r>
          </w:p>
        </w:tc>
        <w:tc>
          <w:tcPr>
            <w:tcW w:type="dxa" w:w="4929"/>
          </w:tcPr>
          <w:p>
            <w:r>
              <w:rPr>
                <w:rFonts w:ascii="Arial" w:hAnsi="Arial"/>
                <w:sz w:val="18"/>
              </w:rPr>
              <w:t>Acesso a evidências e relatórios que apoiem deliberação e acompanhamento, respeitados os perfis de acesso.</w:t>
            </w:r>
          </w:p>
        </w:tc>
      </w:tr>
      <w:tr>
        <w:trPr>
          <w:cantSplit/>
        </w:trPr>
        <w:tc>
          <w:tcPr>
            <w:tcW w:type="dxa" w:w="4929"/>
          </w:tcPr>
          <w:p>
            <w:r>
              <w:rPr>
                <w:rFonts w:ascii="Arial" w:hAnsi="Arial"/>
                <w:b/>
                <w:sz w:val="18"/>
              </w:rPr>
              <w:t>Parceiros / consultoria</w:t>
            </w:r>
          </w:p>
        </w:tc>
        <w:tc>
          <w:tcPr>
            <w:tcW w:type="dxa" w:w="4929"/>
          </w:tcPr>
          <w:p>
            <w:r>
              <w:rPr>
                <w:rFonts w:ascii="Arial" w:hAnsi="Arial"/>
                <w:sz w:val="18"/>
              </w:rPr>
              <w:t>Metodologia replicável, capacidade de comparar maturidade e acelerar diagnósticos e implantações.</w:t>
            </w:r>
          </w:p>
        </w:tc>
      </w:tr>
    </w:tbl>
    <w:p>
      <w:pPr>
        <w:pStyle w:val="Heading2"/>
      </w:pPr>
      <w:r>
        <w:t>2.5 O que a solução não é</w:t>
      </w:r>
    </w:p>
    <w:p>
      <w:pPr>
        <w:pStyle w:val="ListBullet"/>
      </w:pPr>
      <w:r>
        <w:t>Não é somente um LMS/AVA de cursos.</w:t>
      </w:r>
    </w:p>
    <w:p>
      <w:pPr>
        <w:pStyle w:val="ListBullet"/>
      </w:pPr>
      <w:r>
        <w:t>Não é somente um BI com gráficos.</w:t>
      </w:r>
    </w:p>
    <w:p>
      <w:pPr>
        <w:pStyle w:val="ListBullet"/>
      </w:pPr>
      <w:r>
        <w:t>Não é um sistema de protocolo documental genérico.</w:t>
      </w:r>
    </w:p>
    <w:p>
      <w:pPr>
        <w:pStyle w:val="ListBullet"/>
      </w:pPr>
      <w:r>
        <w:t>Não substitui sistemas oficiais do MEC, Inep, FNDE ou do Estado.</w:t>
      </w:r>
    </w:p>
    <w:p>
      <w:pPr>
        <w:pStyle w:val="ListBullet"/>
      </w:pPr>
      <w:r>
        <w:t>Não garante habilitação, repasses ou melhoria de indicadores por si só.</w:t>
      </w:r>
    </w:p>
    <w:p>
      <w:pPr>
        <w:pStyle w:val="ListBullet"/>
      </w:pPr>
      <w:r>
        <w:t>Não elimina a autonomia do sistema municipal de ensino nem a competência dos conselhos e gestores.</w:t>
      </w:r>
    </w:p>
    <w:p>
      <w:pPr>
        <w:pStyle w:val="Heading1"/>
      </w:pPr>
      <w:r>
        <w:t>3. Estratégia de produto e arquitetura de negócio</w:t>
      </w:r>
    </w:p>
    <w:p>
      <w:pPr>
        <w:pStyle w:val="Heading2"/>
      </w:pPr>
      <w:r>
        <w:t>3.1 Estratégia de entrada pela dor municipal</w:t>
      </w:r>
    </w:p>
    <w:p>
      <w:r>
        <w:t>A comercialização deve partir de uma pergunta simples: “Qual é a prioridade que a Secretaria precisa resolver agora?”. A resposta define o módulo de entrada. Após a implantação, o diagnóstico revela necessidades adjacentes, permitindo expansão orgânica do relacionamento.</w:t>
      </w:r>
    </w:p>
    <w:tbl>
      <w:tblPr>
        <w:tblStyle w:val="TableGrid"/>
        <w:tblW w:type="auto" w:w="0"/>
        <w:jc w:val="center"/>
        <w:tblLook w:firstColumn="1" w:firstRow="1" w:lastColumn="0" w:lastRow="0" w:noHBand="0" w:noVBand="1" w:val="04A0"/>
      </w:tblPr>
      <w:tblGrid>
        <w:gridCol w:w="3286"/>
        <w:gridCol w:w="3286"/>
        <w:gridCol w:w="3286"/>
      </w:tblGrid>
      <w:tr>
        <w:trPr>
          <w:tblHeader w:val="true"/>
          <w:cantSplit/>
        </w:trPr>
        <w:tc>
          <w:tcPr>
            <w:tcW w:type="dxa" w:w="2551"/>
            <w:shd w:fill="17365D"/>
          </w:tcPr>
          <w:p>
            <w:pPr>
              <w:keepNext/>
            </w:pPr>
            <w:r>
              <w:rPr>
                <w:rFonts w:ascii="Arial" w:hAnsi="Arial"/>
                <w:b/>
                <w:color w:val="FFFFFF"/>
                <w:sz w:val="18"/>
              </w:rPr>
              <w:t>Dor / gatilho</w:t>
            </w:r>
          </w:p>
        </w:tc>
        <w:tc>
          <w:tcPr>
            <w:tcW w:type="dxa" w:w="3969"/>
            <w:shd w:fill="17365D"/>
          </w:tcPr>
          <w:p>
            <w:pPr>
              <w:keepNext/>
            </w:pPr>
            <w:r>
              <w:rPr>
                <w:rFonts w:ascii="Arial" w:hAnsi="Arial"/>
                <w:b/>
                <w:color w:val="FFFFFF"/>
                <w:sz w:val="18"/>
              </w:rPr>
              <w:t>Módulos prováveis</w:t>
            </w:r>
          </w:p>
        </w:tc>
        <w:tc>
          <w:tcPr>
            <w:tcW w:type="dxa" w:w="2551"/>
            <w:shd w:fill="17365D"/>
          </w:tcPr>
          <w:p>
            <w:pPr>
              <w:keepNext/>
            </w:pPr>
            <w:r>
              <w:rPr>
                <w:rFonts w:ascii="Arial" w:hAnsi="Arial"/>
                <w:b/>
                <w:color w:val="FFFFFF"/>
                <w:sz w:val="18"/>
              </w:rPr>
              <w:t>Proposta de valor</w:t>
            </w:r>
          </w:p>
        </w:tc>
      </w:tr>
      <w:tr>
        <w:trPr>
          <w:cantSplit/>
        </w:trPr>
        <w:tc>
          <w:tcPr>
            <w:tcW w:type="dxa" w:w="3286"/>
          </w:tcPr>
          <w:p>
            <w:r>
              <w:rPr>
                <w:rFonts w:ascii="Arial" w:hAnsi="Arial"/>
                <w:b/>
                <w:sz w:val="18"/>
              </w:rPr>
              <w:t>Risco regulatório / prazo</w:t>
            </w:r>
          </w:p>
        </w:tc>
        <w:tc>
          <w:tcPr>
            <w:tcW w:type="dxa" w:w="3286"/>
          </w:tcPr>
          <w:p>
            <w:r>
              <w:rPr>
                <w:rFonts w:ascii="Arial" w:hAnsi="Arial"/>
                <w:sz w:val="18"/>
              </w:rPr>
              <w:t>BNCC Computação; adequação curricular; gestão escolar; documentos e evidências</w:t>
            </w:r>
          </w:p>
        </w:tc>
        <w:tc>
          <w:tcPr>
            <w:tcW w:type="dxa" w:w="3286"/>
          </w:tcPr>
          <w:p>
            <w:r>
              <w:rPr>
                <w:rFonts w:ascii="Arial" w:hAnsi="Arial"/>
                <w:sz w:val="18"/>
              </w:rPr>
              <w:t>Conformidade + implantação</w:t>
            </w:r>
          </w:p>
        </w:tc>
      </w:tr>
      <w:tr>
        <w:trPr>
          <w:cantSplit/>
        </w:trPr>
        <w:tc>
          <w:tcPr>
            <w:tcW w:type="dxa" w:w="3286"/>
          </w:tcPr>
          <w:p>
            <w:r>
              <w:rPr>
                <w:rFonts w:ascii="Arial" w:hAnsi="Arial"/>
                <w:b/>
                <w:sz w:val="18"/>
              </w:rPr>
              <w:t>Risco de perda de oportunidade financeira</w:t>
            </w:r>
          </w:p>
        </w:tc>
        <w:tc>
          <w:tcPr>
            <w:tcW w:type="dxa" w:w="3286"/>
          </w:tcPr>
          <w:p>
            <w:r>
              <w:rPr>
                <w:rFonts w:ascii="Arial" w:hAnsi="Arial"/>
                <w:sz w:val="18"/>
              </w:rPr>
              <w:t>VAAR; tempo integral; programas com transferência; Censo/Siope relacionados ao planejamento</w:t>
            </w:r>
          </w:p>
        </w:tc>
        <w:tc>
          <w:tcPr>
            <w:tcW w:type="dxa" w:w="3286"/>
          </w:tcPr>
          <w:p>
            <w:r>
              <w:rPr>
                <w:rFonts w:ascii="Arial" w:hAnsi="Arial"/>
                <w:sz w:val="18"/>
              </w:rPr>
              <w:t>Habilitação e prontidão — sem promessa de repasse</w:t>
            </w:r>
          </w:p>
        </w:tc>
      </w:tr>
      <w:tr>
        <w:trPr>
          <w:cantSplit/>
        </w:trPr>
        <w:tc>
          <w:tcPr>
            <w:tcW w:type="dxa" w:w="3286"/>
          </w:tcPr>
          <w:p>
            <w:r>
              <w:rPr>
                <w:rFonts w:ascii="Arial" w:hAnsi="Arial"/>
                <w:b/>
                <w:sz w:val="18"/>
              </w:rPr>
              <w:t>Baixo resultado de aprendizagem</w:t>
            </w:r>
          </w:p>
        </w:tc>
        <w:tc>
          <w:tcPr>
            <w:tcW w:type="dxa" w:w="3286"/>
          </w:tcPr>
          <w:p>
            <w:r>
              <w:rPr>
                <w:rFonts w:ascii="Arial" w:hAnsi="Arial"/>
                <w:sz w:val="18"/>
              </w:rPr>
              <w:t>Alfabetização; Saeb/Ideb; avaliação municipal</w:t>
            </w:r>
          </w:p>
        </w:tc>
        <w:tc>
          <w:tcPr>
            <w:tcW w:type="dxa" w:w="3286"/>
          </w:tcPr>
          <w:p>
            <w:r>
              <w:rPr>
                <w:rFonts w:ascii="Arial" w:hAnsi="Arial"/>
                <w:sz w:val="18"/>
              </w:rPr>
              <w:t>Melhoria pedagógica e foco em aprendizagem</w:t>
            </w:r>
          </w:p>
        </w:tc>
      </w:tr>
      <w:tr>
        <w:trPr>
          <w:cantSplit/>
        </w:trPr>
        <w:tc>
          <w:tcPr>
            <w:tcW w:type="dxa" w:w="3286"/>
          </w:tcPr>
          <w:p>
            <w:r>
              <w:rPr>
                <w:rFonts w:ascii="Arial" w:hAnsi="Arial"/>
                <w:b/>
                <w:sz w:val="18"/>
              </w:rPr>
              <w:t>Abandono, frequência ou desigualdade</w:t>
            </w:r>
          </w:p>
        </w:tc>
        <w:tc>
          <w:tcPr>
            <w:tcW w:type="dxa" w:w="3286"/>
          </w:tcPr>
          <w:p>
            <w:r>
              <w:rPr>
                <w:rFonts w:ascii="Arial" w:hAnsi="Arial"/>
                <w:sz w:val="18"/>
              </w:rPr>
              <w:t>Permanência, equidade, busca ativa, atendimento</w:t>
            </w:r>
          </w:p>
        </w:tc>
        <w:tc>
          <w:tcPr>
            <w:tcW w:type="dxa" w:w="3286"/>
          </w:tcPr>
          <w:p>
            <w:r>
              <w:rPr>
                <w:rFonts w:ascii="Arial" w:hAnsi="Arial"/>
                <w:sz w:val="18"/>
              </w:rPr>
              <w:t>Proteção de trajetória e indicadores</w:t>
            </w:r>
          </w:p>
        </w:tc>
      </w:tr>
      <w:tr>
        <w:trPr>
          <w:cantSplit/>
        </w:trPr>
        <w:tc>
          <w:tcPr>
            <w:tcW w:type="dxa" w:w="3286"/>
          </w:tcPr>
          <w:p>
            <w:r>
              <w:rPr>
                <w:rFonts w:ascii="Arial" w:hAnsi="Arial"/>
                <w:b/>
                <w:sz w:val="18"/>
              </w:rPr>
              <w:t>Formações desconectadas</w:t>
            </w:r>
          </w:p>
        </w:tc>
        <w:tc>
          <w:tcPr>
            <w:tcW w:type="dxa" w:w="3286"/>
          </w:tcPr>
          <w:p>
            <w:r>
              <w:rPr>
                <w:rFonts w:ascii="Arial" w:hAnsi="Arial"/>
                <w:sz w:val="18"/>
              </w:rPr>
              <w:t>Gestão da formação continuada</w:t>
            </w:r>
          </w:p>
        </w:tc>
        <w:tc>
          <w:tcPr>
            <w:tcW w:type="dxa" w:w="3286"/>
          </w:tcPr>
          <w:p>
            <w:r>
              <w:rPr>
                <w:rFonts w:ascii="Arial" w:hAnsi="Arial"/>
                <w:sz w:val="18"/>
              </w:rPr>
              <w:t>Desenvolvimento profissional com evidência de aplicação</w:t>
            </w:r>
          </w:p>
        </w:tc>
      </w:tr>
      <w:tr>
        <w:trPr>
          <w:cantSplit/>
        </w:trPr>
        <w:tc>
          <w:tcPr>
            <w:tcW w:type="dxa" w:w="3286"/>
          </w:tcPr>
          <w:p>
            <w:r>
              <w:rPr>
                <w:rFonts w:ascii="Arial" w:hAnsi="Arial"/>
                <w:b/>
                <w:sz w:val="18"/>
              </w:rPr>
              <w:t>Gestão pulverizada</w:t>
            </w:r>
          </w:p>
        </w:tc>
        <w:tc>
          <w:tcPr>
            <w:tcW w:type="dxa" w:w="3286"/>
          </w:tcPr>
          <w:p>
            <w:r>
              <w:rPr>
                <w:rFonts w:ascii="Arial" w:hAnsi="Arial"/>
                <w:sz w:val="18"/>
              </w:rPr>
              <w:t>Portfólio estratégico e painéis executivos</w:t>
            </w:r>
          </w:p>
        </w:tc>
        <w:tc>
          <w:tcPr>
            <w:tcW w:type="dxa" w:w="3286"/>
          </w:tcPr>
          <w:p>
            <w:r>
              <w:rPr>
                <w:rFonts w:ascii="Arial" w:hAnsi="Arial"/>
                <w:sz w:val="18"/>
              </w:rPr>
              <w:t>Eficiência, memória institucional e decisão</w:t>
            </w:r>
          </w:p>
        </w:tc>
      </w:tr>
    </w:tbl>
    <w:p>
      <w:pPr>
        <w:pStyle w:val="Heading2"/>
      </w:pPr>
      <w:r>
        <w:t>3.2 Arquitetura de oferta</w:t>
      </w:r>
    </w:p>
    <w:p>
      <w:r>
        <w:rPr>
          <w:b/>
        </w:rPr>
        <w:t xml:space="preserve">Núcleo comum: </w:t>
      </w:r>
      <w:r>
        <w:t>cadastros, perfis, escolas, profissionais, estudantes quando necessário, documentos, metas, planos, indicadores, evidências, relatórios e auditoria.</w:t>
      </w:r>
    </w:p>
    <w:p>
      <w:r>
        <w:rPr>
          <w:b/>
        </w:rPr>
        <w:t xml:space="preserve">Módulos temáticos: </w:t>
      </w:r>
      <w:r>
        <w:t>regras, checklists, trilhas, indicadores e entregáveis próprios de cada política.</w:t>
      </w:r>
    </w:p>
    <w:p>
      <w:r>
        <w:rPr>
          <w:b/>
        </w:rPr>
        <w:t xml:space="preserve">Serviços especializados: </w:t>
      </w:r>
      <w:r>
        <w:t>diagnóstico, desenho de política, formação, apoio técnico, configuração, integração de dados e acompanhamento.</w:t>
      </w:r>
    </w:p>
    <w:p>
      <w:r>
        <w:rPr>
          <w:b/>
        </w:rPr>
        <w:t xml:space="preserve">Conteúdos e trilhas: </w:t>
      </w:r>
      <w:r>
        <w:t>formações que podem ser produzidas internamente, cocriadas ou integradas a ambientes externos.</w:t>
      </w:r>
    </w:p>
    <w:p>
      <w:r>
        <w:rPr>
          <w:b/>
        </w:rPr>
        <w:t xml:space="preserve">Camada de inteligência: </w:t>
      </w:r>
      <w:r>
        <w:t>comparação temporal, alertas, riscos, priorização e, futuramente, benchmarking anonimizado entre redes aderentes.</w:t>
      </w:r>
    </w:p>
    <w:p>
      <w:pPr>
        <w:pStyle w:val="Heading2"/>
      </w:pPr>
      <w:r>
        <w:t>3.3 Ciclo de expansão comercial</w:t>
      </w:r>
    </w:p>
    <w:tbl>
      <w:tblPr>
        <w:tblStyle w:val="TableGrid"/>
        <w:tblW w:type="auto" w:w="0"/>
        <w:jc w:val="center"/>
        <w:tblLook w:firstColumn="1" w:firstRow="1" w:lastColumn="0" w:lastRow="0" w:noHBand="0" w:noVBand="1" w:val="04A0"/>
      </w:tblPr>
      <w:tblGrid>
        <w:gridCol w:w="1408"/>
        <w:gridCol w:w="1408"/>
        <w:gridCol w:w="1408"/>
        <w:gridCol w:w="1408"/>
        <w:gridCol w:w="1408"/>
        <w:gridCol w:w="1408"/>
        <w:gridCol w:w="1408"/>
      </w:tblGrid>
      <w:tr>
        <w:trPr>
          <w:cantSplit/>
        </w:trPr>
        <w:tc>
          <w:tcPr>
            <w:tcW w:type="dxa" w:w="1408"/>
            <w:shd w:fill="EEF4FA"/>
          </w:tcPr>
          <w:p>
            <w:pPr>
              <w:keepNext/>
              <w:jc w:val="center"/>
            </w:pPr>
            <w:r>
              <w:rPr>
                <w:rFonts w:ascii="Arial" w:hAnsi="Arial"/>
                <w:b/>
                <w:sz w:val="16"/>
              </w:rPr>
              <w:t>Diagnóstico inicial</w:t>
            </w:r>
          </w:p>
        </w:tc>
        <w:tc>
          <w:tcPr>
            <w:tcW w:type="dxa" w:w="1408"/>
            <w:shd w:fill="D9EAF7"/>
          </w:tcPr>
          <w:p>
            <w:pPr>
              <w:keepNext/>
              <w:jc w:val="center"/>
            </w:pPr>
            <w:r>
              <w:rPr>
                <w:rFonts w:ascii="Arial" w:hAnsi="Arial"/>
                <w:b/>
                <w:sz w:val="16"/>
              </w:rPr>
              <w:t>Escolha do módulo prioritário</w:t>
            </w:r>
          </w:p>
        </w:tc>
        <w:tc>
          <w:tcPr>
            <w:tcW w:type="dxa" w:w="1408"/>
            <w:shd w:fill="EEF4FA"/>
          </w:tcPr>
          <w:p>
            <w:pPr>
              <w:keepNext/>
              <w:jc w:val="center"/>
            </w:pPr>
            <w:r>
              <w:rPr>
                <w:rFonts w:ascii="Arial" w:hAnsi="Arial"/>
                <w:b/>
                <w:sz w:val="16"/>
              </w:rPr>
              <w:t>Implantação e entrega de valor</w:t>
            </w:r>
          </w:p>
        </w:tc>
        <w:tc>
          <w:tcPr>
            <w:tcW w:type="dxa" w:w="1408"/>
            <w:shd w:fill="D9EAF7"/>
          </w:tcPr>
          <w:p>
            <w:pPr>
              <w:keepNext/>
              <w:jc w:val="center"/>
            </w:pPr>
            <w:r>
              <w:rPr>
                <w:rFonts w:ascii="Arial" w:hAnsi="Arial"/>
                <w:b/>
                <w:sz w:val="16"/>
              </w:rPr>
              <w:t>Medição de maturidade e resultados</w:t>
            </w:r>
          </w:p>
        </w:tc>
        <w:tc>
          <w:tcPr>
            <w:tcW w:type="dxa" w:w="1408"/>
            <w:shd w:fill="EEF4FA"/>
          </w:tcPr>
          <w:p>
            <w:pPr>
              <w:keepNext/>
              <w:jc w:val="center"/>
            </w:pPr>
            <w:r>
              <w:rPr>
                <w:rFonts w:ascii="Arial" w:hAnsi="Arial"/>
                <w:b/>
                <w:sz w:val="16"/>
              </w:rPr>
              <w:t>Identificação de lacunas adjacentes</w:t>
            </w:r>
          </w:p>
        </w:tc>
        <w:tc>
          <w:tcPr>
            <w:tcW w:type="dxa" w:w="1408"/>
            <w:shd w:fill="D9EAF7"/>
          </w:tcPr>
          <w:p>
            <w:pPr>
              <w:keepNext/>
              <w:jc w:val="center"/>
            </w:pPr>
            <w:r>
              <w:rPr>
                <w:rFonts w:ascii="Arial" w:hAnsi="Arial"/>
                <w:b/>
                <w:sz w:val="16"/>
              </w:rPr>
              <w:t>Expansão de módulos</w:t>
            </w:r>
          </w:p>
        </w:tc>
        <w:tc>
          <w:tcPr>
            <w:tcW w:type="dxa" w:w="1408"/>
            <w:shd w:fill="EEF4FA"/>
          </w:tcPr>
          <w:p>
            <w:pPr>
              <w:keepNext/>
              <w:jc w:val="center"/>
            </w:pPr>
            <w:r>
              <w:rPr>
                <w:rFonts w:ascii="Arial" w:hAnsi="Arial"/>
                <w:b/>
                <w:sz w:val="16"/>
              </w:rPr>
              <w:t>Renovação anual e melhoria contínua</w:t>
            </w:r>
          </w:p>
        </w:tc>
      </w:tr>
    </w:tbl>
    <w:p>
      <w:pPr>
        <w:pStyle w:val="Heading2"/>
      </w:pPr>
      <w:r>
        <w:t>3.4 Hipótese de valor econômico</w:t>
      </w:r>
    </w:p>
    <w:p>
      <w:r>
        <w:t>O retorno do investimento deve ser demonstrado por uma combinação de benefícios, e não por uma promessa de “gerar repasse”. O business case pode considerar: redução de retrabalho, mitigação de risco de inabilitação ou perda de prazos, melhoria de capacidade de captação/execução, redução de dependência de consultorias pontuais, ganho de produtividade da equipe, maior aderência às formações e melhor monitoramento de resultados.</w:t>
      </w:r>
    </w:p>
    <w:p>
      <w:pPr>
        <w:pStyle w:val="Heading1"/>
      </w:pPr>
      <w:r>
        <w:t>4. Método IMPACTA — ciclo de governança educacional</w:t>
      </w:r>
    </w:p>
    <w:p>
      <w:r>
        <w:t>O Método IMPACTA é a assinatura metodológica proposta para a plataforma. Ele organiza a implantação em sete movimentos integrados e repetíveis, podendo ser aplicado a qualquer módulo temático.</w:t>
      </w:r>
    </w:p>
    <w:tbl>
      <w:tblPr>
        <w:tblStyle w:val="TableGrid"/>
        <w:tblW w:type="auto" w:w="0"/>
        <w:jc w:val="center"/>
        <w:tblLook w:firstColumn="1" w:firstRow="1" w:lastColumn="0" w:lastRow="0" w:noHBand="0" w:noVBand="1" w:val="04A0"/>
      </w:tblPr>
      <w:tblGrid>
        <w:gridCol w:w="3286"/>
        <w:gridCol w:w="3286"/>
        <w:gridCol w:w="3286"/>
      </w:tblGrid>
      <w:tr>
        <w:trPr>
          <w:tblHeader w:val="true"/>
          <w:cantSplit/>
        </w:trPr>
        <w:tc>
          <w:tcPr>
            <w:tcW w:type="dxa" w:w="1928"/>
            <w:shd w:fill="17365D"/>
          </w:tcPr>
          <w:p>
            <w:pPr>
              <w:keepNext/>
            </w:pPr>
            <w:r>
              <w:rPr>
                <w:rFonts w:ascii="Arial" w:hAnsi="Arial"/>
                <w:b/>
                <w:color w:val="FFFFFF"/>
                <w:sz w:val="18"/>
              </w:rPr>
              <w:t>Etapa</w:t>
            </w:r>
          </w:p>
        </w:tc>
        <w:tc>
          <w:tcPr>
            <w:tcW w:type="dxa" w:w="4592"/>
            <w:shd w:fill="17365D"/>
          </w:tcPr>
          <w:p>
            <w:pPr>
              <w:keepNext/>
            </w:pPr>
            <w:r>
              <w:rPr>
                <w:rFonts w:ascii="Arial" w:hAnsi="Arial"/>
                <w:b/>
                <w:color w:val="FFFFFF"/>
                <w:sz w:val="18"/>
              </w:rPr>
              <w:t>O que acontece</w:t>
            </w:r>
          </w:p>
        </w:tc>
        <w:tc>
          <w:tcPr>
            <w:tcW w:type="dxa" w:w="2551"/>
            <w:shd w:fill="17365D"/>
          </w:tcPr>
          <w:p>
            <w:pPr>
              <w:keepNext/>
            </w:pPr>
            <w:r>
              <w:rPr>
                <w:rFonts w:ascii="Arial" w:hAnsi="Arial"/>
                <w:b/>
                <w:color w:val="FFFFFF"/>
                <w:sz w:val="18"/>
              </w:rPr>
              <w:t>Saídas mínimas</w:t>
            </w:r>
          </w:p>
        </w:tc>
      </w:tr>
      <w:tr>
        <w:trPr>
          <w:cantSplit/>
        </w:trPr>
        <w:tc>
          <w:tcPr>
            <w:tcW w:type="dxa" w:w="3286"/>
          </w:tcPr>
          <w:p>
            <w:r>
              <w:rPr>
                <w:rFonts w:ascii="Arial" w:hAnsi="Arial"/>
                <w:b/>
                <w:sz w:val="18"/>
              </w:rPr>
              <w:t>I — Identificar</w:t>
            </w:r>
          </w:p>
        </w:tc>
        <w:tc>
          <w:tcPr>
            <w:tcW w:type="dxa" w:w="3286"/>
          </w:tcPr>
          <w:p>
            <w:r>
              <w:rPr>
                <w:rFonts w:ascii="Arial" w:hAnsi="Arial"/>
                <w:sz w:val="18"/>
              </w:rPr>
              <w:t>Identificar a prioridade, a norma, o programa, o risco, o prazo e a pergunta de gestão que justifica a intervenção.</w:t>
            </w:r>
          </w:p>
        </w:tc>
        <w:tc>
          <w:tcPr>
            <w:tcW w:type="dxa" w:w="3286"/>
          </w:tcPr>
          <w:p>
            <w:r>
              <w:rPr>
                <w:rFonts w:ascii="Arial" w:hAnsi="Arial"/>
                <w:sz w:val="18"/>
              </w:rPr>
              <w:t>Briefing executivo; mapa de requisitos; escopo preliminar.</w:t>
            </w:r>
          </w:p>
        </w:tc>
      </w:tr>
      <w:tr>
        <w:trPr>
          <w:cantSplit/>
        </w:trPr>
        <w:tc>
          <w:tcPr>
            <w:tcW w:type="dxa" w:w="3286"/>
          </w:tcPr>
          <w:p>
            <w:r>
              <w:rPr>
                <w:rFonts w:ascii="Arial" w:hAnsi="Arial"/>
                <w:b/>
                <w:sz w:val="18"/>
              </w:rPr>
              <w:t>M — Mapear</w:t>
            </w:r>
          </w:p>
        </w:tc>
        <w:tc>
          <w:tcPr>
            <w:tcW w:type="dxa" w:w="3286"/>
          </w:tcPr>
          <w:p>
            <w:r>
              <w:rPr>
                <w:rFonts w:ascii="Arial" w:hAnsi="Arial"/>
                <w:sz w:val="18"/>
              </w:rPr>
              <w:t>Mapear rede, dados, documentos, capacidades, atores, processos, maturidade e lacunas.</w:t>
            </w:r>
          </w:p>
        </w:tc>
        <w:tc>
          <w:tcPr>
            <w:tcW w:type="dxa" w:w="3286"/>
          </w:tcPr>
          <w:p>
            <w:r>
              <w:rPr>
                <w:rFonts w:ascii="Arial" w:hAnsi="Arial"/>
                <w:sz w:val="18"/>
              </w:rPr>
              <w:t>Diagnóstico municipal; inventário de dados; matriz de maturidade.</w:t>
            </w:r>
          </w:p>
        </w:tc>
      </w:tr>
      <w:tr>
        <w:trPr>
          <w:cantSplit/>
        </w:trPr>
        <w:tc>
          <w:tcPr>
            <w:tcW w:type="dxa" w:w="3286"/>
          </w:tcPr>
          <w:p>
            <w:r>
              <w:rPr>
                <w:rFonts w:ascii="Arial" w:hAnsi="Arial"/>
                <w:b/>
                <w:sz w:val="18"/>
              </w:rPr>
              <w:t>P — Planejar</w:t>
            </w:r>
          </w:p>
        </w:tc>
        <w:tc>
          <w:tcPr>
            <w:tcW w:type="dxa" w:w="3286"/>
          </w:tcPr>
          <w:p>
            <w:r>
              <w:rPr>
                <w:rFonts w:ascii="Arial" w:hAnsi="Arial"/>
                <w:sz w:val="18"/>
              </w:rPr>
              <w:t>Converter lacunas em objetivos, metas, cronograma, responsáveis, indicadores e plano de ação.</w:t>
            </w:r>
          </w:p>
        </w:tc>
        <w:tc>
          <w:tcPr>
            <w:tcW w:type="dxa" w:w="3286"/>
          </w:tcPr>
          <w:p>
            <w:r>
              <w:rPr>
                <w:rFonts w:ascii="Arial" w:hAnsi="Arial"/>
                <w:sz w:val="18"/>
              </w:rPr>
              <w:t>Plano municipal do módulo; matriz de metas; calendário.</w:t>
            </w:r>
          </w:p>
        </w:tc>
      </w:tr>
      <w:tr>
        <w:trPr>
          <w:cantSplit/>
        </w:trPr>
        <w:tc>
          <w:tcPr>
            <w:tcW w:type="dxa" w:w="3286"/>
          </w:tcPr>
          <w:p>
            <w:r>
              <w:rPr>
                <w:rFonts w:ascii="Arial" w:hAnsi="Arial"/>
                <w:b/>
                <w:sz w:val="18"/>
              </w:rPr>
              <w:t>A — Articular</w:t>
            </w:r>
          </w:p>
        </w:tc>
        <w:tc>
          <w:tcPr>
            <w:tcW w:type="dxa" w:w="3286"/>
          </w:tcPr>
          <w:p>
            <w:r>
              <w:rPr>
                <w:rFonts w:ascii="Arial" w:hAnsi="Arial"/>
                <w:sz w:val="18"/>
              </w:rPr>
              <w:t>Definir governança, atos normativos, responsabilidades, fluxos, comunicação, integrações e instâncias decisórias.</w:t>
            </w:r>
          </w:p>
        </w:tc>
        <w:tc>
          <w:tcPr>
            <w:tcW w:type="dxa" w:w="3286"/>
          </w:tcPr>
          <w:p>
            <w:r>
              <w:rPr>
                <w:rFonts w:ascii="Arial" w:hAnsi="Arial"/>
                <w:sz w:val="18"/>
              </w:rPr>
              <w:t>RACI; fluxos; minutas/checklists; estrutura de governança.</w:t>
            </w:r>
          </w:p>
        </w:tc>
      </w:tr>
      <w:tr>
        <w:trPr>
          <w:cantSplit/>
        </w:trPr>
        <w:tc>
          <w:tcPr>
            <w:tcW w:type="dxa" w:w="3286"/>
          </w:tcPr>
          <w:p>
            <w:r>
              <w:rPr>
                <w:rFonts w:ascii="Arial" w:hAnsi="Arial"/>
                <w:b/>
                <w:sz w:val="18"/>
              </w:rPr>
              <w:t>C — Capacitar</w:t>
            </w:r>
          </w:p>
        </w:tc>
        <w:tc>
          <w:tcPr>
            <w:tcW w:type="dxa" w:w="3286"/>
          </w:tcPr>
          <w:p>
            <w:r>
              <w:rPr>
                <w:rFonts w:ascii="Arial" w:hAnsi="Arial"/>
                <w:sz w:val="18"/>
              </w:rPr>
              <w:t>Desenvolver as competências necessárias para que técnicos, gestores e professores executem a política.</w:t>
            </w:r>
          </w:p>
        </w:tc>
        <w:tc>
          <w:tcPr>
            <w:tcW w:type="dxa" w:w="3286"/>
          </w:tcPr>
          <w:p>
            <w:r>
              <w:rPr>
                <w:rFonts w:ascii="Arial" w:hAnsi="Arial"/>
                <w:sz w:val="18"/>
              </w:rPr>
              <w:t>Trilhas; formações; avaliação diagnóstica e final; certificação.</w:t>
            </w:r>
          </w:p>
        </w:tc>
      </w:tr>
      <w:tr>
        <w:trPr>
          <w:cantSplit/>
        </w:trPr>
        <w:tc>
          <w:tcPr>
            <w:tcW w:type="dxa" w:w="3286"/>
          </w:tcPr>
          <w:p>
            <w:r>
              <w:rPr>
                <w:rFonts w:ascii="Arial" w:hAnsi="Arial"/>
                <w:b/>
                <w:sz w:val="18"/>
              </w:rPr>
              <w:t>T — Transformar</w:t>
            </w:r>
          </w:p>
        </w:tc>
        <w:tc>
          <w:tcPr>
            <w:tcW w:type="dxa" w:w="3286"/>
          </w:tcPr>
          <w:p>
            <w:r>
              <w:rPr>
                <w:rFonts w:ascii="Arial" w:hAnsi="Arial"/>
                <w:sz w:val="18"/>
              </w:rPr>
              <w:t>Levar a política à escola e à prática: currículo, PPP, planejamento, rotina, ações, projetos e acompanhamento.</w:t>
            </w:r>
          </w:p>
        </w:tc>
        <w:tc>
          <w:tcPr>
            <w:tcW w:type="dxa" w:w="3286"/>
          </w:tcPr>
          <w:p>
            <w:r>
              <w:rPr>
                <w:rFonts w:ascii="Arial" w:hAnsi="Arial"/>
                <w:sz w:val="18"/>
              </w:rPr>
              <w:t>Plano de implementação por escola; evidências; apoio técnico.</w:t>
            </w:r>
          </w:p>
        </w:tc>
      </w:tr>
      <w:tr>
        <w:trPr>
          <w:cantSplit/>
        </w:trPr>
        <w:tc>
          <w:tcPr>
            <w:tcW w:type="dxa" w:w="3286"/>
          </w:tcPr>
          <w:p>
            <w:r>
              <w:rPr>
                <w:rFonts w:ascii="Arial" w:hAnsi="Arial"/>
                <w:b/>
                <w:sz w:val="18"/>
              </w:rPr>
              <w:t>A — Acompanhar</w:t>
            </w:r>
          </w:p>
        </w:tc>
        <w:tc>
          <w:tcPr>
            <w:tcW w:type="dxa" w:w="3286"/>
          </w:tcPr>
          <w:p>
            <w:r>
              <w:rPr>
                <w:rFonts w:ascii="Arial" w:hAnsi="Arial"/>
                <w:sz w:val="18"/>
              </w:rPr>
              <w:t>Monitorar execução, evidências e resultados; gerar alertas, relatórios, revisão de metas e novo ciclo.</w:t>
            </w:r>
          </w:p>
        </w:tc>
        <w:tc>
          <w:tcPr>
            <w:tcW w:type="dxa" w:w="3286"/>
          </w:tcPr>
          <w:p>
            <w:r>
              <w:rPr>
                <w:rFonts w:ascii="Arial" w:hAnsi="Arial"/>
                <w:sz w:val="18"/>
              </w:rPr>
              <w:t>Dashboard; relatórios; matriz de risco; plano de melhoria contínua.</w:t>
            </w:r>
          </w:p>
        </w:tc>
      </w:tr>
    </w:tbl>
    <w:p>
      <w:pPr>
        <w:pStyle w:val="Heading2"/>
      </w:pPr>
      <w:r>
        <w:t>4.1 Regras do método</w:t>
      </w:r>
    </w:p>
    <w:p>
      <w:pPr>
        <w:pStyle w:val="ListBullet"/>
      </w:pPr>
      <w:r>
        <w:t>Nenhum módulo inicia pela tecnologia: inicia pela pergunta de gestão e pelo diagnóstico.</w:t>
      </w:r>
    </w:p>
    <w:p>
      <w:pPr>
        <w:pStyle w:val="ListBullet"/>
      </w:pPr>
      <w:r>
        <w:t>Toda exigência normativa relevante deve ser convertida em requisito verificável.</w:t>
      </w:r>
    </w:p>
    <w:p>
      <w:pPr>
        <w:pStyle w:val="ListBullet"/>
      </w:pPr>
      <w:r>
        <w:t>Todo requisito deve possuir responsável, prazo, evidência e status.</w:t>
      </w:r>
    </w:p>
    <w:p>
      <w:pPr>
        <w:pStyle w:val="ListBullet"/>
      </w:pPr>
      <w:r>
        <w:t>Toda formação deve declarar a competência pretendida e a evidência de aplicação esperada.</w:t>
      </w:r>
    </w:p>
    <w:p>
      <w:pPr>
        <w:pStyle w:val="ListBullet"/>
      </w:pPr>
      <w:r>
        <w:t>Todo indicador precisa ter definição, fonte, periodicidade, responsável e uso decisório.</w:t>
      </w:r>
    </w:p>
    <w:p>
      <w:pPr>
        <w:pStyle w:val="ListBullet"/>
      </w:pPr>
      <w:r>
        <w:t>Toda implantação deve prever um momento de revisão e aprendizado para o ciclo seguinte.</w:t>
      </w:r>
    </w:p>
    <w:p>
      <w:pPr>
        <w:pStyle w:val="Heading2"/>
      </w:pPr>
      <w:r>
        <w:t>4.2 Produto mínimo de cada etapa</w:t>
      </w:r>
    </w:p>
    <w:tbl>
      <w:tblPr>
        <w:tblStyle w:val="TableGrid"/>
        <w:tblW w:type="auto" w:w="0"/>
        <w:jc w:val="center"/>
        <w:tblLook w:firstColumn="1" w:firstRow="1" w:lastColumn="0" w:lastRow="0" w:noHBand="0" w:noVBand="1" w:val="04A0"/>
      </w:tblPr>
      <w:tblGrid>
        <w:gridCol w:w="4929"/>
        <w:gridCol w:w="4929"/>
      </w:tblGrid>
      <w:tr>
        <w:trPr>
          <w:tblHeader w:val="true"/>
          <w:cantSplit/>
        </w:trPr>
        <w:tc>
          <w:tcPr>
            <w:tcW w:type="dxa" w:w="2381"/>
            <w:shd w:fill="0F6B6D"/>
          </w:tcPr>
          <w:p>
            <w:pPr>
              <w:keepNext/>
            </w:pPr>
            <w:r>
              <w:rPr>
                <w:rFonts w:ascii="Arial" w:hAnsi="Arial"/>
                <w:b/>
                <w:color w:val="FFFFFF"/>
                <w:sz w:val="18"/>
              </w:rPr>
              <w:t>Etapa</w:t>
            </w:r>
          </w:p>
        </w:tc>
        <w:tc>
          <w:tcPr>
            <w:tcW w:type="dxa" w:w="6690"/>
            <w:shd w:fill="0F6B6D"/>
          </w:tcPr>
          <w:p>
            <w:pPr>
              <w:keepNext/>
            </w:pPr>
            <w:r>
              <w:rPr>
                <w:rFonts w:ascii="Arial" w:hAnsi="Arial"/>
                <w:b/>
                <w:color w:val="FFFFFF"/>
                <w:sz w:val="18"/>
              </w:rPr>
              <w:t>Produto mínimo</w:t>
            </w:r>
          </w:p>
        </w:tc>
      </w:tr>
      <w:tr>
        <w:trPr>
          <w:cantSplit/>
        </w:trPr>
        <w:tc>
          <w:tcPr>
            <w:tcW w:type="dxa" w:w="4929"/>
          </w:tcPr>
          <w:p>
            <w:r>
              <w:rPr>
                <w:rFonts w:ascii="Arial" w:hAnsi="Arial"/>
                <w:b/>
                <w:sz w:val="18"/>
              </w:rPr>
              <w:t>Identificar</w:t>
            </w:r>
          </w:p>
        </w:tc>
        <w:tc>
          <w:tcPr>
            <w:tcW w:type="dxa" w:w="4929"/>
          </w:tcPr>
          <w:p>
            <w:r>
              <w:rPr>
                <w:rFonts w:ascii="Arial" w:hAnsi="Arial"/>
                <w:sz w:val="18"/>
              </w:rPr>
              <w:t>1 ficha de prioridade + 1 mapa de requisitos</w:t>
            </w:r>
          </w:p>
        </w:tc>
      </w:tr>
      <w:tr>
        <w:trPr>
          <w:cantSplit/>
        </w:trPr>
        <w:tc>
          <w:tcPr>
            <w:tcW w:type="dxa" w:w="4929"/>
          </w:tcPr>
          <w:p>
            <w:r>
              <w:rPr>
                <w:rFonts w:ascii="Arial" w:hAnsi="Arial"/>
                <w:b/>
                <w:sz w:val="18"/>
              </w:rPr>
              <w:t>Mapear</w:t>
            </w:r>
          </w:p>
        </w:tc>
        <w:tc>
          <w:tcPr>
            <w:tcW w:type="dxa" w:w="4929"/>
          </w:tcPr>
          <w:p>
            <w:r>
              <w:rPr>
                <w:rFonts w:ascii="Arial" w:hAnsi="Arial"/>
                <w:sz w:val="18"/>
              </w:rPr>
              <w:t>1 diagnóstico + 1 mapa de dados</w:t>
            </w:r>
          </w:p>
        </w:tc>
      </w:tr>
      <w:tr>
        <w:trPr>
          <w:cantSplit/>
        </w:trPr>
        <w:tc>
          <w:tcPr>
            <w:tcW w:type="dxa" w:w="4929"/>
          </w:tcPr>
          <w:p>
            <w:r>
              <w:rPr>
                <w:rFonts w:ascii="Arial" w:hAnsi="Arial"/>
                <w:b/>
                <w:sz w:val="18"/>
              </w:rPr>
              <w:t>Planejar</w:t>
            </w:r>
          </w:p>
        </w:tc>
        <w:tc>
          <w:tcPr>
            <w:tcW w:type="dxa" w:w="4929"/>
          </w:tcPr>
          <w:p>
            <w:r>
              <w:rPr>
                <w:rFonts w:ascii="Arial" w:hAnsi="Arial"/>
                <w:sz w:val="18"/>
              </w:rPr>
              <w:t>1 plano com metas e calendário</w:t>
            </w:r>
          </w:p>
        </w:tc>
      </w:tr>
      <w:tr>
        <w:trPr>
          <w:cantSplit/>
        </w:trPr>
        <w:tc>
          <w:tcPr>
            <w:tcW w:type="dxa" w:w="4929"/>
          </w:tcPr>
          <w:p>
            <w:r>
              <w:rPr>
                <w:rFonts w:ascii="Arial" w:hAnsi="Arial"/>
                <w:b/>
                <w:sz w:val="18"/>
              </w:rPr>
              <w:t>Articular</w:t>
            </w:r>
          </w:p>
        </w:tc>
        <w:tc>
          <w:tcPr>
            <w:tcW w:type="dxa" w:w="4929"/>
          </w:tcPr>
          <w:p>
            <w:r>
              <w:rPr>
                <w:rFonts w:ascii="Arial" w:hAnsi="Arial"/>
                <w:sz w:val="18"/>
              </w:rPr>
              <w:t>1 matriz de governança + fluxos</w:t>
            </w:r>
          </w:p>
        </w:tc>
      </w:tr>
      <w:tr>
        <w:trPr>
          <w:cantSplit/>
        </w:trPr>
        <w:tc>
          <w:tcPr>
            <w:tcW w:type="dxa" w:w="4929"/>
          </w:tcPr>
          <w:p>
            <w:r>
              <w:rPr>
                <w:rFonts w:ascii="Arial" w:hAnsi="Arial"/>
                <w:b/>
                <w:sz w:val="18"/>
              </w:rPr>
              <w:t>Capacitar</w:t>
            </w:r>
          </w:p>
        </w:tc>
        <w:tc>
          <w:tcPr>
            <w:tcW w:type="dxa" w:w="4929"/>
          </w:tcPr>
          <w:p>
            <w:r>
              <w:rPr>
                <w:rFonts w:ascii="Arial" w:hAnsi="Arial"/>
                <w:sz w:val="18"/>
              </w:rPr>
              <w:t>1 trilha com avaliação e certificação</w:t>
            </w:r>
          </w:p>
        </w:tc>
      </w:tr>
      <w:tr>
        <w:trPr>
          <w:cantSplit/>
        </w:trPr>
        <w:tc>
          <w:tcPr>
            <w:tcW w:type="dxa" w:w="4929"/>
          </w:tcPr>
          <w:p>
            <w:r>
              <w:rPr>
                <w:rFonts w:ascii="Arial" w:hAnsi="Arial"/>
                <w:b/>
                <w:sz w:val="18"/>
              </w:rPr>
              <w:t>Transformar</w:t>
            </w:r>
          </w:p>
        </w:tc>
        <w:tc>
          <w:tcPr>
            <w:tcW w:type="dxa" w:w="4929"/>
          </w:tcPr>
          <w:p>
            <w:r>
              <w:rPr>
                <w:rFonts w:ascii="Arial" w:hAnsi="Arial"/>
                <w:sz w:val="18"/>
              </w:rPr>
              <w:t>1 plano de execução por unidade</w:t>
            </w:r>
          </w:p>
        </w:tc>
      </w:tr>
      <w:tr>
        <w:trPr>
          <w:cantSplit/>
        </w:trPr>
        <w:tc>
          <w:tcPr>
            <w:tcW w:type="dxa" w:w="4929"/>
          </w:tcPr>
          <w:p>
            <w:r>
              <w:rPr>
                <w:rFonts w:ascii="Arial" w:hAnsi="Arial"/>
                <w:b/>
                <w:sz w:val="18"/>
              </w:rPr>
              <w:t>Acompanhar</w:t>
            </w:r>
          </w:p>
        </w:tc>
        <w:tc>
          <w:tcPr>
            <w:tcW w:type="dxa" w:w="4929"/>
          </w:tcPr>
          <w:p>
            <w:r>
              <w:rPr>
                <w:rFonts w:ascii="Arial" w:hAnsi="Arial"/>
                <w:sz w:val="18"/>
              </w:rPr>
              <w:t>1 painel + relatório periódico + plano de melhoria</w:t>
            </w:r>
          </w:p>
        </w:tc>
      </w:tr>
    </w:tbl>
    <w:p>
      <w:pPr>
        <w:pStyle w:val="Heading1"/>
      </w:pPr>
      <w:r>
        <w:t>5. Modelo de diagnóstico e maturidade municipal</w:t>
      </w:r>
    </w:p>
    <w:p>
      <w:pPr>
        <w:pStyle w:val="Heading2"/>
      </w:pPr>
      <w:r>
        <w:t>5.1 Objetivo do diagnóstico</w:t>
      </w:r>
    </w:p>
    <w:p>
      <w:r>
        <w:t>O diagnóstico não deve ser um questionário genérico. Ele precisa responder: onde o município está, qual risco enfrenta, o que já possui, o que falta, qual esforço é necessário, quais dados são confiáveis e qual módulo deve ser priorizado.</w:t>
      </w:r>
    </w:p>
    <w:p>
      <w:pPr>
        <w:pStyle w:val="Heading2"/>
      </w:pPr>
      <w:r>
        <w:t>5.2 Dimensões do diagnóstico</w:t>
      </w:r>
    </w:p>
    <w:tbl>
      <w:tblPr>
        <w:tblStyle w:val="TableGrid"/>
        <w:tblW w:type="auto" w:w="0"/>
        <w:jc w:val="center"/>
        <w:tblLook w:firstColumn="1" w:firstRow="1" w:lastColumn="0" w:lastRow="0" w:noHBand="0" w:noVBand="1" w:val="04A0"/>
      </w:tblPr>
      <w:tblGrid>
        <w:gridCol w:w="4929"/>
        <w:gridCol w:w="4929"/>
      </w:tblGrid>
      <w:tr>
        <w:trPr>
          <w:tblHeader w:val="true"/>
          <w:cantSplit/>
        </w:trPr>
        <w:tc>
          <w:tcPr>
            <w:tcW w:type="dxa" w:w="2835"/>
            <w:shd w:fill="17365D"/>
          </w:tcPr>
          <w:p>
            <w:pPr>
              <w:keepNext/>
            </w:pPr>
            <w:r>
              <w:rPr>
                <w:rFonts w:ascii="Arial" w:hAnsi="Arial"/>
                <w:b/>
                <w:color w:val="FFFFFF"/>
                <w:sz w:val="18"/>
              </w:rPr>
              <w:t>Dimensão</w:t>
            </w:r>
          </w:p>
        </w:tc>
        <w:tc>
          <w:tcPr>
            <w:tcW w:type="dxa" w:w="6236"/>
            <w:shd w:fill="17365D"/>
          </w:tcPr>
          <w:p>
            <w:pPr>
              <w:keepNext/>
            </w:pPr>
            <w:r>
              <w:rPr>
                <w:rFonts w:ascii="Arial" w:hAnsi="Arial"/>
                <w:b/>
                <w:color w:val="FFFFFF"/>
                <w:sz w:val="18"/>
              </w:rPr>
              <w:t>Questões principais</w:t>
            </w:r>
          </w:p>
        </w:tc>
      </w:tr>
      <w:tr>
        <w:trPr>
          <w:cantSplit/>
        </w:trPr>
        <w:tc>
          <w:tcPr>
            <w:tcW w:type="dxa" w:w="4929"/>
          </w:tcPr>
          <w:p>
            <w:r>
              <w:rPr>
                <w:rFonts w:ascii="Arial" w:hAnsi="Arial"/>
                <w:b/>
                <w:sz w:val="18"/>
              </w:rPr>
              <w:t>Governança e liderança</w:t>
            </w:r>
          </w:p>
        </w:tc>
        <w:tc>
          <w:tcPr>
            <w:tcW w:type="dxa" w:w="4929"/>
          </w:tcPr>
          <w:p>
            <w:r>
              <w:rPr>
                <w:rFonts w:ascii="Arial" w:hAnsi="Arial"/>
                <w:sz w:val="18"/>
              </w:rPr>
              <w:t>prioridade política, instâncias, responsabilidades, capacidade de decisão e continuidade.</w:t>
            </w:r>
          </w:p>
        </w:tc>
      </w:tr>
      <w:tr>
        <w:trPr>
          <w:cantSplit/>
        </w:trPr>
        <w:tc>
          <w:tcPr>
            <w:tcW w:type="dxa" w:w="4929"/>
          </w:tcPr>
          <w:p>
            <w:r>
              <w:rPr>
                <w:rFonts w:ascii="Arial" w:hAnsi="Arial"/>
                <w:b/>
                <w:sz w:val="18"/>
              </w:rPr>
              <w:t>Normas e conformidade</w:t>
            </w:r>
          </w:p>
        </w:tc>
        <w:tc>
          <w:tcPr>
            <w:tcW w:type="dxa" w:w="4929"/>
          </w:tcPr>
          <w:p>
            <w:r>
              <w:rPr>
                <w:rFonts w:ascii="Arial" w:hAnsi="Arial"/>
                <w:sz w:val="18"/>
              </w:rPr>
              <w:t>leis, resoluções, referenciais, atos, prazos, documentos e sistemas oficiais.</w:t>
            </w:r>
          </w:p>
        </w:tc>
      </w:tr>
      <w:tr>
        <w:trPr>
          <w:cantSplit/>
        </w:trPr>
        <w:tc>
          <w:tcPr>
            <w:tcW w:type="dxa" w:w="4929"/>
          </w:tcPr>
          <w:p>
            <w:r>
              <w:rPr>
                <w:rFonts w:ascii="Arial" w:hAnsi="Arial"/>
                <w:b/>
                <w:sz w:val="18"/>
              </w:rPr>
              <w:t>Currículo e prática pedagógica</w:t>
            </w:r>
          </w:p>
        </w:tc>
        <w:tc>
          <w:tcPr>
            <w:tcW w:type="dxa" w:w="4929"/>
          </w:tcPr>
          <w:p>
            <w:r>
              <w:rPr>
                <w:rFonts w:ascii="Arial" w:hAnsi="Arial"/>
                <w:sz w:val="18"/>
              </w:rPr>
              <w:t>currículo, PPP, planejamento, materiais, rotinas e implementação nas escolas.</w:t>
            </w:r>
          </w:p>
        </w:tc>
      </w:tr>
      <w:tr>
        <w:trPr>
          <w:cantSplit/>
        </w:trPr>
        <w:tc>
          <w:tcPr>
            <w:tcW w:type="dxa" w:w="4929"/>
          </w:tcPr>
          <w:p>
            <w:r>
              <w:rPr>
                <w:rFonts w:ascii="Arial" w:hAnsi="Arial"/>
                <w:b/>
                <w:sz w:val="18"/>
              </w:rPr>
              <w:t>Pessoas e capacidades</w:t>
            </w:r>
          </w:p>
        </w:tc>
        <w:tc>
          <w:tcPr>
            <w:tcW w:type="dxa" w:w="4929"/>
          </w:tcPr>
          <w:p>
            <w:r>
              <w:rPr>
                <w:rFonts w:ascii="Arial" w:hAnsi="Arial"/>
                <w:sz w:val="18"/>
              </w:rPr>
              <w:t>quantitativo, perfis, formação, competências, disponibilidade e necessidade de desenvolvimento.</w:t>
            </w:r>
          </w:p>
        </w:tc>
      </w:tr>
      <w:tr>
        <w:trPr>
          <w:cantSplit/>
        </w:trPr>
        <w:tc>
          <w:tcPr>
            <w:tcW w:type="dxa" w:w="4929"/>
          </w:tcPr>
          <w:p>
            <w:r>
              <w:rPr>
                <w:rFonts w:ascii="Arial" w:hAnsi="Arial"/>
                <w:b/>
                <w:sz w:val="18"/>
              </w:rPr>
              <w:t>Dados e indicadores</w:t>
            </w:r>
          </w:p>
        </w:tc>
        <w:tc>
          <w:tcPr>
            <w:tcW w:type="dxa" w:w="4929"/>
          </w:tcPr>
          <w:p>
            <w:r>
              <w:rPr>
                <w:rFonts w:ascii="Arial" w:hAnsi="Arial"/>
                <w:sz w:val="18"/>
              </w:rPr>
              <w:t>fontes, qualidade, atualização, cruzamentos, dicionário, governança e uso decisório.</w:t>
            </w:r>
          </w:p>
        </w:tc>
      </w:tr>
      <w:tr>
        <w:trPr>
          <w:cantSplit/>
        </w:trPr>
        <w:tc>
          <w:tcPr>
            <w:tcW w:type="dxa" w:w="4929"/>
          </w:tcPr>
          <w:p>
            <w:r>
              <w:rPr>
                <w:rFonts w:ascii="Arial" w:hAnsi="Arial"/>
                <w:b/>
                <w:sz w:val="18"/>
              </w:rPr>
              <w:t>Tecnologia e infraestrutura</w:t>
            </w:r>
          </w:p>
        </w:tc>
        <w:tc>
          <w:tcPr>
            <w:tcW w:type="dxa" w:w="4929"/>
          </w:tcPr>
          <w:p>
            <w:r>
              <w:rPr>
                <w:rFonts w:ascii="Arial" w:hAnsi="Arial"/>
                <w:sz w:val="18"/>
              </w:rPr>
              <w:t>sistemas, conectividade, equipamentos, identidade de usuário, integrações e suporte.</w:t>
            </w:r>
          </w:p>
        </w:tc>
      </w:tr>
      <w:tr>
        <w:trPr>
          <w:cantSplit/>
        </w:trPr>
        <w:tc>
          <w:tcPr>
            <w:tcW w:type="dxa" w:w="4929"/>
          </w:tcPr>
          <w:p>
            <w:r>
              <w:rPr>
                <w:rFonts w:ascii="Arial" w:hAnsi="Arial"/>
                <w:b/>
                <w:sz w:val="18"/>
              </w:rPr>
              <w:t>Monitoramento e evidências</w:t>
            </w:r>
          </w:p>
        </w:tc>
        <w:tc>
          <w:tcPr>
            <w:tcW w:type="dxa" w:w="4929"/>
          </w:tcPr>
          <w:p>
            <w:r>
              <w:rPr>
                <w:rFonts w:ascii="Arial" w:hAnsi="Arial"/>
                <w:sz w:val="18"/>
              </w:rPr>
              <w:t>checklists, registros, documentos, evidências por escola, periodicidade e auditoria.</w:t>
            </w:r>
          </w:p>
        </w:tc>
      </w:tr>
      <w:tr>
        <w:trPr>
          <w:cantSplit/>
        </w:trPr>
        <w:tc>
          <w:tcPr>
            <w:tcW w:type="dxa" w:w="4929"/>
          </w:tcPr>
          <w:p>
            <w:r>
              <w:rPr>
                <w:rFonts w:ascii="Arial" w:hAnsi="Arial"/>
                <w:b/>
                <w:sz w:val="18"/>
              </w:rPr>
              <w:t>Resultados e equidade</w:t>
            </w:r>
          </w:p>
        </w:tc>
        <w:tc>
          <w:tcPr>
            <w:tcW w:type="dxa" w:w="4929"/>
          </w:tcPr>
          <w:p>
            <w:r>
              <w:rPr>
                <w:rFonts w:ascii="Arial" w:hAnsi="Arial"/>
                <w:sz w:val="18"/>
              </w:rPr>
              <w:t>aprendizagem, aprovação, frequência, permanência, participação, desigualdades e metas.</w:t>
            </w:r>
          </w:p>
        </w:tc>
      </w:tr>
      <w:tr>
        <w:trPr>
          <w:cantSplit/>
        </w:trPr>
        <w:tc>
          <w:tcPr>
            <w:tcW w:type="dxa" w:w="4929"/>
          </w:tcPr>
          <w:p>
            <w:r>
              <w:rPr>
                <w:rFonts w:ascii="Arial" w:hAnsi="Arial"/>
                <w:b/>
                <w:sz w:val="18"/>
              </w:rPr>
              <w:t>Sustentabilidade e financiamento</w:t>
            </w:r>
          </w:p>
        </w:tc>
        <w:tc>
          <w:tcPr>
            <w:tcW w:type="dxa" w:w="4929"/>
          </w:tcPr>
          <w:p>
            <w:r>
              <w:rPr>
                <w:rFonts w:ascii="Arial" w:hAnsi="Arial"/>
                <w:sz w:val="18"/>
              </w:rPr>
              <w:t>recursos, contratos, custos recorrentes, programas, riscos e capacidade de manutenção.</w:t>
            </w:r>
          </w:p>
        </w:tc>
      </w:tr>
    </w:tbl>
    <w:p>
      <w:pPr>
        <w:pStyle w:val="Heading2"/>
      </w:pPr>
      <w:r>
        <w:t>5.3 Escala de maturidade</w:t>
      </w:r>
    </w:p>
    <w:tbl>
      <w:tblPr>
        <w:tblStyle w:val="TableGrid"/>
        <w:tblW w:type="auto" w:w="0"/>
        <w:jc w:val="center"/>
        <w:tblLook w:firstColumn="1" w:firstRow="1" w:lastColumn="0" w:lastRow="0" w:noHBand="0" w:noVBand="1" w:val="04A0"/>
      </w:tblPr>
      <w:tblGrid>
        <w:gridCol w:w="4929"/>
        <w:gridCol w:w="4929"/>
      </w:tblGrid>
      <w:tr>
        <w:trPr>
          <w:tblHeader w:val="true"/>
          <w:cantSplit/>
        </w:trPr>
        <w:tc>
          <w:tcPr>
            <w:tcW w:type="dxa" w:w="2438"/>
            <w:shd w:fill="0F6B6D"/>
          </w:tcPr>
          <w:p>
            <w:pPr>
              <w:keepNext/>
            </w:pPr>
            <w:r>
              <w:rPr>
                <w:rFonts w:ascii="Arial" w:hAnsi="Arial"/>
                <w:b/>
                <w:color w:val="FFFFFF"/>
                <w:sz w:val="18"/>
              </w:rPr>
              <w:t>Nível</w:t>
            </w:r>
          </w:p>
        </w:tc>
        <w:tc>
          <w:tcPr>
            <w:tcW w:type="dxa" w:w="6633"/>
            <w:shd w:fill="0F6B6D"/>
          </w:tcPr>
          <w:p>
            <w:pPr>
              <w:keepNext/>
            </w:pPr>
            <w:r>
              <w:rPr>
                <w:rFonts w:ascii="Arial" w:hAnsi="Arial"/>
                <w:b/>
                <w:color w:val="FFFFFF"/>
                <w:sz w:val="18"/>
              </w:rPr>
              <w:t>Descrição</w:t>
            </w:r>
          </w:p>
        </w:tc>
      </w:tr>
      <w:tr>
        <w:trPr>
          <w:cantSplit/>
        </w:trPr>
        <w:tc>
          <w:tcPr>
            <w:tcW w:type="dxa" w:w="4929"/>
          </w:tcPr>
          <w:p>
            <w:r>
              <w:rPr>
                <w:rFonts w:ascii="Arial" w:hAnsi="Arial"/>
                <w:b/>
                <w:sz w:val="18"/>
              </w:rPr>
              <w:t>0 — Inexistente</w:t>
            </w:r>
          </w:p>
        </w:tc>
        <w:tc>
          <w:tcPr>
            <w:tcW w:type="dxa" w:w="4929"/>
          </w:tcPr>
          <w:p>
            <w:r>
              <w:rPr>
                <w:rFonts w:ascii="Arial" w:hAnsi="Arial"/>
                <w:sz w:val="18"/>
              </w:rPr>
              <w:t>Não há política, processo, dado confiável ou responsável definido.</w:t>
            </w:r>
          </w:p>
        </w:tc>
      </w:tr>
      <w:tr>
        <w:trPr>
          <w:cantSplit/>
        </w:trPr>
        <w:tc>
          <w:tcPr>
            <w:tcW w:type="dxa" w:w="4929"/>
          </w:tcPr>
          <w:p>
            <w:r>
              <w:rPr>
                <w:rFonts w:ascii="Arial" w:hAnsi="Arial"/>
                <w:b/>
                <w:sz w:val="18"/>
              </w:rPr>
              <w:t>1 — Reativo</w:t>
            </w:r>
          </w:p>
        </w:tc>
        <w:tc>
          <w:tcPr>
            <w:tcW w:type="dxa" w:w="4929"/>
          </w:tcPr>
          <w:p>
            <w:r>
              <w:rPr>
                <w:rFonts w:ascii="Arial" w:hAnsi="Arial"/>
                <w:sz w:val="18"/>
              </w:rPr>
              <w:t>Ações pontuais, dependentes de pessoas, normalmente acionadas por prazo ou problema.</w:t>
            </w:r>
          </w:p>
        </w:tc>
      </w:tr>
      <w:tr>
        <w:trPr>
          <w:cantSplit/>
        </w:trPr>
        <w:tc>
          <w:tcPr>
            <w:tcW w:type="dxa" w:w="4929"/>
          </w:tcPr>
          <w:p>
            <w:r>
              <w:rPr>
                <w:rFonts w:ascii="Arial" w:hAnsi="Arial"/>
                <w:b/>
                <w:sz w:val="18"/>
              </w:rPr>
              <w:t>2 — Em estruturação</w:t>
            </w:r>
          </w:p>
        </w:tc>
        <w:tc>
          <w:tcPr>
            <w:tcW w:type="dxa" w:w="4929"/>
          </w:tcPr>
          <w:p>
            <w:r>
              <w:rPr>
                <w:rFonts w:ascii="Arial" w:hAnsi="Arial"/>
                <w:sz w:val="18"/>
              </w:rPr>
              <w:t>Existem documentos e iniciativas, mas os fluxos e evidências ainda são parciais.</w:t>
            </w:r>
          </w:p>
        </w:tc>
      </w:tr>
      <w:tr>
        <w:trPr>
          <w:cantSplit/>
        </w:trPr>
        <w:tc>
          <w:tcPr>
            <w:tcW w:type="dxa" w:w="4929"/>
          </w:tcPr>
          <w:p>
            <w:r>
              <w:rPr>
                <w:rFonts w:ascii="Arial" w:hAnsi="Arial"/>
                <w:b/>
                <w:sz w:val="18"/>
              </w:rPr>
              <w:t>3 — Gerenciado</w:t>
            </w:r>
          </w:p>
        </w:tc>
        <w:tc>
          <w:tcPr>
            <w:tcW w:type="dxa" w:w="4929"/>
          </w:tcPr>
          <w:p>
            <w:r>
              <w:rPr>
                <w:rFonts w:ascii="Arial" w:hAnsi="Arial"/>
                <w:sz w:val="18"/>
              </w:rPr>
              <w:t>Processos, responsáveis, calendário e monitoramento estão definidos e utilizados.</w:t>
            </w:r>
          </w:p>
        </w:tc>
      </w:tr>
      <w:tr>
        <w:trPr>
          <w:cantSplit/>
        </w:trPr>
        <w:tc>
          <w:tcPr>
            <w:tcW w:type="dxa" w:w="4929"/>
          </w:tcPr>
          <w:p>
            <w:r>
              <w:rPr>
                <w:rFonts w:ascii="Arial" w:hAnsi="Arial"/>
                <w:b/>
                <w:sz w:val="18"/>
              </w:rPr>
              <w:t>4 — Orientado por dados</w:t>
            </w:r>
          </w:p>
        </w:tc>
        <w:tc>
          <w:tcPr>
            <w:tcW w:type="dxa" w:w="4929"/>
          </w:tcPr>
          <w:p>
            <w:r>
              <w:rPr>
                <w:rFonts w:ascii="Arial" w:hAnsi="Arial"/>
                <w:sz w:val="18"/>
              </w:rPr>
              <w:t>Indicadores e evidências são usados regularmente para priorizar e corrigir a execução.</w:t>
            </w:r>
          </w:p>
        </w:tc>
      </w:tr>
      <w:tr>
        <w:trPr>
          <w:cantSplit/>
        </w:trPr>
        <w:tc>
          <w:tcPr>
            <w:tcW w:type="dxa" w:w="4929"/>
          </w:tcPr>
          <w:p>
            <w:r>
              <w:rPr>
                <w:rFonts w:ascii="Arial" w:hAnsi="Arial"/>
                <w:b/>
                <w:sz w:val="18"/>
              </w:rPr>
              <w:t>5 — Transformador</w:t>
            </w:r>
          </w:p>
        </w:tc>
        <w:tc>
          <w:tcPr>
            <w:tcW w:type="dxa" w:w="4929"/>
          </w:tcPr>
          <w:p>
            <w:r>
              <w:rPr>
                <w:rFonts w:ascii="Arial" w:hAnsi="Arial"/>
                <w:sz w:val="18"/>
              </w:rPr>
              <w:t>A rede aprende com os dados, antecipa riscos, integra políticas e sustenta melhoria contínua.</w:t>
            </w:r>
          </w:p>
        </w:tc>
      </w:tr>
    </w:tbl>
    <w:p>
      <w:pPr>
        <w:pStyle w:val="Heading2"/>
      </w:pPr>
      <w:r>
        <w:t>5.4 Resultado do diagnóstico</w:t>
      </w:r>
    </w:p>
    <w:p>
      <w:r>
        <w:t>O diagnóstico final deve produzir um “Mapa de Prioridades Municipais”, e não apenas uma nota. Cada fragilidade deve receber quatro classificações: criticidade, urgência, esforço e impacto. A priorização pode usar uma pontuação simples, validada com a gestão municipal.</w:t>
      </w:r>
    </w:p>
    <w:tbl>
      <w:tblPr>
        <w:tblStyle w:val="TableGrid"/>
        <w:tblW w:type="auto" w:w="0"/>
        <w:jc w:val="center"/>
        <w:tblLook w:firstColumn="1" w:firstRow="1" w:lastColumn="0" w:lastRow="0" w:noHBand="0" w:noVBand="1" w:val="04A0"/>
      </w:tblPr>
      <w:tblGrid>
        <w:gridCol w:w="4929"/>
        <w:gridCol w:w="4929"/>
      </w:tblGrid>
      <w:tr>
        <w:trPr>
          <w:cantSplit/>
        </w:trPr>
        <w:tc>
          <w:tcPr>
            <w:tcW w:type="dxa" w:w="2381"/>
            <w:shd w:fill="17365D"/>
          </w:tcPr>
          <w:p>
            <w:pPr>
              <w:keepNext/>
            </w:pPr>
            <w:r>
              <w:rPr>
                <w:rFonts w:ascii="Arial" w:hAnsi="Arial"/>
                <w:b/>
                <w:color w:val="FFFFFF"/>
                <w:sz w:val="18"/>
              </w:rPr>
              <w:t>Critério</w:t>
            </w:r>
          </w:p>
        </w:tc>
        <w:tc>
          <w:tcPr>
            <w:tcW w:type="dxa" w:w="6690"/>
            <w:shd w:fill="17365D"/>
          </w:tcPr>
          <w:p>
            <w:pPr>
              <w:keepNext/>
            </w:pPr>
            <w:r>
              <w:rPr>
                <w:rFonts w:ascii="Arial" w:hAnsi="Arial"/>
                <w:b/>
                <w:color w:val="FFFFFF"/>
                <w:sz w:val="18"/>
              </w:rPr>
              <w:t>Pergunta</w:t>
            </w:r>
          </w:p>
        </w:tc>
      </w:tr>
      <w:tr>
        <w:trPr>
          <w:cantSplit/>
        </w:trPr>
        <w:tc>
          <w:tcPr>
            <w:tcW w:type="dxa" w:w="4929"/>
          </w:tcPr>
          <w:p>
            <w:r>
              <w:rPr>
                <w:rFonts w:ascii="Arial" w:hAnsi="Arial"/>
                <w:sz w:val="18"/>
              </w:rPr>
              <w:t>Criticidade</w:t>
            </w:r>
          </w:p>
        </w:tc>
        <w:tc>
          <w:tcPr>
            <w:tcW w:type="dxa" w:w="4929"/>
          </w:tcPr>
          <w:p>
            <w:r>
              <w:rPr>
                <w:rFonts w:ascii="Arial" w:hAnsi="Arial"/>
                <w:sz w:val="18"/>
              </w:rPr>
              <w:t>Qual o dano potencial se nada for feito?</w:t>
            </w:r>
          </w:p>
        </w:tc>
      </w:tr>
      <w:tr>
        <w:trPr>
          <w:cantSplit/>
        </w:trPr>
        <w:tc>
          <w:tcPr>
            <w:tcW w:type="dxa" w:w="4929"/>
          </w:tcPr>
          <w:p>
            <w:r>
              <w:rPr>
                <w:rFonts w:ascii="Arial" w:hAnsi="Arial"/>
                <w:sz w:val="18"/>
              </w:rPr>
              <w:t>Urgência</w:t>
            </w:r>
          </w:p>
        </w:tc>
        <w:tc>
          <w:tcPr>
            <w:tcW w:type="dxa" w:w="4929"/>
          </w:tcPr>
          <w:p>
            <w:r>
              <w:rPr>
                <w:rFonts w:ascii="Arial" w:hAnsi="Arial"/>
                <w:sz w:val="18"/>
              </w:rPr>
              <w:t>Existe prazo, condicionalidade, ciclo de avaliação ou risco imediato?</w:t>
            </w:r>
          </w:p>
        </w:tc>
      </w:tr>
      <w:tr>
        <w:trPr>
          <w:cantSplit/>
        </w:trPr>
        <w:tc>
          <w:tcPr>
            <w:tcW w:type="dxa" w:w="4929"/>
          </w:tcPr>
          <w:p>
            <w:r>
              <w:rPr>
                <w:rFonts w:ascii="Arial" w:hAnsi="Arial"/>
                <w:sz w:val="18"/>
              </w:rPr>
              <w:t>Esforço</w:t>
            </w:r>
          </w:p>
        </w:tc>
        <w:tc>
          <w:tcPr>
            <w:tcW w:type="dxa" w:w="4929"/>
          </w:tcPr>
          <w:p>
            <w:r>
              <w:rPr>
                <w:rFonts w:ascii="Arial" w:hAnsi="Arial"/>
                <w:sz w:val="18"/>
              </w:rPr>
              <w:t>Quanto tempo, dado, decisão, formação e orçamento são necessários?</w:t>
            </w:r>
          </w:p>
        </w:tc>
      </w:tr>
      <w:tr>
        <w:trPr>
          <w:cantSplit/>
        </w:trPr>
        <w:tc>
          <w:tcPr>
            <w:tcW w:type="dxa" w:w="4929"/>
          </w:tcPr>
          <w:p>
            <w:r>
              <w:rPr>
                <w:rFonts w:ascii="Arial" w:hAnsi="Arial"/>
                <w:sz w:val="18"/>
              </w:rPr>
              <w:t>Impacto</w:t>
            </w:r>
          </w:p>
        </w:tc>
        <w:tc>
          <w:tcPr>
            <w:tcW w:type="dxa" w:w="4929"/>
          </w:tcPr>
          <w:p>
            <w:r>
              <w:rPr>
                <w:rFonts w:ascii="Arial" w:hAnsi="Arial"/>
                <w:sz w:val="18"/>
              </w:rPr>
              <w:t>Qual o potencial de benefício para gestão, profissionais, estudantes e sustentabilidade?</w:t>
            </w:r>
          </w:p>
        </w:tc>
      </w:tr>
    </w:tbl>
    <w:p>
      <w:pPr>
        <w:pStyle w:val="Heading1"/>
      </w:pPr>
      <w:r>
        <w:t>6. Governança, papéis e responsabilidades</w:t>
      </w:r>
    </w:p>
    <w:p>
      <w:pPr>
        <w:pStyle w:val="Heading2"/>
      </w:pPr>
      <w:r>
        <w:t>6.1 Estrutura recomendada</w:t>
      </w:r>
    </w:p>
    <w:tbl>
      <w:tblPr>
        <w:tblStyle w:val="TableGrid"/>
        <w:tblW w:type="auto" w:w="0"/>
        <w:jc w:val="center"/>
        <w:tblLook w:firstColumn="1" w:firstRow="1" w:lastColumn="0" w:lastRow="0" w:noHBand="0" w:noVBand="1" w:val="04A0"/>
      </w:tblPr>
      <w:tblGrid>
        <w:gridCol w:w="3286"/>
        <w:gridCol w:w="3286"/>
        <w:gridCol w:w="3286"/>
      </w:tblGrid>
      <w:tr>
        <w:trPr>
          <w:tblHeader w:val="true"/>
          <w:cantSplit/>
        </w:trPr>
        <w:tc>
          <w:tcPr>
            <w:tcW w:type="dxa" w:w="2268"/>
            <w:shd w:fill="17365D"/>
          </w:tcPr>
          <w:p>
            <w:pPr>
              <w:keepNext/>
            </w:pPr>
            <w:r>
              <w:rPr>
                <w:rFonts w:ascii="Arial" w:hAnsi="Arial"/>
                <w:b/>
                <w:color w:val="FFFFFF"/>
                <w:sz w:val="18"/>
              </w:rPr>
              <w:t>Papel</w:t>
            </w:r>
          </w:p>
        </w:tc>
        <w:tc>
          <w:tcPr>
            <w:tcW w:type="dxa" w:w="2268"/>
            <w:shd w:fill="17365D"/>
          </w:tcPr>
          <w:p>
            <w:pPr>
              <w:keepNext/>
            </w:pPr>
            <w:r>
              <w:rPr>
                <w:rFonts w:ascii="Arial" w:hAnsi="Arial"/>
                <w:b/>
                <w:color w:val="FFFFFF"/>
                <w:sz w:val="18"/>
              </w:rPr>
              <w:t>Quem pode exercer</w:t>
            </w:r>
          </w:p>
        </w:tc>
        <w:tc>
          <w:tcPr>
            <w:tcW w:type="dxa" w:w="4535"/>
            <w:shd w:fill="17365D"/>
          </w:tcPr>
          <w:p>
            <w:pPr>
              <w:keepNext/>
            </w:pPr>
            <w:r>
              <w:rPr>
                <w:rFonts w:ascii="Arial" w:hAnsi="Arial"/>
                <w:b/>
                <w:color w:val="FFFFFF"/>
                <w:sz w:val="18"/>
              </w:rPr>
              <w:t>Responsabilidade</w:t>
            </w:r>
          </w:p>
        </w:tc>
      </w:tr>
      <w:tr>
        <w:trPr>
          <w:cantSplit/>
        </w:trPr>
        <w:tc>
          <w:tcPr>
            <w:tcW w:type="dxa" w:w="3286"/>
          </w:tcPr>
          <w:p>
            <w:r>
              <w:rPr>
                <w:rFonts w:ascii="Arial" w:hAnsi="Arial"/>
                <w:b/>
                <w:sz w:val="18"/>
              </w:rPr>
              <w:t>Patrocinador executivo</w:t>
            </w:r>
          </w:p>
        </w:tc>
        <w:tc>
          <w:tcPr>
            <w:tcW w:type="dxa" w:w="3286"/>
          </w:tcPr>
          <w:p>
            <w:r>
              <w:rPr>
                <w:rFonts w:ascii="Arial" w:hAnsi="Arial"/>
                <w:sz w:val="18"/>
              </w:rPr>
              <w:t>Prefeito, secretário ou liderança designada</w:t>
            </w:r>
          </w:p>
        </w:tc>
        <w:tc>
          <w:tcPr>
            <w:tcW w:type="dxa" w:w="3286"/>
          </w:tcPr>
          <w:p>
            <w:r>
              <w:rPr>
                <w:rFonts w:ascii="Arial" w:hAnsi="Arial"/>
                <w:sz w:val="18"/>
              </w:rPr>
              <w:t>priorização, patrocínio, decisões de alto nível e remoção de impedimentos.</w:t>
            </w:r>
          </w:p>
        </w:tc>
      </w:tr>
      <w:tr>
        <w:trPr>
          <w:cantSplit/>
        </w:trPr>
        <w:tc>
          <w:tcPr>
            <w:tcW w:type="dxa" w:w="3286"/>
          </w:tcPr>
          <w:p>
            <w:r>
              <w:rPr>
                <w:rFonts w:ascii="Arial" w:hAnsi="Arial"/>
                <w:b/>
                <w:sz w:val="18"/>
              </w:rPr>
              <w:t>Comitê de governança</w:t>
            </w:r>
          </w:p>
        </w:tc>
        <w:tc>
          <w:tcPr>
            <w:tcW w:type="dxa" w:w="3286"/>
          </w:tcPr>
          <w:p>
            <w:r>
              <w:rPr>
                <w:rFonts w:ascii="Arial" w:hAnsi="Arial"/>
                <w:sz w:val="18"/>
              </w:rPr>
              <w:t>Secretaria + áreas relacionadas</w:t>
            </w:r>
          </w:p>
        </w:tc>
        <w:tc>
          <w:tcPr>
            <w:tcW w:type="dxa" w:w="3286"/>
          </w:tcPr>
          <w:p>
            <w:r>
              <w:rPr>
                <w:rFonts w:ascii="Arial" w:hAnsi="Arial"/>
                <w:sz w:val="18"/>
              </w:rPr>
              <w:t>validação de metas, riscos, prazos, políticas e decisões transversais.</w:t>
            </w:r>
          </w:p>
        </w:tc>
      </w:tr>
      <w:tr>
        <w:trPr>
          <w:cantSplit/>
        </w:trPr>
        <w:tc>
          <w:tcPr>
            <w:tcW w:type="dxa" w:w="3286"/>
          </w:tcPr>
          <w:p>
            <w:r>
              <w:rPr>
                <w:rFonts w:ascii="Arial" w:hAnsi="Arial"/>
                <w:b/>
                <w:sz w:val="18"/>
              </w:rPr>
              <w:t>Gestor municipal da plataforma</w:t>
            </w:r>
          </w:p>
        </w:tc>
        <w:tc>
          <w:tcPr>
            <w:tcW w:type="dxa" w:w="3286"/>
          </w:tcPr>
          <w:p>
            <w:r>
              <w:rPr>
                <w:rFonts w:ascii="Arial" w:hAnsi="Arial"/>
                <w:sz w:val="18"/>
              </w:rPr>
              <w:t>servidor/técnico designado</w:t>
            </w:r>
          </w:p>
        </w:tc>
        <w:tc>
          <w:tcPr>
            <w:tcW w:type="dxa" w:w="3286"/>
          </w:tcPr>
          <w:p>
            <w:r>
              <w:rPr>
                <w:rFonts w:ascii="Arial" w:hAnsi="Arial"/>
                <w:sz w:val="18"/>
              </w:rPr>
              <w:t>administração funcional, calendário, permissões, planos, relatórios e coordenação.</w:t>
            </w:r>
          </w:p>
        </w:tc>
      </w:tr>
      <w:tr>
        <w:trPr>
          <w:cantSplit/>
        </w:trPr>
        <w:tc>
          <w:tcPr>
            <w:tcW w:type="dxa" w:w="3286"/>
          </w:tcPr>
          <w:p>
            <w:r>
              <w:rPr>
                <w:rFonts w:ascii="Arial" w:hAnsi="Arial"/>
                <w:b/>
                <w:sz w:val="18"/>
              </w:rPr>
              <w:t>Responsável temático</w:t>
            </w:r>
          </w:p>
        </w:tc>
        <w:tc>
          <w:tcPr>
            <w:tcW w:type="dxa" w:w="3286"/>
          </w:tcPr>
          <w:p>
            <w:r>
              <w:rPr>
                <w:rFonts w:ascii="Arial" w:hAnsi="Arial"/>
                <w:sz w:val="18"/>
              </w:rPr>
              <w:t>coordenação pedagógica/programa</w:t>
            </w:r>
          </w:p>
        </w:tc>
        <w:tc>
          <w:tcPr>
            <w:tcW w:type="dxa" w:w="3286"/>
          </w:tcPr>
          <w:p>
            <w:r>
              <w:rPr>
                <w:rFonts w:ascii="Arial" w:hAnsi="Arial"/>
                <w:sz w:val="18"/>
              </w:rPr>
              <w:t>conteúdo, regras, indicadores, formação e acompanhamento do módulo.</w:t>
            </w:r>
          </w:p>
        </w:tc>
      </w:tr>
      <w:tr>
        <w:trPr>
          <w:cantSplit/>
        </w:trPr>
        <w:tc>
          <w:tcPr>
            <w:tcW w:type="dxa" w:w="3286"/>
          </w:tcPr>
          <w:p>
            <w:r>
              <w:rPr>
                <w:rFonts w:ascii="Arial" w:hAnsi="Arial"/>
                <w:b/>
                <w:sz w:val="18"/>
              </w:rPr>
              <w:t>Gestor escolar</w:t>
            </w:r>
          </w:p>
        </w:tc>
        <w:tc>
          <w:tcPr>
            <w:tcW w:type="dxa" w:w="3286"/>
          </w:tcPr>
          <w:p>
            <w:r>
              <w:rPr>
                <w:rFonts w:ascii="Arial" w:hAnsi="Arial"/>
                <w:sz w:val="18"/>
              </w:rPr>
              <w:t>direção/coordenação</w:t>
            </w:r>
          </w:p>
        </w:tc>
        <w:tc>
          <w:tcPr>
            <w:tcW w:type="dxa" w:w="3286"/>
          </w:tcPr>
          <w:p>
            <w:r>
              <w:rPr>
                <w:rFonts w:ascii="Arial" w:hAnsi="Arial"/>
                <w:sz w:val="18"/>
              </w:rPr>
              <w:t>execução na escola, evidências, acompanhamento dos profissionais e comunicação.</w:t>
            </w:r>
          </w:p>
        </w:tc>
      </w:tr>
      <w:tr>
        <w:trPr>
          <w:cantSplit/>
        </w:trPr>
        <w:tc>
          <w:tcPr>
            <w:tcW w:type="dxa" w:w="3286"/>
          </w:tcPr>
          <w:p>
            <w:r>
              <w:rPr>
                <w:rFonts w:ascii="Arial" w:hAnsi="Arial"/>
                <w:b/>
                <w:sz w:val="18"/>
              </w:rPr>
              <w:t>Profissional participante</w:t>
            </w:r>
          </w:p>
        </w:tc>
        <w:tc>
          <w:tcPr>
            <w:tcW w:type="dxa" w:w="3286"/>
          </w:tcPr>
          <w:p>
            <w:r>
              <w:rPr>
                <w:rFonts w:ascii="Arial" w:hAnsi="Arial"/>
                <w:sz w:val="18"/>
              </w:rPr>
              <w:t>professor/técnico</w:t>
            </w:r>
          </w:p>
        </w:tc>
        <w:tc>
          <w:tcPr>
            <w:tcW w:type="dxa" w:w="3286"/>
          </w:tcPr>
          <w:p>
            <w:r>
              <w:rPr>
                <w:rFonts w:ascii="Arial" w:hAnsi="Arial"/>
                <w:sz w:val="18"/>
              </w:rPr>
              <w:t>formação, práticas, registros, avaliações e evidências previstas.</w:t>
            </w:r>
          </w:p>
        </w:tc>
      </w:tr>
      <w:tr>
        <w:trPr>
          <w:cantSplit/>
        </w:trPr>
        <w:tc>
          <w:tcPr>
            <w:tcW w:type="dxa" w:w="3286"/>
          </w:tcPr>
          <w:p>
            <w:r>
              <w:rPr>
                <w:rFonts w:ascii="Arial" w:hAnsi="Arial"/>
                <w:b/>
                <w:sz w:val="18"/>
              </w:rPr>
              <w:t>Equipe de dados/TI</w:t>
            </w:r>
          </w:p>
        </w:tc>
        <w:tc>
          <w:tcPr>
            <w:tcW w:type="dxa" w:w="3286"/>
          </w:tcPr>
          <w:p>
            <w:r>
              <w:rPr>
                <w:rFonts w:ascii="Arial" w:hAnsi="Arial"/>
                <w:sz w:val="18"/>
              </w:rPr>
              <w:t>municipal e/ou parceira</w:t>
            </w:r>
          </w:p>
        </w:tc>
        <w:tc>
          <w:tcPr>
            <w:tcW w:type="dxa" w:w="3286"/>
          </w:tcPr>
          <w:p>
            <w:r>
              <w:rPr>
                <w:rFonts w:ascii="Arial" w:hAnsi="Arial"/>
                <w:sz w:val="18"/>
              </w:rPr>
              <w:t>integrações, bases, qualidade, segurança e suporte.</w:t>
            </w:r>
          </w:p>
        </w:tc>
      </w:tr>
      <w:tr>
        <w:trPr>
          <w:cantSplit/>
        </w:trPr>
        <w:tc>
          <w:tcPr>
            <w:tcW w:type="dxa" w:w="3286"/>
          </w:tcPr>
          <w:p>
            <w:r>
              <w:rPr>
                <w:rFonts w:ascii="Arial" w:hAnsi="Arial"/>
                <w:b/>
                <w:sz w:val="18"/>
              </w:rPr>
              <w:t>Consultoria/implantação</w:t>
            </w:r>
          </w:p>
        </w:tc>
        <w:tc>
          <w:tcPr>
            <w:tcW w:type="dxa" w:w="3286"/>
          </w:tcPr>
          <w:p>
            <w:r>
              <w:rPr>
                <w:rFonts w:ascii="Arial" w:hAnsi="Arial"/>
                <w:sz w:val="18"/>
              </w:rPr>
              <w:t>fornecedor/parceiro</w:t>
            </w:r>
          </w:p>
        </w:tc>
        <w:tc>
          <w:tcPr>
            <w:tcW w:type="dxa" w:w="3286"/>
          </w:tcPr>
          <w:p>
            <w:r>
              <w:rPr>
                <w:rFonts w:ascii="Arial" w:hAnsi="Arial"/>
                <w:sz w:val="18"/>
              </w:rPr>
              <w:t>diagnóstico, configuração, método, apoio técnico, formação e evolução do produto.</w:t>
            </w:r>
          </w:p>
        </w:tc>
      </w:tr>
    </w:tbl>
    <w:p>
      <w:pPr>
        <w:pStyle w:val="Heading2"/>
      </w:pPr>
      <w:r>
        <w:t>6.2 Matriz RACI simplificada</w:t>
      </w:r>
    </w:p>
    <w:tbl>
      <w:tblPr>
        <w:tblStyle w:val="TableGrid"/>
        <w:tblW w:type="auto" w:w="0"/>
        <w:jc w:val="center"/>
        <w:tblLook w:firstColumn="1" w:firstRow="1" w:lastColumn="0" w:lastRow="0" w:noHBand="0" w:noVBand="1" w:val="04A0"/>
      </w:tblPr>
      <w:tblGrid>
        <w:gridCol w:w="1643"/>
        <w:gridCol w:w="1643"/>
        <w:gridCol w:w="1643"/>
        <w:gridCol w:w="1643"/>
        <w:gridCol w:w="1643"/>
        <w:gridCol w:w="1643"/>
      </w:tblGrid>
      <w:tr>
        <w:trPr>
          <w:tblHeader w:val="true"/>
          <w:cantSplit/>
        </w:trPr>
        <w:tc>
          <w:tcPr>
            <w:tcW w:type="dxa" w:w="2948"/>
            <w:shd w:fill="17365D"/>
          </w:tcPr>
          <w:p>
            <w:pPr>
              <w:keepNext/>
              <w:jc w:val="center"/>
            </w:pPr>
            <w:r>
              <w:rPr>
                <w:rFonts w:ascii="Arial" w:hAnsi="Arial"/>
                <w:b/>
                <w:color w:val="FFFFFF"/>
                <w:sz w:val="18"/>
              </w:rPr>
              <w:t>Atividade</w:t>
            </w:r>
          </w:p>
        </w:tc>
        <w:tc>
          <w:tcPr>
            <w:tcW w:type="dxa" w:w="1191"/>
            <w:shd w:fill="17365D"/>
          </w:tcPr>
          <w:p>
            <w:pPr>
              <w:keepNext/>
              <w:jc w:val="center"/>
            </w:pPr>
            <w:r>
              <w:rPr>
                <w:rFonts w:ascii="Arial" w:hAnsi="Arial"/>
                <w:b/>
                <w:color w:val="FFFFFF"/>
                <w:sz w:val="18"/>
              </w:rPr>
              <w:t>Patrocinador</w:t>
            </w:r>
          </w:p>
        </w:tc>
        <w:tc>
          <w:tcPr>
            <w:tcW w:type="dxa" w:w="1191"/>
            <w:shd w:fill="17365D"/>
          </w:tcPr>
          <w:p>
            <w:pPr>
              <w:keepNext/>
              <w:jc w:val="center"/>
            </w:pPr>
            <w:r>
              <w:rPr>
                <w:rFonts w:ascii="Arial" w:hAnsi="Arial"/>
                <w:b/>
                <w:color w:val="FFFFFF"/>
                <w:sz w:val="18"/>
              </w:rPr>
              <w:t>Comitê</w:t>
            </w:r>
          </w:p>
        </w:tc>
        <w:tc>
          <w:tcPr>
            <w:tcW w:type="dxa" w:w="1191"/>
            <w:shd w:fill="17365D"/>
          </w:tcPr>
          <w:p>
            <w:pPr>
              <w:keepNext/>
              <w:jc w:val="center"/>
            </w:pPr>
            <w:r>
              <w:rPr>
                <w:rFonts w:ascii="Arial" w:hAnsi="Arial"/>
                <w:b/>
                <w:color w:val="FFFFFF"/>
                <w:sz w:val="18"/>
              </w:rPr>
              <w:t>Resp. temático</w:t>
            </w:r>
          </w:p>
        </w:tc>
        <w:tc>
          <w:tcPr>
            <w:tcW w:type="dxa" w:w="1191"/>
            <w:shd w:fill="17365D"/>
          </w:tcPr>
          <w:p>
            <w:pPr>
              <w:keepNext/>
              <w:jc w:val="center"/>
            </w:pPr>
            <w:r>
              <w:rPr>
                <w:rFonts w:ascii="Arial" w:hAnsi="Arial"/>
                <w:b/>
                <w:color w:val="FFFFFF"/>
                <w:sz w:val="18"/>
              </w:rPr>
              <w:t>Gestor escolar</w:t>
            </w:r>
          </w:p>
        </w:tc>
        <w:tc>
          <w:tcPr>
            <w:tcW w:type="dxa" w:w="1191"/>
            <w:shd w:fill="17365D"/>
          </w:tcPr>
          <w:p>
            <w:pPr>
              <w:keepNext/>
              <w:jc w:val="center"/>
            </w:pPr>
            <w:r>
              <w:rPr>
                <w:rFonts w:ascii="Arial" w:hAnsi="Arial"/>
                <w:b/>
                <w:color w:val="FFFFFF"/>
                <w:sz w:val="18"/>
              </w:rPr>
              <w:t>Profissional</w:t>
            </w:r>
          </w:p>
        </w:tc>
      </w:tr>
      <w:tr>
        <w:trPr>
          <w:cantSplit/>
        </w:trPr>
        <w:tc>
          <w:tcPr>
            <w:tcW w:type="dxa" w:w="1643"/>
          </w:tcPr>
          <w:p>
            <w:pPr>
              <w:jc w:val="left"/>
            </w:pPr>
            <w:r>
              <w:rPr>
                <w:rFonts w:ascii="Arial" w:hAnsi="Arial"/>
                <w:b/>
                <w:sz w:val="18"/>
              </w:rPr>
              <w:t>Priorizar módulo</w:t>
            </w:r>
          </w:p>
        </w:tc>
        <w:tc>
          <w:tcPr>
            <w:tcW w:type="dxa" w:w="1643"/>
          </w:tcPr>
          <w:p>
            <w:pPr>
              <w:jc w:val="center"/>
            </w:pPr>
            <w:r>
              <w:rPr>
                <w:rFonts w:ascii="Arial" w:hAnsi="Arial"/>
                <w:sz w:val="18"/>
              </w:rPr>
              <w:t>A</w:t>
            </w:r>
          </w:p>
        </w:tc>
        <w:tc>
          <w:tcPr>
            <w:tcW w:type="dxa" w:w="1643"/>
          </w:tcPr>
          <w:p>
            <w:pPr>
              <w:jc w:val="center"/>
            </w:pPr>
            <w:r>
              <w:rPr>
                <w:rFonts w:ascii="Arial" w:hAnsi="Arial"/>
                <w:sz w:val="18"/>
              </w:rPr>
              <w:t>C</w:t>
            </w:r>
          </w:p>
        </w:tc>
        <w:tc>
          <w:tcPr>
            <w:tcW w:type="dxa" w:w="1643"/>
          </w:tcPr>
          <w:p>
            <w:pPr>
              <w:jc w:val="center"/>
            </w:pPr>
            <w:r>
              <w:rPr>
                <w:rFonts w:ascii="Arial" w:hAnsi="Arial"/>
                <w:sz w:val="18"/>
              </w:rPr>
              <w:t>R</w:t>
            </w:r>
          </w:p>
        </w:tc>
        <w:tc>
          <w:tcPr>
            <w:tcW w:type="dxa" w:w="1643"/>
          </w:tcPr>
          <w:p>
            <w:pPr>
              <w:jc w:val="center"/>
            </w:pPr>
            <w:r>
              <w:rPr>
                <w:rFonts w:ascii="Arial" w:hAnsi="Arial"/>
                <w:sz w:val="18"/>
              </w:rPr>
              <w:t>C</w:t>
            </w:r>
          </w:p>
        </w:tc>
        <w:tc>
          <w:tcPr>
            <w:tcW w:type="dxa" w:w="1643"/>
          </w:tcPr>
          <w:p>
            <w:pPr>
              <w:jc w:val="center"/>
            </w:pPr>
            <w:r>
              <w:rPr>
                <w:rFonts w:ascii="Arial" w:hAnsi="Arial"/>
                <w:sz w:val="18"/>
              </w:rPr>
              <w:t>I</w:t>
            </w:r>
          </w:p>
        </w:tc>
      </w:tr>
      <w:tr>
        <w:trPr>
          <w:cantSplit/>
        </w:trPr>
        <w:tc>
          <w:tcPr>
            <w:tcW w:type="dxa" w:w="1643"/>
          </w:tcPr>
          <w:p>
            <w:pPr>
              <w:jc w:val="left"/>
            </w:pPr>
            <w:r>
              <w:rPr>
                <w:rFonts w:ascii="Arial" w:hAnsi="Arial"/>
                <w:b/>
                <w:sz w:val="18"/>
              </w:rPr>
              <w:t>Validar diagnóstico</w:t>
            </w:r>
          </w:p>
        </w:tc>
        <w:tc>
          <w:tcPr>
            <w:tcW w:type="dxa" w:w="1643"/>
          </w:tcPr>
          <w:p>
            <w:pPr>
              <w:jc w:val="center"/>
            </w:pPr>
            <w:r>
              <w:rPr>
                <w:rFonts w:ascii="Arial" w:hAnsi="Arial"/>
                <w:sz w:val="18"/>
              </w:rPr>
              <w:t>A</w:t>
            </w:r>
          </w:p>
        </w:tc>
        <w:tc>
          <w:tcPr>
            <w:tcW w:type="dxa" w:w="1643"/>
          </w:tcPr>
          <w:p>
            <w:pPr>
              <w:jc w:val="center"/>
            </w:pPr>
            <w:r>
              <w:rPr>
                <w:rFonts w:ascii="Arial" w:hAnsi="Arial"/>
                <w:sz w:val="18"/>
              </w:rPr>
              <w:t>R</w:t>
            </w:r>
          </w:p>
        </w:tc>
        <w:tc>
          <w:tcPr>
            <w:tcW w:type="dxa" w:w="1643"/>
          </w:tcPr>
          <w:p>
            <w:pPr>
              <w:jc w:val="center"/>
            </w:pPr>
            <w:r>
              <w:rPr>
                <w:rFonts w:ascii="Arial" w:hAnsi="Arial"/>
                <w:sz w:val="18"/>
              </w:rPr>
              <w:t>R</w:t>
            </w:r>
          </w:p>
        </w:tc>
        <w:tc>
          <w:tcPr>
            <w:tcW w:type="dxa" w:w="1643"/>
          </w:tcPr>
          <w:p>
            <w:pPr>
              <w:jc w:val="center"/>
            </w:pPr>
            <w:r>
              <w:rPr>
                <w:rFonts w:ascii="Arial" w:hAnsi="Arial"/>
                <w:sz w:val="18"/>
              </w:rPr>
              <w:t>C</w:t>
            </w:r>
          </w:p>
        </w:tc>
        <w:tc>
          <w:tcPr>
            <w:tcW w:type="dxa" w:w="1643"/>
          </w:tcPr>
          <w:p>
            <w:pPr>
              <w:jc w:val="center"/>
            </w:pPr>
            <w:r>
              <w:rPr>
                <w:rFonts w:ascii="Arial" w:hAnsi="Arial"/>
                <w:sz w:val="18"/>
              </w:rPr>
              <w:t>I</w:t>
            </w:r>
          </w:p>
        </w:tc>
      </w:tr>
      <w:tr>
        <w:trPr>
          <w:cantSplit/>
        </w:trPr>
        <w:tc>
          <w:tcPr>
            <w:tcW w:type="dxa" w:w="1643"/>
          </w:tcPr>
          <w:p>
            <w:pPr>
              <w:jc w:val="left"/>
            </w:pPr>
            <w:r>
              <w:rPr>
                <w:rFonts w:ascii="Arial" w:hAnsi="Arial"/>
                <w:b/>
                <w:sz w:val="18"/>
              </w:rPr>
              <w:t>Aprovar plano</w:t>
            </w:r>
          </w:p>
        </w:tc>
        <w:tc>
          <w:tcPr>
            <w:tcW w:type="dxa" w:w="1643"/>
          </w:tcPr>
          <w:p>
            <w:pPr>
              <w:jc w:val="center"/>
            </w:pPr>
            <w:r>
              <w:rPr>
                <w:rFonts w:ascii="Arial" w:hAnsi="Arial"/>
                <w:sz w:val="18"/>
              </w:rPr>
              <w:t>A</w:t>
            </w:r>
          </w:p>
        </w:tc>
        <w:tc>
          <w:tcPr>
            <w:tcW w:type="dxa" w:w="1643"/>
          </w:tcPr>
          <w:p>
            <w:pPr>
              <w:jc w:val="center"/>
            </w:pPr>
            <w:r>
              <w:rPr>
                <w:rFonts w:ascii="Arial" w:hAnsi="Arial"/>
                <w:sz w:val="18"/>
              </w:rPr>
              <w:t>R</w:t>
            </w:r>
          </w:p>
        </w:tc>
        <w:tc>
          <w:tcPr>
            <w:tcW w:type="dxa" w:w="1643"/>
          </w:tcPr>
          <w:p>
            <w:pPr>
              <w:jc w:val="center"/>
            </w:pPr>
            <w:r>
              <w:rPr>
                <w:rFonts w:ascii="Arial" w:hAnsi="Arial"/>
                <w:sz w:val="18"/>
              </w:rPr>
              <w:t>C</w:t>
            </w:r>
          </w:p>
        </w:tc>
        <w:tc>
          <w:tcPr>
            <w:tcW w:type="dxa" w:w="1643"/>
          </w:tcPr>
          <w:p>
            <w:pPr>
              <w:jc w:val="center"/>
            </w:pPr>
            <w:r>
              <w:rPr>
                <w:rFonts w:ascii="Arial" w:hAnsi="Arial"/>
                <w:sz w:val="18"/>
              </w:rPr>
              <w:t>C</w:t>
            </w:r>
          </w:p>
        </w:tc>
        <w:tc>
          <w:tcPr>
            <w:tcW w:type="dxa" w:w="1643"/>
          </w:tcPr>
          <w:p>
            <w:pPr>
              <w:jc w:val="center"/>
            </w:pPr>
            <w:r>
              <w:rPr>
                <w:rFonts w:ascii="Arial" w:hAnsi="Arial"/>
                <w:sz w:val="18"/>
              </w:rPr>
              <w:t>I</w:t>
            </w:r>
          </w:p>
        </w:tc>
      </w:tr>
      <w:tr>
        <w:trPr>
          <w:cantSplit/>
        </w:trPr>
        <w:tc>
          <w:tcPr>
            <w:tcW w:type="dxa" w:w="1643"/>
          </w:tcPr>
          <w:p>
            <w:pPr>
              <w:jc w:val="left"/>
            </w:pPr>
            <w:r>
              <w:rPr>
                <w:rFonts w:ascii="Arial" w:hAnsi="Arial"/>
                <w:b/>
                <w:sz w:val="18"/>
              </w:rPr>
              <w:t>Executar ações na escola</w:t>
            </w:r>
          </w:p>
        </w:tc>
        <w:tc>
          <w:tcPr>
            <w:tcW w:type="dxa" w:w="1643"/>
          </w:tcPr>
          <w:p>
            <w:pPr>
              <w:jc w:val="center"/>
            </w:pPr>
            <w:r>
              <w:rPr>
                <w:rFonts w:ascii="Arial" w:hAnsi="Arial"/>
                <w:sz w:val="18"/>
              </w:rPr>
              <w:t>I</w:t>
            </w:r>
          </w:p>
        </w:tc>
        <w:tc>
          <w:tcPr>
            <w:tcW w:type="dxa" w:w="1643"/>
          </w:tcPr>
          <w:p>
            <w:pPr>
              <w:jc w:val="center"/>
            </w:pPr>
            <w:r>
              <w:rPr>
                <w:rFonts w:ascii="Arial" w:hAnsi="Arial"/>
                <w:sz w:val="18"/>
              </w:rPr>
              <w:t>C</w:t>
            </w:r>
          </w:p>
        </w:tc>
        <w:tc>
          <w:tcPr>
            <w:tcW w:type="dxa" w:w="1643"/>
          </w:tcPr>
          <w:p>
            <w:pPr>
              <w:jc w:val="center"/>
            </w:pPr>
            <w:r>
              <w:rPr>
                <w:rFonts w:ascii="Arial" w:hAnsi="Arial"/>
                <w:sz w:val="18"/>
              </w:rPr>
              <w:t>C</w:t>
            </w:r>
          </w:p>
        </w:tc>
        <w:tc>
          <w:tcPr>
            <w:tcW w:type="dxa" w:w="1643"/>
          </w:tcPr>
          <w:p>
            <w:pPr>
              <w:jc w:val="center"/>
            </w:pPr>
            <w:r>
              <w:rPr>
                <w:rFonts w:ascii="Arial" w:hAnsi="Arial"/>
                <w:sz w:val="18"/>
              </w:rPr>
              <w:t>R</w:t>
            </w:r>
          </w:p>
        </w:tc>
        <w:tc>
          <w:tcPr>
            <w:tcW w:type="dxa" w:w="1643"/>
          </w:tcPr>
          <w:p>
            <w:pPr>
              <w:jc w:val="center"/>
            </w:pPr>
            <w:r>
              <w:rPr>
                <w:rFonts w:ascii="Arial" w:hAnsi="Arial"/>
                <w:sz w:val="18"/>
              </w:rPr>
              <w:t>R</w:t>
            </w:r>
          </w:p>
        </w:tc>
      </w:tr>
      <w:tr>
        <w:trPr>
          <w:cantSplit/>
        </w:trPr>
        <w:tc>
          <w:tcPr>
            <w:tcW w:type="dxa" w:w="1643"/>
          </w:tcPr>
          <w:p>
            <w:pPr>
              <w:jc w:val="left"/>
            </w:pPr>
            <w:r>
              <w:rPr>
                <w:rFonts w:ascii="Arial" w:hAnsi="Arial"/>
                <w:b/>
                <w:sz w:val="18"/>
              </w:rPr>
              <w:t>Gerenciar formação</w:t>
            </w:r>
          </w:p>
        </w:tc>
        <w:tc>
          <w:tcPr>
            <w:tcW w:type="dxa" w:w="1643"/>
          </w:tcPr>
          <w:p>
            <w:pPr>
              <w:jc w:val="center"/>
            </w:pPr>
            <w:r>
              <w:rPr>
                <w:rFonts w:ascii="Arial" w:hAnsi="Arial"/>
                <w:sz w:val="18"/>
              </w:rPr>
              <w:t>I</w:t>
            </w:r>
          </w:p>
        </w:tc>
        <w:tc>
          <w:tcPr>
            <w:tcW w:type="dxa" w:w="1643"/>
          </w:tcPr>
          <w:p>
            <w:pPr>
              <w:jc w:val="center"/>
            </w:pPr>
            <w:r>
              <w:rPr>
                <w:rFonts w:ascii="Arial" w:hAnsi="Arial"/>
                <w:sz w:val="18"/>
              </w:rPr>
              <w:t>C</w:t>
            </w:r>
          </w:p>
        </w:tc>
        <w:tc>
          <w:tcPr>
            <w:tcW w:type="dxa" w:w="1643"/>
          </w:tcPr>
          <w:p>
            <w:pPr>
              <w:jc w:val="center"/>
            </w:pPr>
            <w:r>
              <w:rPr>
                <w:rFonts w:ascii="Arial" w:hAnsi="Arial"/>
                <w:sz w:val="18"/>
              </w:rPr>
              <w:t>R</w:t>
            </w:r>
          </w:p>
        </w:tc>
        <w:tc>
          <w:tcPr>
            <w:tcW w:type="dxa" w:w="1643"/>
          </w:tcPr>
          <w:p>
            <w:pPr>
              <w:jc w:val="center"/>
            </w:pPr>
            <w:r>
              <w:rPr>
                <w:rFonts w:ascii="Arial" w:hAnsi="Arial"/>
                <w:sz w:val="18"/>
              </w:rPr>
              <w:t>C</w:t>
            </w:r>
          </w:p>
        </w:tc>
        <w:tc>
          <w:tcPr>
            <w:tcW w:type="dxa" w:w="1643"/>
          </w:tcPr>
          <w:p>
            <w:pPr>
              <w:jc w:val="center"/>
            </w:pPr>
            <w:r>
              <w:rPr>
                <w:rFonts w:ascii="Arial" w:hAnsi="Arial"/>
                <w:sz w:val="18"/>
              </w:rPr>
              <w:t>R</w:t>
            </w:r>
          </w:p>
        </w:tc>
      </w:tr>
      <w:tr>
        <w:trPr>
          <w:cantSplit/>
        </w:trPr>
        <w:tc>
          <w:tcPr>
            <w:tcW w:type="dxa" w:w="1643"/>
          </w:tcPr>
          <w:p>
            <w:pPr>
              <w:jc w:val="left"/>
            </w:pPr>
            <w:r>
              <w:rPr>
                <w:rFonts w:ascii="Arial" w:hAnsi="Arial"/>
                <w:b/>
                <w:sz w:val="18"/>
              </w:rPr>
              <w:t>Registrar evidências</w:t>
            </w:r>
          </w:p>
        </w:tc>
        <w:tc>
          <w:tcPr>
            <w:tcW w:type="dxa" w:w="1643"/>
          </w:tcPr>
          <w:p>
            <w:pPr>
              <w:jc w:val="center"/>
            </w:pPr>
            <w:r>
              <w:rPr>
                <w:rFonts w:ascii="Arial" w:hAnsi="Arial"/>
                <w:sz w:val="18"/>
              </w:rPr>
              <w:t>I</w:t>
            </w:r>
          </w:p>
        </w:tc>
        <w:tc>
          <w:tcPr>
            <w:tcW w:type="dxa" w:w="1643"/>
          </w:tcPr>
          <w:p>
            <w:pPr>
              <w:jc w:val="center"/>
            </w:pPr>
            <w:r>
              <w:rPr>
                <w:rFonts w:ascii="Arial" w:hAnsi="Arial"/>
                <w:sz w:val="18"/>
              </w:rPr>
              <w:t>C</w:t>
            </w:r>
          </w:p>
        </w:tc>
        <w:tc>
          <w:tcPr>
            <w:tcW w:type="dxa" w:w="1643"/>
          </w:tcPr>
          <w:p>
            <w:pPr>
              <w:jc w:val="center"/>
            </w:pPr>
            <w:r>
              <w:rPr>
                <w:rFonts w:ascii="Arial" w:hAnsi="Arial"/>
                <w:sz w:val="18"/>
              </w:rPr>
              <w:t>C</w:t>
            </w:r>
          </w:p>
        </w:tc>
        <w:tc>
          <w:tcPr>
            <w:tcW w:type="dxa" w:w="1643"/>
          </w:tcPr>
          <w:p>
            <w:pPr>
              <w:jc w:val="center"/>
            </w:pPr>
            <w:r>
              <w:rPr>
                <w:rFonts w:ascii="Arial" w:hAnsi="Arial"/>
                <w:sz w:val="18"/>
              </w:rPr>
              <w:t>R</w:t>
            </w:r>
          </w:p>
        </w:tc>
        <w:tc>
          <w:tcPr>
            <w:tcW w:type="dxa" w:w="1643"/>
          </w:tcPr>
          <w:p>
            <w:pPr>
              <w:jc w:val="center"/>
            </w:pPr>
            <w:r>
              <w:rPr>
                <w:rFonts w:ascii="Arial" w:hAnsi="Arial"/>
                <w:sz w:val="18"/>
              </w:rPr>
              <w:t>R</w:t>
            </w:r>
          </w:p>
        </w:tc>
      </w:tr>
      <w:tr>
        <w:trPr>
          <w:cantSplit/>
        </w:trPr>
        <w:tc>
          <w:tcPr>
            <w:tcW w:type="dxa" w:w="1643"/>
          </w:tcPr>
          <w:p>
            <w:pPr>
              <w:jc w:val="left"/>
            </w:pPr>
            <w:r>
              <w:rPr>
                <w:rFonts w:ascii="Arial" w:hAnsi="Arial"/>
                <w:b/>
                <w:sz w:val="18"/>
              </w:rPr>
              <w:t>Monitorar indicadores</w:t>
            </w:r>
          </w:p>
        </w:tc>
        <w:tc>
          <w:tcPr>
            <w:tcW w:type="dxa" w:w="1643"/>
          </w:tcPr>
          <w:p>
            <w:pPr>
              <w:jc w:val="center"/>
            </w:pPr>
            <w:r>
              <w:rPr>
                <w:rFonts w:ascii="Arial" w:hAnsi="Arial"/>
                <w:sz w:val="18"/>
              </w:rPr>
              <w:t>I</w:t>
            </w:r>
          </w:p>
        </w:tc>
        <w:tc>
          <w:tcPr>
            <w:tcW w:type="dxa" w:w="1643"/>
          </w:tcPr>
          <w:p>
            <w:pPr>
              <w:jc w:val="center"/>
            </w:pPr>
            <w:r>
              <w:rPr>
                <w:rFonts w:ascii="Arial" w:hAnsi="Arial"/>
                <w:sz w:val="18"/>
              </w:rPr>
              <w:t>A</w:t>
            </w:r>
          </w:p>
        </w:tc>
        <w:tc>
          <w:tcPr>
            <w:tcW w:type="dxa" w:w="1643"/>
          </w:tcPr>
          <w:p>
            <w:pPr>
              <w:jc w:val="center"/>
            </w:pPr>
            <w:r>
              <w:rPr>
                <w:rFonts w:ascii="Arial" w:hAnsi="Arial"/>
                <w:sz w:val="18"/>
              </w:rPr>
              <w:t>R</w:t>
            </w:r>
          </w:p>
        </w:tc>
        <w:tc>
          <w:tcPr>
            <w:tcW w:type="dxa" w:w="1643"/>
          </w:tcPr>
          <w:p>
            <w:pPr>
              <w:jc w:val="center"/>
            </w:pPr>
            <w:r>
              <w:rPr>
                <w:rFonts w:ascii="Arial" w:hAnsi="Arial"/>
                <w:sz w:val="18"/>
              </w:rPr>
              <w:t>C</w:t>
            </w:r>
          </w:p>
        </w:tc>
        <w:tc>
          <w:tcPr>
            <w:tcW w:type="dxa" w:w="1643"/>
          </w:tcPr>
          <w:p>
            <w:pPr>
              <w:jc w:val="center"/>
            </w:pPr>
            <w:r>
              <w:rPr>
                <w:rFonts w:ascii="Arial" w:hAnsi="Arial"/>
                <w:sz w:val="18"/>
              </w:rPr>
              <w:t>I</w:t>
            </w:r>
          </w:p>
        </w:tc>
      </w:tr>
      <w:tr>
        <w:trPr>
          <w:cantSplit/>
        </w:trPr>
        <w:tc>
          <w:tcPr>
            <w:tcW w:type="dxa" w:w="1643"/>
          </w:tcPr>
          <w:p>
            <w:pPr>
              <w:jc w:val="left"/>
            </w:pPr>
            <w:r>
              <w:rPr>
                <w:rFonts w:ascii="Arial" w:hAnsi="Arial"/>
                <w:b/>
                <w:sz w:val="18"/>
              </w:rPr>
              <w:t>Revisar plano</w:t>
            </w:r>
          </w:p>
        </w:tc>
        <w:tc>
          <w:tcPr>
            <w:tcW w:type="dxa" w:w="1643"/>
          </w:tcPr>
          <w:p>
            <w:pPr>
              <w:jc w:val="center"/>
            </w:pPr>
            <w:r>
              <w:rPr>
                <w:rFonts w:ascii="Arial" w:hAnsi="Arial"/>
                <w:sz w:val="18"/>
              </w:rPr>
              <w:t>A</w:t>
            </w:r>
          </w:p>
        </w:tc>
        <w:tc>
          <w:tcPr>
            <w:tcW w:type="dxa" w:w="1643"/>
          </w:tcPr>
          <w:p>
            <w:pPr>
              <w:jc w:val="center"/>
            </w:pPr>
            <w:r>
              <w:rPr>
                <w:rFonts w:ascii="Arial" w:hAnsi="Arial"/>
                <w:sz w:val="18"/>
              </w:rPr>
              <w:t>R</w:t>
            </w:r>
          </w:p>
        </w:tc>
        <w:tc>
          <w:tcPr>
            <w:tcW w:type="dxa" w:w="1643"/>
          </w:tcPr>
          <w:p>
            <w:pPr>
              <w:jc w:val="center"/>
            </w:pPr>
            <w:r>
              <w:rPr>
                <w:rFonts w:ascii="Arial" w:hAnsi="Arial"/>
                <w:sz w:val="18"/>
              </w:rPr>
              <w:t>R</w:t>
            </w:r>
          </w:p>
        </w:tc>
        <w:tc>
          <w:tcPr>
            <w:tcW w:type="dxa" w:w="1643"/>
          </w:tcPr>
          <w:p>
            <w:pPr>
              <w:jc w:val="center"/>
            </w:pPr>
            <w:r>
              <w:rPr>
                <w:rFonts w:ascii="Arial" w:hAnsi="Arial"/>
                <w:sz w:val="18"/>
              </w:rPr>
              <w:t>C</w:t>
            </w:r>
          </w:p>
        </w:tc>
        <w:tc>
          <w:tcPr>
            <w:tcW w:type="dxa" w:w="1643"/>
          </w:tcPr>
          <w:p>
            <w:pPr>
              <w:jc w:val="center"/>
            </w:pPr>
            <w:r>
              <w:rPr>
                <w:rFonts w:ascii="Arial" w:hAnsi="Arial"/>
                <w:sz w:val="18"/>
              </w:rPr>
              <w:t>I</w:t>
            </w:r>
          </w:p>
        </w:tc>
      </w:tr>
    </w:tbl>
    <w:p>
      <w:r>
        <w:rPr>
          <w:b/>
        </w:rPr>
        <w:t xml:space="preserve">Legenda: </w:t>
      </w:r>
      <w:r>
        <w:t>R = responsável por executar; A = autoridade/aprovação; C = consultado; I = informado.</w:t>
      </w:r>
    </w:p>
    <w:p>
      <w:pPr>
        <w:pStyle w:val="Heading2"/>
      </w:pPr>
      <w:r>
        <w:t>6.3 Governança de calendário</w:t>
      </w:r>
    </w:p>
    <w:p>
      <w:r>
        <w:t>A plataforma deve permitir três temporalidades simultâneas: (a) prazos regulatórios e ciclos oficiais; (b) calendário anual municipal; e (c) ciclos pedagógicos internos, como bimestres ou trimestres. A periodicidade de monitoramento do município não deve ser confundida com a periodicidade exigida por sistemas federais. Um relatório bimestral pode ser excelente para a gestão local mesmo quando a comprovação oficial ocorre anualmente.</w:t>
      </w:r>
    </w:p>
    <w:p>
      <w:pPr>
        <w:pStyle w:val="Heading1"/>
      </w:pPr>
      <w:r>
        <w:t>7. Arquitetura funcional da plataforma</w:t>
      </w:r>
    </w:p>
    <w:p>
      <w:pPr>
        <w:pStyle w:val="Heading2"/>
      </w:pPr>
      <w:r>
        <w:t>7.1 Núcleo funcional comum</w:t>
      </w:r>
    </w:p>
    <w:tbl>
      <w:tblPr>
        <w:tblStyle w:val="TableGrid"/>
        <w:tblW w:type="auto" w:w="0"/>
        <w:jc w:val="center"/>
        <w:tblLook w:firstColumn="1" w:firstRow="1" w:lastColumn="0" w:lastRow="0" w:noHBand="0" w:noVBand="1" w:val="04A0"/>
      </w:tblPr>
      <w:tblGrid>
        <w:gridCol w:w="4929"/>
        <w:gridCol w:w="4929"/>
      </w:tblGrid>
      <w:tr>
        <w:trPr>
          <w:tblHeader w:val="true"/>
          <w:cantSplit/>
        </w:trPr>
        <w:tc>
          <w:tcPr>
            <w:tcW w:type="dxa" w:w="3005"/>
            <w:shd w:fill="17365D"/>
          </w:tcPr>
          <w:p>
            <w:pPr>
              <w:keepNext/>
            </w:pPr>
            <w:r>
              <w:rPr>
                <w:rFonts w:ascii="Arial" w:hAnsi="Arial"/>
                <w:b/>
                <w:color w:val="FFFFFF"/>
                <w:sz w:val="18"/>
              </w:rPr>
              <w:t>Componente</w:t>
            </w:r>
          </w:p>
        </w:tc>
        <w:tc>
          <w:tcPr>
            <w:tcW w:type="dxa" w:w="6066"/>
            <w:shd w:fill="17365D"/>
          </w:tcPr>
          <w:p>
            <w:pPr>
              <w:keepNext/>
            </w:pPr>
            <w:r>
              <w:rPr>
                <w:rFonts w:ascii="Arial" w:hAnsi="Arial"/>
                <w:b/>
                <w:color w:val="FFFFFF"/>
                <w:sz w:val="18"/>
              </w:rPr>
              <w:t>Função</w:t>
            </w:r>
          </w:p>
        </w:tc>
      </w:tr>
      <w:tr>
        <w:trPr>
          <w:cantSplit/>
        </w:trPr>
        <w:tc>
          <w:tcPr>
            <w:tcW w:type="dxa" w:w="4929"/>
          </w:tcPr>
          <w:p>
            <w:r>
              <w:rPr>
                <w:rFonts w:ascii="Arial" w:hAnsi="Arial"/>
                <w:b/>
                <w:sz w:val="18"/>
              </w:rPr>
              <w:t>1. Diagnóstico Municipal</w:t>
            </w:r>
          </w:p>
        </w:tc>
        <w:tc>
          <w:tcPr>
            <w:tcW w:type="dxa" w:w="4929"/>
          </w:tcPr>
          <w:p>
            <w:r>
              <w:rPr>
                <w:rFonts w:ascii="Arial" w:hAnsi="Arial"/>
                <w:sz w:val="18"/>
              </w:rPr>
              <w:t>questionários, evidências, importações, entrevistas, pontuação de maturidade e mapa de prioridades.</w:t>
            </w:r>
          </w:p>
        </w:tc>
      </w:tr>
      <w:tr>
        <w:trPr>
          <w:cantSplit/>
        </w:trPr>
        <w:tc>
          <w:tcPr>
            <w:tcW w:type="dxa" w:w="4929"/>
          </w:tcPr>
          <w:p>
            <w:r>
              <w:rPr>
                <w:rFonts w:ascii="Arial" w:hAnsi="Arial"/>
                <w:b/>
                <w:sz w:val="18"/>
              </w:rPr>
              <w:t>2. Catálogo de Soluções</w:t>
            </w:r>
          </w:p>
        </w:tc>
        <w:tc>
          <w:tcPr>
            <w:tcW w:type="dxa" w:w="4929"/>
          </w:tcPr>
          <w:p>
            <w:r>
              <w:rPr>
                <w:rFonts w:ascii="Arial" w:hAnsi="Arial"/>
                <w:sz w:val="18"/>
              </w:rPr>
              <w:t>módulos disponíveis, requisitos, escopo, entregáveis e combinação recomendada a partir do diagnóstico.</w:t>
            </w:r>
          </w:p>
        </w:tc>
      </w:tr>
      <w:tr>
        <w:trPr>
          <w:cantSplit/>
        </w:trPr>
        <w:tc>
          <w:tcPr>
            <w:tcW w:type="dxa" w:w="4929"/>
          </w:tcPr>
          <w:p>
            <w:r>
              <w:rPr>
                <w:rFonts w:ascii="Arial" w:hAnsi="Arial"/>
                <w:b/>
                <w:sz w:val="18"/>
              </w:rPr>
              <w:t>3. Planos e Metas</w:t>
            </w:r>
          </w:p>
        </w:tc>
        <w:tc>
          <w:tcPr>
            <w:tcW w:type="dxa" w:w="4929"/>
          </w:tcPr>
          <w:p>
            <w:r>
              <w:rPr>
                <w:rFonts w:ascii="Arial" w:hAnsi="Arial"/>
                <w:sz w:val="18"/>
              </w:rPr>
              <w:t>objetivos, ações, responsáveis, prazos, metas, dependências, riscos e status.</w:t>
            </w:r>
          </w:p>
        </w:tc>
      </w:tr>
      <w:tr>
        <w:trPr>
          <w:cantSplit/>
        </w:trPr>
        <w:tc>
          <w:tcPr>
            <w:tcW w:type="dxa" w:w="4929"/>
          </w:tcPr>
          <w:p>
            <w:r>
              <w:rPr>
                <w:rFonts w:ascii="Arial" w:hAnsi="Arial"/>
                <w:b/>
                <w:sz w:val="18"/>
              </w:rPr>
              <w:t>4. Formação e Trilhas</w:t>
            </w:r>
          </w:p>
        </w:tc>
        <w:tc>
          <w:tcPr>
            <w:tcW w:type="dxa" w:w="4929"/>
          </w:tcPr>
          <w:p>
            <w:r>
              <w:rPr>
                <w:rFonts w:ascii="Arial" w:hAnsi="Arial"/>
                <w:sz w:val="18"/>
              </w:rPr>
              <w:t>diagnóstico de competência, cursos, módulos, atividades, avaliações, certificação e aplicação prática.</w:t>
            </w:r>
          </w:p>
        </w:tc>
      </w:tr>
      <w:tr>
        <w:trPr>
          <w:cantSplit/>
        </w:trPr>
        <w:tc>
          <w:tcPr>
            <w:tcW w:type="dxa" w:w="4929"/>
          </w:tcPr>
          <w:p>
            <w:r>
              <w:rPr>
                <w:rFonts w:ascii="Arial" w:hAnsi="Arial"/>
                <w:b/>
                <w:sz w:val="18"/>
              </w:rPr>
              <w:t>5. Execução nas Escolas</w:t>
            </w:r>
          </w:p>
        </w:tc>
        <w:tc>
          <w:tcPr>
            <w:tcW w:type="dxa" w:w="4929"/>
          </w:tcPr>
          <w:p>
            <w:r>
              <w:rPr>
                <w:rFonts w:ascii="Arial" w:hAnsi="Arial"/>
                <w:sz w:val="18"/>
              </w:rPr>
              <w:t>checklists por unidade, tarefas, cronograma, orientações, registros e devolutivas.</w:t>
            </w:r>
          </w:p>
        </w:tc>
      </w:tr>
      <w:tr>
        <w:trPr>
          <w:cantSplit/>
        </w:trPr>
        <w:tc>
          <w:tcPr>
            <w:tcW w:type="dxa" w:w="4929"/>
          </w:tcPr>
          <w:p>
            <w:r>
              <w:rPr>
                <w:rFonts w:ascii="Arial" w:hAnsi="Arial"/>
                <w:b/>
                <w:sz w:val="18"/>
              </w:rPr>
              <w:t>6. Evidências e Documentos</w:t>
            </w:r>
          </w:p>
        </w:tc>
        <w:tc>
          <w:tcPr>
            <w:tcW w:type="dxa" w:w="4929"/>
          </w:tcPr>
          <w:p>
            <w:r>
              <w:rPr>
                <w:rFonts w:ascii="Arial" w:hAnsi="Arial"/>
                <w:sz w:val="18"/>
              </w:rPr>
              <w:t>repositório com tipologia, validade, responsável, versão, aprovação e associação a requisitos.</w:t>
            </w:r>
          </w:p>
        </w:tc>
      </w:tr>
      <w:tr>
        <w:trPr>
          <w:cantSplit/>
        </w:trPr>
        <w:tc>
          <w:tcPr>
            <w:tcW w:type="dxa" w:w="4929"/>
          </w:tcPr>
          <w:p>
            <w:r>
              <w:rPr>
                <w:rFonts w:ascii="Arial" w:hAnsi="Arial"/>
                <w:b/>
                <w:sz w:val="18"/>
              </w:rPr>
              <w:t>7. Indicadores e BI</w:t>
            </w:r>
          </w:p>
        </w:tc>
        <w:tc>
          <w:tcPr>
            <w:tcW w:type="dxa" w:w="4929"/>
          </w:tcPr>
          <w:p>
            <w:r>
              <w:rPr>
                <w:rFonts w:ascii="Arial" w:hAnsi="Arial"/>
                <w:sz w:val="18"/>
              </w:rPr>
              <w:t>painéis executivos, pedagógicos e operacionais; metas; tendência; comparações; alertas.</w:t>
            </w:r>
          </w:p>
        </w:tc>
      </w:tr>
      <w:tr>
        <w:trPr>
          <w:cantSplit/>
        </w:trPr>
        <w:tc>
          <w:tcPr>
            <w:tcW w:type="dxa" w:w="4929"/>
          </w:tcPr>
          <w:p>
            <w:r>
              <w:rPr>
                <w:rFonts w:ascii="Arial" w:hAnsi="Arial"/>
                <w:b/>
                <w:sz w:val="18"/>
              </w:rPr>
              <w:t>8. Relatórios e Compliance</w:t>
            </w:r>
          </w:p>
        </w:tc>
        <w:tc>
          <w:tcPr>
            <w:tcW w:type="dxa" w:w="4929"/>
          </w:tcPr>
          <w:p>
            <w:r>
              <w:rPr>
                <w:rFonts w:ascii="Arial" w:hAnsi="Arial"/>
                <w:sz w:val="18"/>
              </w:rPr>
              <w:t>relatórios periódicos, dossiês de evidência, exportações e preparação para diligências/prestações.</w:t>
            </w:r>
          </w:p>
        </w:tc>
      </w:tr>
      <w:tr>
        <w:trPr>
          <w:cantSplit/>
        </w:trPr>
        <w:tc>
          <w:tcPr>
            <w:tcW w:type="dxa" w:w="4929"/>
          </w:tcPr>
          <w:p>
            <w:r>
              <w:rPr>
                <w:rFonts w:ascii="Arial" w:hAnsi="Arial"/>
                <w:b/>
                <w:sz w:val="18"/>
              </w:rPr>
              <w:t>9. Reconhecimento e Incentivos</w:t>
            </w:r>
          </w:p>
        </w:tc>
        <w:tc>
          <w:tcPr>
            <w:tcW w:type="dxa" w:w="4929"/>
          </w:tcPr>
          <w:p>
            <w:r>
              <w:rPr>
                <w:rFonts w:ascii="Arial" w:hAnsi="Arial"/>
                <w:sz w:val="18"/>
              </w:rPr>
              <w:t>selos, marcos de progresso, certificações, reconhecimento de escolas e profissionais, quando adequado à política.</w:t>
            </w:r>
          </w:p>
        </w:tc>
      </w:tr>
      <w:tr>
        <w:trPr>
          <w:cantSplit/>
        </w:trPr>
        <w:tc>
          <w:tcPr>
            <w:tcW w:type="dxa" w:w="4929"/>
          </w:tcPr>
          <w:p>
            <w:r>
              <w:rPr>
                <w:rFonts w:ascii="Arial" w:hAnsi="Arial"/>
                <w:b/>
                <w:sz w:val="18"/>
              </w:rPr>
              <w:t>10. Administração e Auditoria</w:t>
            </w:r>
          </w:p>
        </w:tc>
        <w:tc>
          <w:tcPr>
            <w:tcW w:type="dxa" w:w="4929"/>
          </w:tcPr>
          <w:p>
            <w:r>
              <w:rPr>
                <w:rFonts w:ascii="Arial" w:hAnsi="Arial"/>
                <w:sz w:val="18"/>
              </w:rPr>
              <w:t>usuários, perfis, permissões, logs, parâmetros, calendários, integrações e histórico.</w:t>
            </w:r>
          </w:p>
        </w:tc>
      </w:tr>
    </w:tbl>
    <w:p>
      <w:pPr>
        <w:pStyle w:val="Heading2"/>
      </w:pPr>
      <w:r>
        <w:t>7.2 Perfis de acesso</w:t>
      </w:r>
    </w:p>
    <w:p>
      <w:r>
        <w:rPr>
          <w:b/>
        </w:rPr>
        <w:t xml:space="preserve">Administrador da rede: </w:t>
      </w:r>
      <w:r>
        <w:t>configura município, usuários, módulos, parâmetros e integrações.</w:t>
      </w:r>
    </w:p>
    <w:p>
      <w:r>
        <w:rPr>
          <w:b/>
        </w:rPr>
        <w:t xml:space="preserve">Gestão executiva: </w:t>
      </w:r>
      <w:r>
        <w:t>visualiza indicadores consolidados, riscos, metas e relatórios.</w:t>
      </w:r>
    </w:p>
    <w:p>
      <w:r>
        <w:rPr>
          <w:b/>
        </w:rPr>
        <w:t xml:space="preserve">Coordenação temática: </w:t>
      </w:r>
      <w:r>
        <w:t>gerencia módulo, plano, formação, escolas e evidências.</w:t>
      </w:r>
    </w:p>
    <w:p>
      <w:r>
        <w:rPr>
          <w:b/>
        </w:rPr>
        <w:t xml:space="preserve">Analista/técnico: </w:t>
      </w:r>
      <w:r>
        <w:t>trabalha dados, documentos, validações e relatórios conforme permissão.</w:t>
      </w:r>
    </w:p>
    <w:p>
      <w:r>
        <w:rPr>
          <w:b/>
        </w:rPr>
        <w:t xml:space="preserve">Gestor escolar: </w:t>
      </w:r>
      <w:r>
        <w:t>vê apenas sua unidade ou conjunto autorizado; executa tarefas e acompanha equipe.</w:t>
      </w:r>
    </w:p>
    <w:p>
      <w:r>
        <w:rPr>
          <w:b/>
        </w:rPr>
        <w:t xml:space="preserve">Professor/profissional: </w:t>
      </w:r>
      <w:r>
        <w:t>acessa sua trilha, tarefas, certificados, evidências e devolutivas.</w:t>
      </w:r>
    </w:p>
    <w:p>
      <w:r>
        <w:rPr>
          <w:b/>
        </w:rPr>
        <w:t xml:space="preserve">Conselho/controle/visualizador: </w:t>
      </w:r>
      <w:r>
        <w:t>acesso de leitura a escopos específicos, quando autorizado.</w:t>
      </w:r>
    </w:p>
    <w:p>
      <w:r>
        <w:rPr>
          <w:b/>
        </w:rPr>
        <w:t xml:space="preserve">Consultoria/suporte: </w:t>
      </w:r>
      <w:r>
        <w:t>acesso temporário e auditável, limitado ao contrato e às permissões concedidas.</w:t>
      </w:r>
    </w:p>
    <w:p>
      <w:pPr>
        <w:pStyle w:val="Heading2"/>
      </w:pPr>
      <w:r>
        <w:t>7.3 Jornada padrão do município</w:t>
      </w:r>
    </w:p>
    <w:tbl>
      <w:tblPr>
        <w:tblStyle w:val="TableGrid"/>
        <w:tblW w:type="auto" w:w="0"/>
        <w:jc w:val="center"/>
        <w:tblLook w:firstColumn="1" w:firstRow="1" w:lastColumn="0" w:lastRow="0" w:noHBand="0" w:noVBand="1" w:val="04A0"/>
      </w:tblPr>
      <w:tblGrid>
        <w:gridCol w:w="1972"/>
        <w:gridCol w:w="1972"/>
        <w:gridCol w:w="1972"/>
        <w:gridCol w:w="1972"/>
        <w:gridCol w:w="1972"/>
      </w:tblGrid>
      <w:tr>
        <w:trPr>
          <w:cantSplit/>
        </w:trPr>
        <w:tc>
          <w:tcPr>
            <w:tcW w:type="dxa" w:w="1972"/>
            <w:shd w:fill="EEF4FA"/>
          </w:tcPr>
          <w:p>
            <w:pPr>
              <w:keepNext/>
              <w:jc w:val="center"/>
            </w:pPr>
            <w:r>
              <w:rPr>
                <w:rFonts w:ascii="Arial" w:hAnsi="Arial"/>
                <w:b/>
                <w:sz w:val="17"/>
              </w:rPr>
              <w:t>1. Cadastrar/validar a rede</w:t>
            </w:r>
          </w:p>
        </w:tc>
        <w:tc>
          <w:tcPr>
            <w:tcW w:type="dxa" w:w="1972"/>
            <w:shd w:fill="D9EAF7"/>
          </w:tcPr>
          <w:p>
            <w:pPr>
              <w:keepNext/>
              <w:jc w:val="center"/>
            </w:pPr>
            <w:r>
              <w:rPr>
                <w:rFonts w:ascii="Arial" w:hAnsi="Arial"/>
                <w:b/>
                <w:sz w:val="17"/>
              </w:rPr>
              <w:t>2. Executar diagnóstico</w:t>
            </w:r>
          </w:p>
        </w:tc>
        <w:tc>
          <w:tcPr>
            <w:tcW w:type="dxa" w:w="1972"/>
            <w:shd w:fill="EEF4FA"/>
          </w:tcPr>
          <w:p>
            <w:pPr>
              <w:keepNext/>
              <w:jc w:val="center"/>
            </w:pPr>
            <w:r>
              <w:rPr>
                <w:rFonts w:ascii="Arial" w:hAnsi="Arial"/>
                <w:b/>
                <w:sz w:val="17"/>
              </w:rPr>
              <w:t>3. Selecionar módulo</w:t>
            </w:r>
          </w:p>
        </w:tc>
        <w:tc>
          <w:tcPr>
            <w:tcW w:type="dxa" w:w="1972"/>
            <w:shd w:fill="D9EAF7"/>
          </w:tcPr>
          <w:p>
            <w:pPr>
              <w:keepNext/>
              <w:jc w:val="center"/>
            </w:pPr>
            <w:r>
              <w:rPr>
                <w:rFonts w:ascii="Arial" w:hAnsi="Arial"/>
                <w:b/>
                <w:sz w:val="17"/>
              </w:rPr>
              <w:t>4. Configurar plano</w:t>
            </w:r>
          </w:p>
        </w:tc>
        <w:tc>
          <w:tcPr>
            <w:tcW w:type="dxa" w:w="1972"/>
            <w:shd w:fill="EEF4FA"/>
          </w:tcPr>
          <w:p>
            <w:pPr>
              <w:keepNext/>
              <w:jc w:val="center"/>
            </w:pPr>
            <w:r>
              <w:rPr>
                <w:rFonts w:ascii="Arial" w:hAnsi="Arial"/>
                <w:b/>
                <w:sz w:val="17"/>
              </w:rPr>
              <w:t>5. Importar bases</w:t>
            </w:r>
          </w:p>
        </w:tc>
      </w:tr>
      <w:tr>
        <w:trPr>
          <w:cantSplit/>
        </w:trPr>
        <w:tc>
          <w:tcPr>
            <w:tcW w:type="dxa" w:w="1972"/>
            <w:shd w:fill="D9EAF7"/>
          </w:tcPr>
          <w:p>
            <w:pPr>
              <w:jc w:val="center"/>
            </w:pPr>
            <w:r>
              <w:rPr>
                <w:rFonts w:ascii="Arial" w:hAnsi="Arial"/>
                <w:b/>
                <w:sz w:val="17"/>
              </w:rPr>
              <w:t>6. Formar atores</w:t>
            </w:r>
          </w:p>
        </w:tc>
        <w:tc>
          <w:tcPr>
            <w:tcW w:type="dxa" w:w="1972"/>
            <w:shd w:fill="EEF4FA"/>
          </w:tcPr>
          <w:p>
            <w:pPr>
              <w:jc w:val="center"/>
            </w:pPr>
            <w:r>
              <w:rPr>
                <w:rFonts w:ascii="Arial" w:hAnsi="Arial"/>
                <w:b/>
                <w:sz w:val="17"/>
              </w:rPr>
              <w:t>7. Executar nas escolas</w:t>
            </w:r>
          </w:p>
        </w:tc>
        <w:tc>
          <w:tcPr>
            <w:tcW w:type="dxa" w:w="1972"/>
            <w:shd w:fill="D9EAF7"/>
          </w:tcPr>
          <w:p>
            <w:pPr>
              <w:jc w:val="center"/>
            </w:pPr>
            <w:r>
              <w:rPr>
                <w:rFonts w:ascii="Arial" w:hAnsi="Arial"/>
                <w:b/>
                <w:sz w:val="17"/>
              </w:rPr>
              <w:t>8. Validar evidências</w:t>
            </w:r>
          </w:p>
        </w:tc>
        <w:tc>
          <w:tcPr>
            <w:tcW w:type="dxa" w:w="1972"/>
            <w:shd w:fill="EEF4FA"/>
          </w:tcPr>
          <w:p>
            <w:pPr>
              <w:jc w:val="center"/>
            </w:pPr>
            <w:r>
              <w:rPr>
                <w:rFonts w:ascii="Arial" w:hAnsi="Arial"/>
                <w:b/>
                <w:sz w:val="17"/>
              </w:rPr>
              <w:t>9. Acompanhar indicadores</w:t>
            </w:r>
          </w:p>
        </w:tc>
        <w:tc>
          <w:tcPr>
            <w:tcW w:type="dxa" w:w="1972"/>
            <w:shd w:fill="D9EAF7"/>
          </w:tcPr>
          <w:p>
            <w:pPr>
              <w:jc w:val="center"/>
            </w:pPr>
            <w:r>
              <w:rPr>
                <w:rFonts w:ascii="Arial" w:hAnsi="Arial"/>
                <w:b/>
                <w:sz w:val="17"/>
              </w:rPr>
              <w:t>10. Gerar relatório e replanejar</w:t>
            </w:r>
          </w:p>
        </w:tc>
      </w:tr>
    </w:tbl>
    <w:p>
      <w:pPr>
        <w:pStyle w:val="Heading1"/>
      </w:pPr>
      <w:r>
        <w:t>8. Arquitetura de dados, tecnologia, segurança e LGPD</w:t>
      </w:r>
    </w:p>
    <w:p>
      <w:pPr>
        <w:pStyle w:val="Heading2"/>
      </w:pPr>
      <w:r>
        <w:t>8.1 Domínios de dados</w:t>
      </w:r>
    </w:p>
    <w:tbl>
      <w:tblPr>
        <w:tblStyle w:val="TableGrid"/>
        <w:tblW w:type="auto" w:w="0"/>
        <w:jc w:val="center"/>
        <w:tblLook w:firstColumn="1" w:firstRow="1" w:lastColumn="0" w:lastRow="0" w:noHBand="0" w:noVBand="1" w:val="04A0"/>
      </w:tblPr>
      <w:tblGrid>
        <w:gridCol w:w="4929"/>
        <w:gridCol w:w="4929"/>
      </w:tblGrid>
      <w:tr>
        <w:trPr>
          <w:tblHeader w:val="true"/>
          <w:cantSplit/>
        </w:trPr>
        <w:tc>
          <w:tcPr>
            <w:tcW w:type="dxa" w:w="2665"/>
            <w:shd w:fill="17365D"/>
          </w:tcPr>
          <w:p>
            <w:pPr>
              <w:keepNext/>
            </w:pPr>
            <w:r>
              <w:rPr>
                <w:rFonts w:ascii="Arial" w:hAnsi="Arial"/>
                <w:b/>
                <w:color w:val="FFFFFF"/>
                <w:sz w:val="18"/>
              </w:rPr>
              <w:t>Domínio</w:t>
            </w:r>
          </w:p>
        </w:tc>
        <w:tc>
          <w:tcPr>
            <w:tcW w:type="dxa" w:w="6406"/>
            <w:shd w:fill="17365D"/>
          </w:tcPr>
          <w:p>
            <w:pPr>
              <w:keepNext/>
            </w:pPr>
            <w:r>
              <w:rPr>
                <w:rFonts w:ascii="Arial" w:hAnsi="Arial"/>
                <w:b/>
                <w:color w:val="FFFFFF"/>
                <w:sz w:val="18"/>
              </w:rPr>
              <w:t>Conteúdo</w:t>
            </w:r>
          </w:p>
        </w:tc>
      </w:tr>
      <w:tr>
        <w:trPr>
          <w:cantSplit/>
        </w:trPr>
        <w:tc>
          <w:tcPr>
            <w:tcW w:type="dxa" w:w="4929"/>
          </w:tcPr>
          <w:p>
            <w:r>
              <w:rPr>
                <w:rFonts w:ascii="Arial" w:hAnsi="Arial"/>
                <w:b/>
                <w:sz w:val="18"/>
              </w:rPr>
              <w:t>Rede e unidades</w:t>
            </w:r>
          </w:p>
        </w:tc>
        <w:tc>
          <w:tcPr>
            <w:tcW w:type="dxa" w:w="4929"/>
          </w:tcPr>
          <w:p>
            <w:r>
              <w:rPr>
                <w:rFonts w:ascii="Arial" w:hAnsi="Arial"/>
                <w:sz w:val="18"/>
              </w:rPr>
              <w:t>município, escolas, INEP, localização, etapas, modalidades, turnos, turmas e infraestrutura.</w:t>
            </w:r>
          </w:p>
        </w:tc>
      </w:tr>
      <w:tr>
        <w:trPr>
          <w:cantSplit/>
        </w:trPr>
        <w:tc>
          <w:tcPr>
            <w:tcW w:type="dxa" w:w="4929"/>
          </w:tcPr>
          <w:p>
            <w:r>
              <w:rPr>
                <w:rFonts w:ascii="Arial" w:hAnsi="Arial"/>
                <w:b/>
                <w:sz w:val="18"/>
              </w:rPr>
              <w:t>Pessoas</w:t>
            </w:r>
          </w:p>
        </w:tc>
        <w:tc>
          <w:tcPr>
            <w:tcW w:type="dxa" w:w="4929"/>
          </w:tcPr>
          <w:p>
            <w:r>
              <w:rPr>
                <w:rFonts w:ascii="Arial" w:hAnsi="Arial"/>
                <w:sz w:val="18"/>
              </w:rPr>
              <w:t>usuários, profissionais, vínculos, funções, formação, participação em trilhas; dados de estudantes apenas quando necessários ao módulo.</w:t>
            </w:r>
          </w:p>
        </w:tc>
      </w:tr>
      <w:tr>
        <w:trPr>
          <w:cantSplit/>
        </w:trPr>
        <w:tc>
          <w:tcPr>
            <w:tcW w:type="dxa" w:w="4929"/>
          </w:tcPr>
          <w:p>
            <w:r>
              <w:rPr>
                <w:rFonts w:ascii="Arial" w:hAnsi="Arial"/>
                <w:b/>
                <w:sz w:val="18"/>
              </w:rPr>
              <w:t>Políticas e requisitos</w:t>
            </w:r>
          </w:p>
        </w:tc>
        <w:tc>
          <w:tcPr>
            <w:tcW w:type="dxa" w:w="4929"/>
          </w:tcPr>
          <w:p>
            <w:r>
              <w:rPr>
                <w:rFonts w:ascii="Arial" w:hAnsi="Arial"/>
                <w:sz w:val="18"/>
              </w:rPr>
              <w:t>normas, condicionalidades, perguntas, requisitos, documentos esperados e regras de validação.</w:t>
            </w:r>
          </w:p>
        </w:tc>
      </w:tr>
      <w:tr>
        <w:trPr>
          <w:cantSplit/>
        </w:trPr>
        <w:tc>
          <w:tcPr>
            <w:tcW w:type="dxa" w:w="4929"/>
          </w:tcPr>
          <w:p>
            <w:r>
              <w:rPr>
                <w:rFonts w:ascii="Arial" w:hAnsi="Arial"/>
                <w:b/>
                <w:sz w:val="18"/>
              </w:rPr>
              <w:t>Planos e execução</w:t>
            </w:r>
          </w:p>
        </w:tc>
        <w:tc>
          <w:tcPr>
            <w:tcW w:type="dxa" w:w="4929"/>
          </w:tcPr>
          <w:p>
            <w:r>
              <w:rPr>
                <w:rFonts w:ascii="Arial" w:hAnsi="Arial"/>
                <w:sz w:val="18"/>
              </w:rPr>
              <w:t>objetivos, ações, tarefas, responsáveis, prazos, status e comentários.</w:t>
            </w:r>
          </w:p>
        </w:tc>
      </w:tr>
      <w:tr>
        <w:trPr>
          <w:cantSplit/>
        </w:trPr>
        <w:tc>
          <w:tcPr>
            <w:tcW w:type="dxa" w:w="4929"/>
          </w:tcPr>
          <w:p>
            <w:r>
              <w:rPr>
                <w:rFonts w:ascii="Arial" w:hAnsi="Arial"/>
                <w:b/>
                <w:sz w:val="18"/>
              </w:rPr>
              <w:t>Formação</w:t>
            </w:r>
          </w:p>
        </w:tc>
        <w:tc>
          <w:tcPr>
            <w:tcW w:type="dxa" w:w="4929"/>
          </w:tcPr>
          <w:p>
            <w:r>
              <w:rPr>
                <w:rFonts w:ascii="Arial" w:hAnsi="Arial"/>
                <w:sz w:val="18"/>
              </w:rPr>
              <w:t>trilhas, módulos, carga horária, progresso, avaliação, certificação e aplicação.</w:t>
            </w:r>
          </w:p>
        </w:tc>
      </w:tr>
      <w:tr>
        <w:trPr>
          <w:cantSplit/>
        </w:trPr>
        <w:tc>
          <w:tcPr>
            <w:tcW w:type="dxa" w:w="4929"/>
          </w:tcPr>
          <w:p>
            <w:r>
              <w:rPr>
                <w:rFonts w:ascii="Arial" w:hAnsi="Arial"/>
                <w:b/>
                <w:sz w:val="18"/>
              </w:rPr>
              <w:t>Evidências</w:t>
            </w:r>
          </w:p>
        </w:tc>
        <w:tc>
          <w:tcPr>
            <w:tcW w:type="dxa" w:w="4929"/>
          </w:tcPr>
          <w:p>
            <w:r>
              <w:rPr>
                <w:rFonts w:ascii="Arial" w:hAnsi="Arial"/>
                <w:sz w:val="18"/>
              </w:rPr>
              <w:t>documentos, links, anexos, metadados, versão, unidade, requisito e validação.</w:t>
            </w:r>
          </w:p>
        </w:tc>
      </w:tr>
      <w:tr>
        <w:trPr>
          <w:cantSplit/>
        </w:trPr>
        <w:tc>
          <w:tcPr>
            <w:tcW w:type="dxa" w:w="4929"/>
          </w:tcPr>
          <w:p>
            <w:r>
              <w:rPr>
                <w:rFonts w:ascii="Arial" w:hAnsi="Arial"/>
                <w:b/>
                <w:sz w:val="18"/>
              </w:rPr>
              <w:t>Indicadores</w:t>
            </w:r>
          </w:p>
        </w:tc>
        <w:tc>
          <w:tcPr>
            <w:tcW w:type="dxa" w:w="4929"/>
          </w:tcPr>
          <w:p>
            <w:r>
              <w:rPr>
                <w:rFonts w:ascii="Arial" w:hAnsi="Arial"/>
                <w:sz w:val="18"/>
              </w:rPr>
              <w:t>definições, fonte, recorte, série histórica, meta, valor, periodicidade e responsável.</w:t>
            </w:r>
          </w:p>
        </w:tc>
      </w:tr>
      <w:tr>
        <w:trPr>
          <w:cantSplit/>
        </w:trPr>
        <w:tc>
          <w:tcPr>
            <w:tcW w:type="dxa" w:w="4929"/>
          </w:tcPr>
          <w:p>
            <w:r>
              <w:rPr>
                <w:rFonts w:ascii="Arial" w:hAnsi="Arial"/>
                <w:b/>
                <w:sz w:val="18"/>
              </w:rPr>
              <w:t>Auditoria</w:t>
            </w:r>
          </w:p>
        </w:tc>
        <w:tc>
          <w:tcPr>
            <w:tcW w:type="dxa" w:w="4929"/>
          </w:tcPr>
          <w:p>
            <w:r>
              <w:rPr>
                <w:rFonts w:ascii="Arial" w:hAnsi="Arial"/>
                <w:sz w:val="18"/>
              </w:rPr>
              <w:t>login, alterações, validações, exportações, permissões e trilha de eventos.</w:t>
            </w:r>
          </w:p>
        </w:tc>
      </w:tr>
    </w:tbl>
    <w:p>
      <w:pPr>
        <w:pStyle w:val="Heading2"/>
      </w:pPr>
      <w:r>
        <w:t>8.2 Princípios de arquitetura tecnológica</w:t>
      </w:r>
    </w:p>
    <w:p>
      <w:pPr>
        <w:pStyle w:val="ListBullet"/>
      </w:pPr>
      <w:r>
        <w:t>Aplicação web responsiva como canal principal, com experiência adequada a desktop e celular.</w:t>
      </w:r>
    </w:p>
    <w:p>
      <w:pPr>
        <w:pStyle w:val="ListBullet"/>
      </w:pPr>
      <w:r>
        <w:t>Arquitetura multi-tenant: cada município deve possuir segregação lógica de dados e configuração própria.</w:t>
      </w:r>
    </w:p>
    <w:p>
      <w:pPr>
        <w:pStyle w:val="ListBullet"/>
      </w:pPr>
      <w:r>
        <w:t>Módulos desacoplados sobre um núcleo compartilhado de identidade, rede, documentos, indicadores e auditoria.</w:t>
      </w:r>
    </w:p>
    <w:p>
      <w:pPr>
        <w:pStyle w:val="ListBullet"/>
      </w:pPr>
      <w:r>
        <w:t>API e rotinas de importação/exportação para reduzir digitação e facilitar integração com bases oficiais ou municipais.</w:t>
      </w:r>
    </w:p>
    <w:p>
      <w:pPr>
        <w:pStyle w:val="ListBullet"/>
      </w:pPr>
      <w:r>
        <w:t>Camada de BI nativa ou integrada, preservando dicionário e linhagem do indicador.</w:t>
      </w:r>
    </w:p>
    <w:p>
      <w:pPr>
        <w:pStyle w:val="ListBullet"/>
      </w:pPr>
      <w:r>
        <w:t>Armazenamento de documentos com versionamento, metadados, permissões e histórico.</w:t>
      </w:r>
    </w:p>
    <w:p>
      <w:pPr>
        <w:pStyle w:val="ListBullet"/>
      </w:pPr>
      <w:r>
        <w:t>Logs auditáveis de ações críticas e exportações.</w:t>
      </w:r>
    </w:p>
    <w:p>
      <w:pPr>
        <w:pStyle w:val="ListBullet"/>
      </w:pPr>
      <w:r>
        <w:t>Backups, recuperação, disponibilidade e monitoramento definidos por acordo de serviço.</w:t>
      </w:r>
    </w:p>
    <w:p>
      <w:pPr>
        <w:pStyle w:val="ListBullet"/>
      </w:pPr>
      <w:r>
        <w:t>Portabilidade: exportação estruturada de dados e documentos no encerramento contratual.</w:t>
      </w:r>
    </w:p>
    <w:p>
      <w:pPr>
        <w:pStyle w:val="Heading2"/>
      </w:pPr>
      <w:r>
        <w:t>8.3 LGPD e proteção de dados</w:t>
      </w:r>
    </w:p>
    <w:p>
      <w:r>
        <w:t>A solução deve aplicar minimização de dados, finalidade explícita, controle de acesso e segurança desde a concepção. Dados de estudantes — em especial crianças e adolescentes — merecem tratamento reforçado. Para painéis gerenciais, deve-se preferir agregação e pseudonimização sempre que o objetivo não exigir identificação individual.</w:t>
      </w:r>
    </w:p>
    <w:tbl>
      <w:tblPr>
        <w:tblStyle w:val="TableGrid"/>
        <w:tblW w:type="auto" w:w="0"/>
        <w:jc w:val="center"/>
        <w:tblLook w:firstColumn="1" w:firstRow="1" w:lastColumn="0" w:lastRow="0" w:noHBand="0" w:noVBand="1" w:val="04A0"/>
      </w:tblPr>
      <w:tblGrid>
        <w:gridCol w:w="4929"/>
        <w:gridCol w:w="4929"/>
      </w:tblGrid>
      <w:tr>
        <w:trPr>
          <w:cantSplit/>
        </w:trPr>
        <w:tc>
          <w:tcPr>
            <w:tcW w:type="dxa" w:w="2381"/>
            <w:shd w:fill="0F6B6D"/>
          </w:tcPr>
          <w:p>
            <w:pPr>
              <w:keepNext/>
            </w:pPr>
            <w:r>
              <w:rPr>
                <w:rFonts w:ascii="Arial" w:hAnsi="Arial"/>
                <w:b/>
                <w:color w:val="FFFFFF"/>
                <w:sz w:val="18"/>
              </w:rPr>
              <w:t>Controle</w:t>
            </w:r>
          </w:p>
        </w:tc>
        <w:tc>
          <w:tcPr>
            <w:tcW w:type="dxa" w:w="6690"/>
            <w:shd w:fill="0F6B6D"/>
          </w:tcPr>
          <w:p>
            <w:pPr>
              <w:keepNext/>
            </w:pPr>
            <w:r>
              <w:rPr>
                <w:rFonts w:ascii="Arial" w:hAnsi="Arial"/>
                <w:b/>
                <w:color w:val="FFFFFF"/>
                <w:sz w:val="18"/>
              </w:rPr>
              <w:t>Aplicação</w:t>
            </w:r>
          </w:p>
        </w:tc>
      </w:tr>
      <w:tr>
        <w:trPr>
          <w:cantSplit/>
        </w:trPr>
        <w:tc>
          <w:tcPr>
            <w:tcW w:type="dxa" w:w="4929"/>
          </w:tcPr>
          <w:p>
            <w:r>
              <w:rPr>
                <w:rFonts w:ascii="Arial" w:hAnsi="Arial"/>
                <w:b/>
                <w:sz w:val="18"/>
              </w:rPr>
              <w:t>Minimização</w:t>
            </w:r>
          </w:p>
        </w:tc>
        <w:tc>
          <w:tcPr>
            <w:tcW w:type="dxa" w:w="4929"/>
          </w:tcPr>
          <w:p>
            <w:r>
              <w:rPr>
                <w:rFonts w:ascii="Arial" w:hAnsi="Arial"/>
                <w:sz w:val="18"/>
              </w:rPr>
              <w:t>coletar somente o necessário para a finalidade do módulo.</w:t>
            </w:r>
          </w:p>
        </w:tc>
      </w:tr>
      <w:tr>
        <w:trPr>
          <w:cantSplit/>
        </w:trPr>
        <w:tc>
          <w:tcPr>
            <w:tcW w:type="dxa" w:w="4929"/>
          </w:tcPr>
          <w:p>
            <w:r>
              <w:rPr>
                <w:rFonts w:ascii="Arial" w:hAnsi="Arial"/>
                <w:b/>
                <w:sz w:val="18"/>
              </w:rPr>
              <w:t>Perfil e menor privilégio</w:t>
            </w:r>
          </w:p>
        </w:tc>
        <w:tc>
          <w:tcPr>
            <w:tcW w:type="dxa" w:w="4929"/>
          </w:tcPr>
          <w:p>
            <w:r>
              <w:rPr>
                <w:rFonts w:ascii="Arial" w:hAnsi="Arial"/>
                <w:sz w:val="18"/>
              </w:rPr>
              <w:t>cada usuário acessa apenas o que precisa para exercer sua função.</w:t>
            </w:r>
          </w:p>
        </w:tc>
      </w:tr>
      <w:tr>
        <w:trPr>
          <w:cantSplit/>
        </w:trPr>
        <w:tc>
          <w:tcPr>
            <w:tcW w:type="dxa" w:w="4929"/>
          </w:tcPr>
          <w:p>
            <w:r>
              <w:rPr>
                <w:rFonts w:ascii="Arial" w:hAnsi="Arial"/>
                <w:b/>
                <w:sz w:val="18"/>
              </w:rPr>
              <w:t>Segregação municipal</w:t>
            </w:r>
          </w:p>
        </w:tc>
        <w:tc>
          <w:tcPr>
            <w:tcW w:type="dxa" w:w="4929"/>
          </w:tcPr>
          <w:p>
            <w:r>
              <w:rPr>
                <w:rFonts w:ascii="Arial" w:hAnsi="Arial"/>
                <w:sz w:val="18"/>
              </w:rPr>
              <w:t>nenhum município acessa dados identificados de outro município.</w:t>
            </w:r>
          </w:p>
        </w:tc>
      </w:tr>
      <w:tr>
        <w:trPr>
          <w:cantSplit/>
        </w:trPr>
        <w:tc>
          <w:tcPr>
            <w:tcW w:type="dxa" w:w="4929"/>
          </w:tcPr>
          <w:p>
            <w:r>
              <w:rPr>
                <w:rFonts w:ascii="Arial" w:hAnsi="Arial"/>
                <w:b/>
                <w:sz w:val="18"/>
              </w:rPr>
              <w:t>Auditoria</w:t>
            </w:r>
          </w:p>
        </w:tc>
        <w:tc>
          <w:tcPr>
            <w:tcW w:type="dxa" w:w="4929"/>
          </w:tcPr>
          <w:p>
            <w:r>
              <w:rPr>
                <w:rFonts w:ascii="Arial" w:hAnsi="Arial"/>
                <w:sz w:val="18"/>
              </w:rPr>
              <w:t>ações críticas registradas com usuário, data e contexto.</w:t>
            </w:r>
          </w:p>
        </w:tc>
      </w:tr>
      <w:tr>
        <w:trPr>
          <w:cantSplit/>
        </w:trPr>
        <w:tc>
          <w:tcPr>
            <w:tcW w:type="dxa" w:w="4929"/>
          </w:tcPr>
          <w:p>
            <w:r>
              <w:rPr>
                <w:rFonts w:ascii="Arial" w:hAnsi="Arial"/>
                <w:b/>
                <w:sz w:val="18"/>
              </w:rPr>
              <w:t>Retenção</w:t>
            </w:r>
          </w:p>
        </w:tc>
        <w:tc>
          <w:tcPr>
            <w:tcW w:type="dxa" w:w="4929"/>
          </w:tcPr>
          <w:p>
            <w:r>
              <w:rPr>
                <w:rFonts w:ascii="Arial" w:hAnsi="Arial"/>
                <w:sz w:val="18"/>
              </w:rPr>
              <w:t>política de guarda e descarte compatível com obrigação legal, finalidade e contrato.</w:t>
            </w:r>
          </w:p>
        </w:tc>
      </w:tr>
      <w:tr>
        <w:trPr>
          <w:cantSplit/>
        </w:trPr>
        <w:tc>
          <w:tcPr>
            <w:tcW w:type="dxa" w:w="4929"/>
          </w:tcPr>
          <w:p>
            <w:r>
              <w:rPr>
                <w:rFonts w:ascii="Arial" w:hAnsi="Arial"/>
                <w:b/>
                <w:sz w:val="18"/>
              </w:rPr>
              <w:t>Incidentes</w:t>
            </w:r>
          </w:p>
        </w:tc>
        <w:tc>
          <w:tcPr>
            <w:tcW w:type="dxa" w:w="4929"/>
          </w:tcPr>
          <w:p>
            <w:r>
              <w:rPr>
                <w:rFonts w:ascii="Arial" w:hAnsi="Arial"/>
                <w:sz w:val="18"/>
              </w:rPr>
              <w:t>procedimento de resposta, comunicação e contenção.</w:t>
            </w:r>
          </w:p>
        </w:tc>
      </w:tr>
      <w:tr>
        <w:trPr>
          <w:cantSplit/>
        </w:trPr>
        <w:tc>
          <w:tcPr>
            <w:tcW w:type="dxa" w:w="4929"/>
          </w:tcPr>
          <w:p>
            <w:r>
              <w:rPr>
                <w:rFonts w:ascii="Arial" w:hAnsi="Arial"/>
                <w:b/>
                <w:sz w:val="18"/>
              </w:rPr>
              <w:t>Transparência</w:t>
            </w:r>
          </w:p>
        </w:tc>
        <w:tc>
          <w:tcPr>
            <w:tcW w:type="dxa" w:w="4929"/>
          </w:tcPr>
          <w:p>
            <w:r>
              <w:rPr>
                <w:rFonts w:ascii="Arial" w:hAnsi="Arial"/>
                <w:sz w:val="18"/>
              </w:rPr>
              <w:t>documentação das finalidades, bases, operadores e fluxos de tratamento.</w:t>
            </w:r>
          </w:p>
        </w:tc>
      </w:tr>
      <w:tr>
        <w:trPr>
          <w:cantSplit/>
        </w:trPr>
        <w:tc>
          <w:tcPr>
            <w:tcW w:type="dxa" w:w="4929"/>
          </w:tcPr>
          <w:p>
            <w:r>
              <w:rPr>
                <w:rFonts w:ascii="Arial" w:hAnsi="Arial"/>
                <w:b/>
                <w:sz w:val="18"/>
              </w:rPr>
              <w:t>Exportação segura</w:t>
            </w:r>
          </w:p>
        </w:tc>
        <w:tc>
          <w:tcPr>
            <w:tcW w:type="dxa" w:w="4929"/>
          </w:tcPr>
          <w:p>
            <w:r>
              <w:rPr>
                <w:rFonts w:ascii="Arial" w:hAnsi="Arial"/>
                <w:sz w:val="18"/>
              </w:rPr>
              <w:t>relatórios e planilhas com controles proporcionais à sensibilidade.</w:t>
            </w:r>
          </w:p>
        </w:tc>
      </w:tr>
    </w:tbl>
    <w:p>
      <w:pPr>
        <w:pStyle w:val="Heading2"/>
      </w:pPr>
      <w:r>
        <w:t>8.4 Integrações: princípio de realidade</w:t>
      </w:r>
    </w:p>
    <w:p>
      <w:r>
        <w:t>Nem todo sistema oficial oferece API ou integração automatizada. A plataforma deve suportar quatro níveis de integração: (1) consulta/entrada manual estruturada; (2) importação de CSV/XLSX; (3) ingestão periódica por arquivo; e (4) API/serviço quando tecnicamente e juridicamente disponível. O desenho comercial não deve prometer automação de sistemas de terceiros antes de validar a viabilidade de acesso.</w:t>
      </w:r>
    </w:p>
    <w:p>
      <w:pPr>
        <w:pStyle w:val="Heading1"/>
      </w:pPr>
      <w:r>
        <w:t>9. Catálogo estratégico de soluções</w:t>
      </w:r>
    </w:p>
    <w:p>
      <w:r>
        <w:t>O catálogo é a camada comercial que traduz as capacidades da plataforma em frentes reconhecíveis pelo gestor municipal. Cada módulo terá ficha própria no Volume 2, com problema, público, requisitos, dados, entregáveis, formação, indicadores, cronograma e dependências.</w:t>
      </w:r>
    </w:p>
    <w:tbl>
      <w:tblPr>
        <w:tblStyle w:val="TableGrid"/>
        <w:tblW w:type="auto" w:w="0"/>
        <w:jc w:val="center"/>
        <w:tblLook w:firstColumn="1" w:firstRow="1" w:lastColumn="0" w:lastRow="0" w:noHBand="0" w:noVBand="1" w:val="04A0"/>
      </w:tblPr>
      <w:tblGrid>
        <w:gridCol w:w="1972"/>
        <w:gridCol w:w="1972"/>
        <w:gridCol w:w="1972"/>
        <w:gridCol w:w="1972"/>
        <w:gridCol w:w="1972"/>
      </w:tblGrid>
      <w:tr>
        <w:trPr>
          <w:tblHeader w:val="true"/>
          <w:cantSplit/>
        </w:trPr>
        <w:tc>
          <w:tcPr>
            <w:tcW w:type="dxa" w:w="624"/>
            <w:shd w:fill="17365D"/>
          </w:tcPr>
          <w:p>
            <w:pPr>
              <w:keepNext/>
            </w:pPr>
            <w:r>
              <w:rPr>
                <w:rFonts w:ascii="Arial" w:hAnsi="Arial"/>
                <w:b/>
                <w:color w:val="FFFFFF"/>
                <w:sz w:val="18"/>
              </w:rPr>
              <w:t>#</w:t>
            </w:r>
          </w:p>
        </w:tc>
        <w:tc>
          <w:tcPr>
            <w:tcW w:type="dxa" w:w="2154"/>
            <w:shd w:fill="17365D"/>
          </w:tcPr>
          <w:p>
            <w:pPr>
              <w:keepNext/>
            </w:pPr>
            <w:r>
              <w:rPr>
                <w:rFonts w:ascii="Arial" w:hAnsi="Arial"/>
                <w:b/>
                <w:color w:val="FFFFFF"/>
                <w:sz w:val="18"/>
              </w:rPr>
              <w:t>Solução</w:t>
            </w:r>
          </w:p>
        </w:tc>
        <w:tc>
          <w:tcPr>
            <w:tcW w:type="dxa" w:w="1134"/>
            <w:shd w:fill="17365D"/>
          </w:tcPr>
          <w:p>
            <w:pPr>
              <w:keepNext/>
            </w:pPr>
            <w:r>
              <w:rPr>
                <w:rFonts w:ascii="Arial" w:hAnsi="Arial"/>
                <w:b/>
                <w:color w:val="FFFFFF"/>
                <w:sz w:val="18"/>
              </w:rPr>
              <w:t>Urgência típica</w:t>
            </w:r>
          </w:p>
        </w:tc>
        <w:tc>
          <w:tcPr>
            <w:tcW w:type="dxa" w:w="1814"/>
            <w:shd w:fill="17365D"/>
          </w:tcPr>
          <w:p>
            <w:pPr>
              <w:keepNext/>
            </w:pPr>
            <w:r>
              <w:rPr>
                <w:rFonts w:ascii="Arial" w:hAnsi="Arial"/>
                <w:b/>
                <w:color w:val="FFFFFF"/>
                <w:sz w:val="18"/>
              </w:rPr>
              <w:t>Valor principal</w:t>
            </w:r>
          </w:p>
        </w:tc>
        <w:tc>
          <w:tcPr>
            <w:tcW w:type="dxa" w:w="3345"/>
            <w:shd w:fill="17365D"/>
          </w:tcPr>
          <w:p>
            <w:pPr>
              <w:keepNext/>
            </w:pPr>
            <w:r>
              <w:rPr>
                <w:rFonts w:ascii="Arial" w:hAnsi="Arial"/>
                <w:b/>
                <w:color w:val="FFFFFF"/>
                <w:sz w:val="18"/>
              </w:rPr>
              <w:t>Escopo resumido</w:t>
            </w:r>
          </w:p>
        </w:tc>
      </w:tr>
      <w:tr>
        <w:trPr>
          <w:cantSplit/>
        </w:trPr>
        <w:tc>
          <w:tcPr>
            <w:tcW w:type="dxa" w:w="1972"/>
          </w:tcPr>
          <w:p>
            <w:r>
              <w:rPr>
                <w:rFonts w:ascii="Arial" w:hAnsi="Arial"/>
                <w:sz w:val="18"/>
              </w:rPr>
              <w:t>01</w:t>
            </w:r>
          </w:p>
        </w:tc>
        <w:tc>
          <w:tcPr>
            <w:tcW w:type="dxa" w:w="1972"/>
          </w:tcPr>
          <w:p>
            <w:r>
              <w:rPr>
                <w:rFonts w:ascii="Arial" w:hAnsi="Arial"/>
                <w:b/>
                <w:sz w:val="18"/>
              </w:rPr>
              <w:t>BNCC Computação</w:t>
            </w:r>
          </w:p>
        </w:tc>
        <w:tc>
          <w:tcPr>
            <w:tcW w:type="dxa" w:w="1972"/>
          </w:tcPr>
          <w:p>
            <w:r>
              <w:rPr>
                <w:rFonts w:ascii="Arial" w:hAnsi="Arial"/>
                <w:sz w:val="18"/>
              </w:rPr>
              <w:t>Alta</w:t>
            </w:r>
          </w:p>
        </w:tc>
        <w:tc>
          <w:tcPr>
            <w:tcW w:type="dxa" w:w="1972"/>
          </w:tcPr>
          <w:p>
            <w:r>
              <w:rPr>
                <w:rFonts w:ascii="Arial" w:hAnsi="Arial"/>
                <w:sz w:val="18"/>
              </w:rPr>
              <w:t>Regulatório + curricular + formação</w:t>
            </w:r>
          </w:p>
        </w:tc>
        <w:tc>
          <w:tcPr>
            <w:tcW w:type="dxa" w:w="1972"/>
          </w:tcPr>
          <w:p>
            <w:r>
              <w:rPr>
                <w:rFonts w:ascii="Arial" w:hAnsi="Arial"/>
                <w:sz w:val="18"/>
              </w:rPr>
              <w:t>Adequação/adesão curricular, formação, execução por escola, evidências e monitoramento. Módulo prioritário de entrada.</w:t>
            </w:r>
          </w:p>
        </w:tc>
      </w:tr>
      <w:tr>
        <w:trPr>
          <w:cantSplit/>
        </w:trPr>
        <w:tc>
          <w:tcPr>
            <w:tcW w:type="dxa" w:w="1972"/>
          </w:tcPr>
          <w:p>
            <w:r>
              <w:rPr>
                <w:rFonts w:ascii="Arial" w:hAnsi="Arial"/>
                <w:sz w:val="18"/>
              </w:rPr>
              <w:t>02</w:t>
            </w:r>
          </w:p>
        </w:tc>
        <w:tc>
          <w:tcPr>
            <w:tcW w:type="dxa" w:w="1972"/>
          </w:tcPr>
          <w:p>
            <w:r>
              <w:rPr>
                <w:rFonts w:ascii="Arial" w:hAnsi="Arial"/>
                <w:b/>
                <w:sz w:val="18"/>
              </w:rPr>
              <w:t>Alfabetização e anos iniciais</w:t>
            </w:r>
          </w:p>
        </w:tc>
        <w:tc>
          <w:tcPr>
            <w:tcW w:type="dxa" w:w="1972"/>
          </w:tcPr>
          <w:p>
            <w:r>
              <w:rPr>
                <w:rFonts w:ascii="Arial" w:hAnsi="Arial"/>
                <w:sz w:val="18"/>
              </w:rPr>
              <w:t>Alta</w:t>
            </w:r>
          </w:p>
        </w:tc>
        <w:tc>
          <w:tcPr>
            <w:tcW w:type="dxa" w:w="1972"/>
          </w:tcPr>
          <w:p>
            <w:r>
              <w:rPr>
                <w:rFonts w:ascii="Arial" w:hAnsi="Arial"/>
                <w:sz w:val="18"/>
              </w:rPr>
              <w:t>Aprendizagem + políticas nacionais</w:t>
            </w:r>
          </w:p>
        </w:tc>
        <w:tc>
          <w:tcPr>
            <w:tcW w:type="dxa" w:w="1972"/>
          </w:tcPr>
          <w:p>
            <w:r>
              <w:rPr>
                <w:rFonts w:ascii="Arial" w:hAnsi="Arial"/>
                <w:sz w:val="18"/>
              </w:rPr>
              <w:t>Diagnóstico de aprendizagem, formação, planos, acompanhamento por escola/turma e indicadores.</w:t>
            </w:r>
          </w:p>
        </w:tc>
      </w:tr>
      <w:tr>
        <w:trPr>
          <w:cantSplit/>
        </w:trPr>
        <w:tc>
          <w:tcPr>
            <w:tcW w:type="dxa" w:w="1972"/>
          </w:tcPr>
          <w:p>
            <w:r>
              <w:rPr>
                <w:rFonts w:ascii="Arial" w:hAnsi="Arial"/>
                <w:sz w:val="18"/>
              </w:rPr>
              <w:t>03</w:t>
            </w:r>
          </w:p>
        </w:tc>
        <w:tc>
          <w:tcPr>
            <w:tcW w:type="dxa" w:w="1972"/>
          </w:tcPr>
          <w:p>
            <w:r>
              <w:rPr>
                <w:rFonts w:ascii="Arial" w:hAnsi="Arial"/>
                <w:b/>
                <w:sz w:val="18"/>
              </w:rPr>
              <w:t>Saeb, Ideb e aprendizagem</w:t>
            </w:r>
          </w:p>
        </w:tc>
        <w:tc>
          <w:tcPr>
            <w:tcW w:type="dxa" w:w="1972"/>
          </w:tcPr>
          <w:p>
            <w:r>
              <w:rPr>
                <w:rFonts w:ascii="Arial" w:hAnsi="Arial"/>
                <w:sz w:val="18"/>
              </w:rPr>
              <w:t>Alta</w:t>
            </w:r>
          </w:p>
        </w:tc>
        <w:tc>
          <w:tcPr>
            <w:tcW w:type="dxa" w:w="1972"/>
          </w:tcPr>
          <w:p>
            <w:r>
              <w:rPr>
                <w:rFonts w:ascii="Arial" w:hAnsi="Arial"/>
                <w:sz w:val="18"/>
              </w:rPr>
              <w:t>Resultados + planejamento</w:t>
            </w:r>
          </w:p>
        </w:tc>
        <w:tc>
          <w:tcPr>
            <w:tcW w:type="dxa" w:w="1972"/>
          </w:tcPr>
          <w:p>
            <w:r>
              <w:rPr>
                <w:rFonts w:ascii="Arial" w:hAnsi="Arial"/>
                <w:sz w:val="18"/>
              </w:rPr>
              <w:t>Participação, proficiência, aprovação, metas, preparação sistêmica e análise de lacunas.</w:t>
            </w:r>
          </w:p>
        </w:tc>
      </w:tr>
      <w:tr>
        <w:trPr>
          <w:cantSplit/>
        </w:trPr>
        <w:tc>
          <w:tcPr>
            <w:tcW w:type="dxa" w:w="1972"/>
          </w:tcPr>
          <w:p>
            <w:r>
              <w:rPr>
                <w:rFonts w:ascii="Arial" w:hAnsi="Arial"/>
                <w:sz w:val="18"/>
              </w:rPr>
              <w:t>04</w:t>
            </w:r>
          </w:p>
        </w:tc>
        <w:tc>
          <w:tcPr>
            <w:tcW w:type="dxa" w:w="1972"/>
          </w:tcPr>
          <w:p>
            <w:r>
              <w:rPr>
                <w:rFonts w:ascii="Arial" w:hAnsi="Arial"/>
                <w:b/>
                <w:sz w:val="18"/>
              </w:rPr>
              <w:t>VAAR: permanência, equidade e gestão</w:t>
            </w:r>
          </w:p>
        </w:tc>
        <w:tc>
          <w:tcPr>
            <w:tcW w:type="dxa" w:w="1972"/>
          </w:tcPr>
          <w:p>
            <w:r>
              <w:rPr>
                <w:rFonts w:ascii="Arial" w:hAnsi="Arial"/>
                <w:sz w:val="18"/>
              </w:rPr>
              <w:t>Alta</w:t>
            </w:r>
          </w:p>
        </w:tc>
        <w:tc>
          <w:tcPr>
            <w:tcW w:type="dxa" w:w="1972"/>
          </w:tcPr>
          <w:p>
            <w:r>
              <w:rPr>
                <w:rFonts w:ascii="Arial" w:hAnsi="Arial"/>
                <w:sz w:val="18"/>
              </w:rPr>
              <w:t>Financiamento + resultados</w:t>
            </w:r>
          </w:p>
        </w:tc>
        <w:tc>
          <w:tcPr>
            <w:tcW w:type="dxa" w:w="1972"/>
          </w:tcPr>
          <w:p>
            <w:r>
              <w:rPr>
                <w:rFonts w:ascii="Arial" w:hAnsi="Arial"/>
                <w:sz w:val="18"/>
              </w:rPr>
              <w:t>Mapa de condicionalidades, indicadores, riscos, evidências, calendário e plano de melhoria.</w:t>
            </w:r>
          </w:p>
        </w:tc>
      </w:tr>
      <w:tr>
        <w:trPr>
          <w:cantSplit/>
        </w:trPr>
        <w:tc>
          <w:tcPr>
            <w:tcW w:type="dxa" w:w="1972"/>
          </w:tcPr>
          <w:p>
            <w:r>
              <w:rPr>
                <w:rFonts w:ascii="Arial" w:hAnsi="Arial"/>
                <w:sz w:val="18"/>
              </w:rPr>
              <w:t>05</w:t>
            </w:r>
          </w:p>
        </w:tc>
        <w:tc>
          <w:tcPr>
            <w:tcW w:type="dxa" w:w="1972"/>
          </w:tcPr>
          <w:p>
            <w:r>
              <w:rPr>
                <w:rFonts w:ascii="Arial" w:hAnsi="Arial"/>
                <w:b/>
                <w:sz w:val="18"/>
              </w:rPr>
              <w:t>Educação em tempo integral</w:t>
            </w:r>
          </w:p>
        </w:tc>
        <w:tc>
          <w:tcPr>
            <w:tcW w:type="dxa" w:w="1972"/>
          </w:tcPr>
          <w:p>
            <w:r>
              <w:rPr>
                <w:rFonts w:ascii="Arial" w:hAnsi="Arial"/>
                <w:sz w:val="18"/>
              </w:rPr>
              <w:t>Média/Alta</w:t>
            </w:r>
          </w:p>
        </w:tc>
        <w:tc>
          <w:tcPr>
            <w:tcW w:type="dxa" w:w="1972"/>
          </w:tcPr>
          <w:p>
            <w:r>
              <w:rPr>
                <w:rFonts w:ascii="Arial" w:hAnsi="Arial"/>
                <w:sz w:val="18"/>
              </w:rPr>
              <w:t>Expansão de matrículas + financiamento</w:t>
            </w:r>
          </w:p>
        </w:tc>
        <w:tc>
          <w:tcPr>
            <w:tcW w:type="dxa" w:w="1972"/>
          </w:tcPr>
          <w:p>
            <w:r>
              <w:rPr>
                <w:rFonts w:ascii="Arial" w:hAnsi="Arial"/>
                <w:sz w:val="18"/>
              </w:rPr>
              <w:t>Planejamento de oferta, matrículas, organização pedagógica, profissionais, evidências e indicadores.</w:t>
            </w:r>
          </w:p>
        </w:tc>
      </w:tr>
      <w:tr>
        <w:trPr>
          <w:cantSplit/>
        </w:trPr>
        <w:tc>
          <w:tcPr>
            <w:tcW w:type="dxa" w:w="1972"/>
          </w:tcPr>
          <w:p>
            <w:r>
              <w:rPr>
                <w:rFonts w:ascii="Arial" w:hAnsi="Arial"/>
                <w:sz w:val="18"/>
              </w:rPr>
              <w:t>06</w:t>
            </w:r>
          </w:p>
        </w:tc>
        <w:tc>
          <w:tcPr>
            <w:tcW w:type="dxa" w:w="1972"/>
          </w:tcPr>
          <w:p>
            <w:r>
              <w:rPr>
                <w:rFonts w:ascii="Arial" w:hAnsi="Arial"/>
                <w:b/>
                <w:sz w:val="18"/>
              </w:rPr>
              <w:t>Formação continuada municipal</w:t>
            </w:r>
          </w:p>
        </w:tc>
        <w:tc>
          <w:tcPr>
            <w:tcW w:type="dxa" w:w="1972"/>
          </w:tcPr>
          <w:p>
            <w:r>
              <w:rPr>
                <w:rFonts w:ascii="Arial" w:hAnsi="Arial"/>
                <w:sz w:val="18"/>
              </w:rPr>
              <w:t>Média/Alta</w:t>
            </w:r>
          </w:p>
        </w:tc>
        <w:tc>
          <w:tcPr>
            <w:tcW w:type="dxa" w:w="1972"/>
          </w:tcPr>
          <w:p>
            <w:r>
              <w:rPr>
                <w:rFonts w:ascii="Arial" w:hAnsi="Arial"/>
                <w:sz w:val="18"/>
              </w:rPr>
              <w:t>Capacidade institucional</w:t>
            </w:r>
          </w:p>
        </w:tc>
        <w:tc>
          <w:tcPr>
            <w:tcW w:type="dxa" w:w="1972"/>
          </w:tcPr>
          <w:p>
            <w:r>
              <w:rPr>
                <w:rFonts w:ascii="Arial" w:hAnsi="Arial"/>
                <w:sz w:val="18"/>
              </w:rPr>
              <w:t>Catálogo de trilhas, inscrições, progresso, aplicação, certificação, indicadores e histórico profissional.</w:t>
            </w:r>
          </w:p>
        </w:tc>
      </w:tr>
      <w:tr>
        <w:trPr>
          <w:cantSplit/>
        </w:trPr>
        <w:tc>
          <w:tcPr>
            <w:tcW w:type="dxa" w:w="1972"/>
          </w:tcPr>
          <w:p>
            <w:r>
              <w:rPr>
                <w:rFonts w:ascii="Arial" w:hAnsi="Arial"/>
                <w:sz w:val="18"/>
              </w:rPr>
              <w:t>07</w:t>
            </w:r>
          </w:p>
        </w:tc>
        <w:tc>
          <w:tcPr>
            <w:tcW w:type="dxa" w:w="1972"/>
          </w:tcPr>
          <w:p>
            <w:r>
              <w:rPr>
                <w:rFonts w:ascii="Arial" w:hAnsi="Arial"/>
                <w:b/>
                <w:sz w:val="18"/>
              </w:rPr>
              <w:t>Gestão e liderança escolar</w:t>
            </w:r>
          </w:p>
        </w:tc>
        <w:tc>
          <w:tcPr>
            <w:tcW w:type="dxa" w:w="1972"/>
          </w:tcPr>
          <w:p>
            <w:r>
              <w:rPr>
                <w:rFonts w:ascii="Arial" w:hAnsi="Arial"/>
                <w:sz w:val="18"/>
              </w:rPr>
              <w:t>Média/Alta</w:t>
            </w:r>
          </w:p>
        </w:tc>
        <w:tc>
          <w:tcPr>
            <w:tcW w:type="dxa" w:w="1972"/>
          </w:tcPr>
          <w:p>
            <w:r>
              <w:rPr>
                <w:rFonts w:ascii="Arial" w:hAnsi="Arial"/>
                <w:sz w:val="18"/>
              </w:rPr>
              <w:t>Governança + condicionalidades</w:t>
            </w:r>
          </w:p>
        </w:tc>
        <w:tc>
          <w:tcPr>
            <w:tcW w:type="dxa" w:w="1972"/>
          </w:tcPr>
          <w:p>
            <w:r>
              <w:rPr>
                <w:rFonts w:ascii="Arial" w:hAnsi="Arial"/>
                <w:sz w:val="18"/>
              </w:rPr>
              <w:t>Seleção de gestores, competências, metas, acompanhamento e evidências.</w:t>
            </w:r>
          </w:p>
        </w:tc>
      </w:tr>
      <w:tr>
        <w:trPr>
          <w:cantSplit/>
        </w:trPr>
        <w:tc>
          <w:tcPr>
            <w:tcW w:type="dxa" w:w="1972"/>
          </w:tcPr>
          <w:p>
            <w:r>
              <w:rPr>
                <w:rFonts w:ascii="Arial" w:hAnsi="Arial"/>
                <w:sz w:val="18"/>
              </w:rPr>
              <w:t>08</w:t>
            </w:r>
          </w:p>
        </w:tc>
        <w:tc>
          <w:tcPr>
            <w:tcW w:type="dxa" w:w="1972"/>
          </w:tcPr>
          <w:p>
            <w:r>
              <w:rPr>
                <w:rFonts w:ascii="Arial" w:hAnsi="Arial"/>
                <w:b/>
                <w:sz w:val="18"/>
              </w:rPr>
              <w:t>Frequência, abandono e busca ativa</w:t>
            </w:r>
          </w:p>
        </w:tc>
        <w:tc>
          <w:tcPr>
            <w:tcW w:type="dxa" w:w="1972"/>
          </w:tcPr>
          <w:p>
            <w:r>
              <w:rPr>
                <w:rFonts w:ascii="Arial" w:hAnsi="Arial"/>
                <w:sz w:val="18"/>
              </w:rPr>
              <w:t>Média/Alta</w:t>
            </w:r>
          </w:p>
        </w:tc>
        <w:tc>
          <w:tcPr>
            <w:tcW w:type="dxa" w:w="1972"/>
          </w:tcPr>
          <w:p>
            <w:r>
              <w:rPr>
                <w:rFonts w:ascii="Arial" w:hAnsi="Arial"/>
                <w:sz w:val="18"/>
              </w:rPr>
              <w:t>Permanência + equidade</w:t>
            </w:r>
          </w:p>
        </w:tc>
        <w:tc>
          <w:tcPr>
            <w:tcW w:type="dxa" w:w="1972"/>
          </w:tcPr>
          <w:p>
            <w:r>
              <w:rPr>
                <w:rFonts w:ascii="Arial" w:hAnsi="Arial"/>
                <w:sz w:val="18"/>
              </w:rPr>
              <w:t>Alertas, fluxos de acompanhamento, ações, retorno, indicadores por escola e território.</w:t>
            </w:r>
          </w:p>
        </w:tc>
      </w:tr>
      <w:tr>
        <w:trPr>
          <w:cantSplit/>
        </w:trPr>
        <w:tc>
          <w:tcPr>
            <w:tcW w:type="dxa" w:w="1972"/>
          </w:tcPr>
          <w:p>
            <w:r>
              <w:rPr>
                <w:rFonts w:ascii="Arial" w:hAnsi="Arial"/>
                <w:sz w:val="18"/>
              </w:rPr>
              <w:t>09</w:t>
            </w:r>
          </w:p>
        </w:tc>
        <w:tc>
          <w:tcPr>
            <w:tcW w:type="dxa" w:w="1972"/>
          </w:tcPr>
          <w:p>
            <w:r>
              <w:rPr>
                <w:rFonts w:ascii="Arial" w:hAnsi="Arial"/>
                <w:b/>
                <w:sz w:val="18"/>
              </w:rPr>
              <w:t>Agendas curriculares transversais</w:t>
            </w:r>
          </w:p>
        </w:tc>
        <w:tc>
          <w:tcPr>
            <w:tcW w:type="dxa" w:w="1972"/>
          </w:tcPr>
          <w:p>
            <w:r>
              <w:rPr>
                <w:rFonts w:ascii="Arial" w:hAnsi="Arial"/>
                <w:sz w:val="18"/>
              </w:rPr>
              <w:t>Variável</w:t>
            </w:r>
          </w:p>
        </w:tc>
        <w:tc>
          <w:tcPr>
            <w:tcW w:type="dxa" w:w="1972"/>
          </w:tcPr>
          <w:p>
            <w:r>
              <w:rPr>
                <w:rFonts w:ascii="Arial" w:hAnsi="Arial"/>
                <w:sz w:val="18"/>
              </w:rPr>
              <w:t>Currículo + legislação</w:t>
            </w:r>
          </w:p>
        </w:tc>
        <w:tc>
          <w:tcPr>
            <w:tcW w:type="dxa" w:w="1972"/>
          </w:tcPr>
          <w:p>
            <w:r>
              <w:rPr>
                <w:rFonts w:ascii="Arial" w:hAnsi="Arial"/>
                <w:sz w:val="18"/>
              </w:rPr>
              <w:t>Educação ambiental, relações étnico-raciais, educação financeira, direitos humanos e outras agendas, conforme prioridade e norma aplicável.</w:t>
            </w:r>
          </w:p>
        </w:tc>
      </w:tr>
      <w:tr>
        <w:trPr>
          <w:cantSplit/>
        </w:trPr>
        <w:tc>
          <w:tcPr>
            <w:tcW w:type="dxa" w:w="1972"/>
          </w:tcPr>
          <w:p>
            <w:r>
              <w:rPr>
                <w:rFonts w:ascii="Arial" w:hAnsi="Arial"/>
                <w:sz w:val="18"/>
              </w:rPr>
              <w:t>10</w:t>
            </w:r>
          </w:p>
        </w:tc>
        <w:tc>
          <w:tcPr>
            <w:tcW w:type="dxa" w:w="1972"/>
          </w:tcPr>
          <w:p>
            <w:r>
              <w:rPr>
                <w:rFonts w:ascii="Arial" w:hAnsi="Arial"/>
                <w:b/>
                <w:sz w:val="18"/>
              </w:rPr>
              <w:t>Governança de programas e recursos</w:t>
            </w:r>
          </w:p>
        </w:tc>
        <w:tc>
          <w:tcPr>
            <w:tcW w:type="dxa" w:w="1972"/>
          </w:tcPr>
          <w:p>
            <w:r>
              <w:rPr>
                <w:rFonts w:ascii="Arial" w:hAnsi="Arial"/>
                <w:sz w:val="18"/>
              </w:rPr>
              <w:t>Variável</w:t>
            </w:r>
          </w:p>
        </w:tc>
        <w:tc>
          <w:tcPr>
            <w:tcW w:type="dxa" w:w="1972"/>
          </w:tcPr>
          <w:p>
            <w:r>
              <w:rPr>
                <w:rFonts w:ascii="Arial" w:hAnsi="Arial"/>
                <w:sz w:val="18"/>
              </w:rPr>
              <w:t>Execução + prestação/controle</w:t>
            </w:r>
          </w:p>
        </w:tc>
        <w:tc>
          <w:tcPr>
            <w:tcW w:type="dxa" w:w="1972"/>
          </w:tcPr>
          <w:p>
            <w:r>
              <w:rPr>
                <w:rFonts w:ascii="Arial" w:hAnsi="Arial"/>
                <w:sz w:val="18"/>
              </w:rPr>
              <w:t>Calendário de programas, responsabilidades, documentos, metas, execução física e evidências; integração financeira apenas quando escopo e fonte permitirem.</w:t>
            </w:r>
          </w:p>
        </w:tc>
      </w:tr>
      <w:tr>
        <w:trPr>
          <w:cantSplit/>
        </w:trPr>
        <w:tc>
          <w:tcPr>
            <w:tcW w:type="dxa" w:w="1972"/>
          </w:tcPr>
          <w:p>
            <w:r>
              <w:rPr>
                <w:rFonts w:ascii="Arial" w:hAnsi="Arial"/>
                <w:sz w:val="18"/>
              </w:rPr>
              <w:t>11</w:t>
            </w:r>
          </w:p>
        </w:tc>
        <w:tc>
          <w:tcPr>
            <w:tcW w:type="dxa" w:w="1972"/>
          </w:tcPr>
          <w:p>
            <w:r>
              <w:rPr>
                <w:rFonts w:ascii="Arial" w:hAnsi="Arial"/>
                <w:b/>
                <w:sz w:val="18"/>
              </w:rPr>
              <w:t>Painel executivo da Secretaria</w:t>
            </w:r>
          </w:p>
        </w:tc>
        <w:tc>
          <w:tcPr>
            <w:tcW w:type="dxa" w:w="1972"/>
          </w:tcPr>
          <w:p>
            <w:r>
              <w:rPr>
                <w:rFonts w:ascii="Arial" w:hAnsi="Arial"/>
                <w:sz w:val="18"/>
              </w:rPr>
              <w:t>Transversal</w:t>
            </w:r>
          </w:p>
        </w:tc>
        <w:tc>
          <w:tcPr>
            <w:tcW w:type="dxa" w:w="1972"/>
          </w:tcPr>
          <w:p>
            <w:r>
              <w:rPr>
                <w:rFonts w:ascii="Arial" w:hAnsi="Arial"/>
                <w:sz w:val="18"/>
              </w:rPr>
              <w:t>Gestão estratégica</w:t>
            </w:r>
          </w:p>
        </w:tc>
        <w:tc>
          <w:tcPr>
            <w:tcW w:type="dxa" w:w="1972"/>
          </w:tcPr>
          <w:p>
            <w:r>
              <w:rPr>
                <w:rFonts w:ascii="Arial" w:hAnsi="Arial"/>
                <w:sz w:val="18"/>
              </w:rPr>
              <w:t>Portfólio, metas, riscos, prazos, escolas, indicadores e relatórios para alta gestão.</w:t>
            </w:r>
          </w:p>
        </w:tc>
      </w:tr>
      <w:tr>
        <w:trPr>
          <w:cantSplit/>
        </w:trPr>
        <w:tc>
          <w:tcPr>
            <w:tcW w:type="dxa" w:w="1972"/>
          </w:tcPr>
          <w:p>
            <w:r>
              <w:rPr>
                <w:rFonts w:ascii="Arial" w:hAnsi="Arial"/>
                <w:sz w:val="18"/>
              </w:rPr>
              <w:t>12</w:t>
            </w:r>
          </w:p>
        </w:tc>
        <w:tc>
          <w:tcPr>
            <w:tcW w:type="dxa" w:w="1972"/>
          </w:tcPr>
          <w:p>
            <w:r>
              <w:rPr>
                <w:rFonts w:ascii="Arial" w:hAnsi="Arial"/>
                <w:b/>
                <w:sz w:val="18"/>
              </w:rPr>
              <w:t>Dados e qualidade cadastral</w:t>
            </w:r>
          </w:p>
        </w:tc>
        <w:tc>
          <w:tcPr>
            <w:tcW w:type="dxa" w:w="1972"/>
          </w:tcPr>
          <w:p>
            <w:r>
              <w:rPr>
                <w:rFonts w:ascii="Arial" w:hAnsi="Arial"/>
                <w:sz w:val="18"/>
              </w:rPr>
              <w:t>Transversal</w:t>
            </w:r>
          </w:p>
        </w:tc>
        <w:tc>
          <w:tcPr>
            <w:tcW w:type="dxa" w:w="1972"/>
          </w:tcPr>
          <w:p>
            <w:r>
              <w:rPr>
                <w:rFonts w:ascii="Arial" w:hAnsi="Arial"/>
                <w:sz w:val="18"/>
              </w:rPr>
              <w:t>Infraestrutura de gestão</w:t>
            </w:r>
          </w:p>
        </w:tc>
        <w:tc>
          <w:tcPr>
            <w:tcW w:type="dxa" w:w="1972"/>
          </w:tcPr>
          <w:p>
            <w:r>
              <w:rPr>
                <w:rFonts w:ascii="Arial" w:hAnsi="Arial"/>
                <w:sz w:val="18"/>
              </w:rPr>
              <w:t>Padronização, dicionário, cruzamentos, consistência, atualização e governança das bases municipais.</w:t>
            </w:r>
          </w:p>
        </w:tc>
      </w:tr>
    </w:tbl>
    <w:p>
      <w:pPr>
        <w:pStyle w:val="Heading2"/>
      </w:pPr>
      <w:r>
        <w:t>9.1 Combinações comerciais possíveis</w:t>
      </w:r>
    </w:p>
    <w:p>
      <w:r>
        <w:rPr>
          <w:b/>
        </w:rPr>
        <w:t xml:space="preserve">Conformidade Curricular: </w:t>
      </w:r>
      <w:r>
        <w:t>BNCC Computação + agendas curriculares + formação + evidências</w:t>
      </w:r>
    </w:p>
    <w:p>
      <w:r>
        <w:rPr>
          <w:b/>
        </w:rPr>
        <w:t xml:space="preserve">Resultados e VAAR: </w:t>
      </w:r>
      <w:r>
        <w:t>VAAR + Saeb/Ideb + permanência/equidade + painel executivo</w:t>
      </w:r>
    </w:p>
    <w:p>
      <w:r>
        <w:rPr>
          <w:b/>
        </w:rPr>
        <w:t xml:space="preserve">Desenvolvimento Profissional: </w:t>
      </w:r>
      <w:r>
        <w:t>formação continuada + gestão escolar + trilhas temáticas + reconhecimento</w:t>
      </w:r>
    </w:p>
    <w:p>
      <w:r>
        <w:rPr>
          <w:b/>
        </w:rPr>
        <w:t xml:space="preserve">Gestão Estratégica da Rede: </w:t>
      </w:r>
      <w:r>
        <w:t>painel executivo + dados + planos/metas + portfólio de políticas</w:t>
      </w:r>
    </w:p>
    <w:p>
      <w:r>
        <w:rPr>
          <w:b/>
        </w:rPr>
        <w:t xml:space="preserve">Transformação Completa: </w:t>
      </w:r>
      <w:r>
        <w:t>núcleo comum + módulos prioritários definidos após diagnóstico</w:t>
      </w:r>
    </w:p>
    <w:p>
      <w:pPr>
        <w:pStyle w:val="Heading1"/>
      </w:pPr>
      <w:r>
        <w:t>10. Modelo de implantação municipal</w:t>
      </w:r>
    </w:p>
    <w:p>
      <w:pPr>
        <w:pStyle w:val="Heading2"/>
      </w:pPr>
      <w:r>
        <w:t>10.1 Implantação em cinco ondas</w:t>
      </w:r>
    </w:p>
    <w:tbl>
      <w:tblPr>
        <w:tblStyle w:val="TableGrid"/>
        <w:tblW w:type="auto" w:w="0"/>
        <w:jc w:val="center"/>
        <w:tblLook w:firstColumn="1" w:firstRow="1" w:lastColumn="0" w:lastRow="0" w:noHBand="0" w:noVBand="1" w:val="04A0"/>
      </w:tblPr>
      <w:tblGrid>
        <w:gridCol w:w="4929"/>
        <w:gridCol w:w="4929"/>
      </w:tblGrid>
      <w:tr>
        <w:trPr>
          <w:cantSplit/>
        </w:trPr>
        <w:tc>
          <w:tcPr>
            <w:tcW w:type="dxa" w:w="2835"/>
            <w:shd w:fill="17365D"/>
          </w:tcPr>
          <w:p>
            <w:pPr>
              <w:keepNext/>
            </w:pPr>
            <w:r>
              <w:rPr>
                <w:rFonts w:ascii="Arial" w:hAnsi="Arial"/>
                <w:b/>
                <w:color w:val="FFFFFF"/>
                <w:sz w:val="18"/>
              </w:rPr>
              <w:t>Onda</w:t>
            </w:r>
          </w:p>
        </w:tc>
        <w:tc>
          <w:tcPr>
            <w:tcW w:type="dxa" w:w="6236"/>
            <w:shd w:fill="17365D"/>
          </w:tcPr>
          <w:p>
            <w:pPr>
              <w:keepNext/>
            </w:pPr>
            <w:r>
              <w:rPr>
                <w:rFonts w:ascii="Arial" w:hAnsi="Arial"/>
                <w:b/>
                <w:color w:val="FFFFFF"/>
                <w:sz w:val="18"/>
              </w:rPr>
              <w:t>Foco</w:t>
            </w:r>
          </w:p>
        </w:tc>
      </w:tr>
      <w:tr>
        <w:trPr>
          <w:cantSplit/>
        </w:trPr>
        <w:tc>
          <w:tcPr>
            <w:tcW w:type="dxa" w:w="4929"/>
          </w:tcPr>
          <w:p>
            <w:r>
              <w:rPr>
                <w:rFonts w:ascii="Arial" w:hAnsi="Arial"/>
                <w:b/>
                <w:sz w:val="18"/>
              </w:rPr>
              <w:t>Onda 0 — Preparação (1–2 semanas)</w:t>
            </w:r>
          </w:p>
        </w:tc>
        <w:tc>
          <w:tcPr>
            <w:tcW w:type="dxa" w:w="4929"/>
          </w:tcPr>
          <w:p>
            <w:r>
              <w:rPr>
                <w:rFonts w:ascii="Arial" w:hAnsi="Arial"/>
                <w:sz w:val="18"/>
              </w:rPr>
              <w:t>patrocínio, escopo, responsáveis, acesso às bases, calendário e regras de segurança.</w:t>
            </w:r>
          </w:p>
        </w:tc>
      </w:tr>
      <w:tr>
        <w:trPr>
          <w:cantSplit/>
        </w:trPr>
        <w:tc>
          <w:tcPr>
            <w:tcW w:type="dxa" w:w="4929"/>
          </w:tcPr>
          <w:p>
            <w:r>
              <w:rPr>
                <w:rFonts w:ascii="Arial" w:hAnsi="Arial"/>
                <w:b/>
                <w:sz w:val="18"/>
              </w:rPr>
              <w:t>Onda 1 — Diagnóstico e desenho (2–4 semanas)</w:t>
            </w:r>
          </w:p>
        </w:tc>
        <w:tc>
          <w:tcPr>
            <w:tcW w:type="dxa" w:w="4929"/>
          </w:tcPr>
          <w:p>
            <w:r>
              <w:rPr>
                <w:rFonts w:ascii="Arial" w:hAnsi="Arial"/>
                <w:sz w:val="18"/>
              </w:rPr>
              <w:t>maturidade, dados, requisitos, plano, indicadores e configuração inicial.</w:t>
            </w:r>
          </w:p>
        </w:tc>
      </w:tr>
      <w:tr>
        <w:trPr>
          <w:cantSplit/>
        </w:trPr>
        <w:tc>
          <w:tcPr>
            <w:tcW w:type="dxa" w:w="4929"/>
          </w:tcPr>
          <w:p>
            <w:r>
              <w:rPr>
                <w:rFonts w:ascii="Arial" w:hAnsi="Arial"/>
                <w:b/>
                <w:sz w:val="18"/>
              </w:rPr>
              <w:t>Onda 2 — Implantação e formação (4–8 semanas)</w:t>
            </w:r>
          </w:p>
        </w:tc>
        <w:tc>
          <w:tcPr>
            <w:tcW w:type="dxa" w:w="4929"/>
          </w:tcPr>
          <w:p>
            <w:r>
              <w:rPr>
                <w:rFonts w:ascii="Arial" w:hAnsi="Arial"/>
                <w:sz w:val="18"/>
              </w:rPr>
              <w:t>cadastros, trilhas, escolas, fluxos, documentos, treinamento e piloto.</w:t>
            </w:r>
          </w:p>
        </w:tc>
      </w:tr>
      <w:tr>
        <w:trPr>
          <w:cantSplit/>
        </w:trPr>
        <w:tc>
          <w:tcPr>
            <w:tcW w:type="dxa" w:w="4929"/>
          </w:tcPr>
          <w:p>
            <w:r>
              <w:rPr>
                <w:rFonts w:ascii="Arial" w:hAnsi="Arial"/>
                <w:b/>
                <w:sz w:val="18"/>
              </w:rPr>
              <w:t>Onda 3 — Operação assistida (8–12 semanas)</w:t>
            </w:r>
          </w:p>
        </w:tc>
        <w:tc>
          <w:tcPr>
            <w:tcW w:type="dxa" w:w="4929"/>
          </w:tcPr>
          <w:p>
            <w:r>
              <w:rPr>
                <w:rFonts w:ascii="Arial" w:hAnsi="Arial"/>
                <w:sz w:val="18"/>
              </w:rPr>
              <w:t>uso real, validação de evidências, ajustes, relatórios, metas e estabilização.</w:t>
            </w:r>
          </w:p>
        </w:tc>
      </w:tr>
      <w:tr>
        <w:trPr>
          <w:cantSplit/>
        </w:trPr>
        <w:tc>
          <w:tcPr>
            <w:tcW w:type="dxa" w:w="4929"/>
          </w:tcPr>
          <w:p>
            <w:r>
              <w:rPr>
                <w:rFonts w:ascii="Arial" w:hAnsi="Arial"/>
                <w:b/>
                <w:sz w:val="18"/>
              </w:rPr>
              <w:t>Onda 4 — Ciclo contínuo (anual)</w:t>
            </w:r>
          </w:p>
        </w:tc>
        <w:tc>
          <w:tcPr>
            <w:tcW w:type="dxa" w:w="4929"/>
          </w:tcPr>
          <w:p>
            <w:r>
              <w:rPr>
                <w:rFonts w:ascii="Arial" w:hAnsi="Arial"/>
                <w:sz w:val="18"/>
              </w:rPr>
              <w:t>monitoramento, atualização de normas, novas turmas, melhoria, relatórios e expansão de módulos.</w:t>
            </w:r>
          </w:p>
        </w:tc>
      </w:tr>
    </w:tbl>
    <w:p>
      <w:pPr>
        <w:pStyle w:val="Heading2"/>
      </w:pPr>
      <w:r>
        <w:t>10.2 Modelo 30-60-90 dias</w:t>
      </w:r>
    </w:p>
    <w:tbl>
      <w:tblPr>
        <w:tblStyle w:val="TableGrid"/>
        <w:tblW w:type="auto" w:w="0"/>
        <w:jc w:val="center"/>
        <w:tblLook w:firstColumn="1" w:firstRow="1" w:lastColumn="0" w:lastRow="0" w:noHBand="0" w:noVBand="1" w:val="04A0"/>
      </w:tblPr>
      <w:tblGrid>
        <w:gridCol w:w="4929"/>
        <w:gridCol w:w="4929"/>
      </w:tblGrid>
      <w:tr>
        <w:trPr>
          <w:cantSplit/>
        </w:trPr>
        <w:tc>
          <w:tcPr>
            <w:tcW w:type="dxa" w:w="1984"/>
            <w:shd w:fill="0F6B6D"/>
          </w:tcPr>
          <w:p>
            <w:pPr>
              <w:keepNext/>
            </w:pPr>
            <w:r>
              <w:rPr>
                <w:rFonts w:ascii="Arial" w:hAnsi="Arial"/>
                <w:b/>
                <w:color w:val="FFFFFF"/>
                <w:sz w:val="18"/>
              </w:rPr>
              <w:t>Marco</w:t>
            </w:r>
          </w:p>
        </w:tc>
        <w:tc>
          <w:tcPr>
            <w:tcW w:type="dxa" w:w="7087"/>
            <w:shd w:fill="0F6B6D"/>
          </w:tcPr>
          <w:p>
            <w:pPr>
              <w:keepNext/>
            </w:pPr>
            <w:r>
              <w:rPr>
                <w:rFonts w:ascii="Arial" w:hAnsi="Arial"/>
                <w:b/>
                <w:color w:val="FFFFFF"/>
                <w:sz w:val="18"/>
              </w:rPr>
              <w:t>Resultado esperado</w:t>
            </w:r>
          </w:p>
        </w:tc>
      </w:tr>
      <w:tr>
        <w:trPr>
          <w:cantSplit/>
        </w:trPr>
        <w:tc>
          <w:tcPr>
            <w:tcW w:type="dxa" w:w="4929"/>
          </w:tcPr>
          <w:p>
            <w:r>
              <w:rPr>
                <w:rFonts w:ascii="Arial" w:hAnsi="Arial"/>
                <w:b/>
                <w:sz w:val="18"/>
              </w:rPr>
              <w:t>Dia 30</w:t>
            </w:r>
          </w:p>
        </w:tc>
        <w:tc>
          <w:tcPr>
            <w:tcW w:type="dxa" w:w="4929"/>
          </w:tcPr>
          <w:p>
            <w:r>
              <w:rPr>
                <w:rFonts w:ascii="Arial" w:hAnsi="Arial"/>
                <w:sz w:val="18"/>
              </w:rPr>
              <w:t>diagnóstico fechado, rede e dados mapeados, módulo configurado, plano validado e piloto definido.</w:t>
            </w:r>
          </w:p>
        </w:tc>
      </w:tr>
      <w:tr>
        <w:trPr>
          <w:cantSplit/>
        </w:trPr>
        <w:tc>
          <w:tcPr>
            <w:tcW w:type="dxa" w:w="4929"/>
          </w:tcPr>
          <w:p>
            <w:r>
              <w:rPr>
                <w:rFonts w:ascii="Arial" w:hAnsi="Arial"/>
                <w:b/>
                <w:sz w:val="18"/>
              </w:rPr>
              <w:t>Dia 60</w:t>
            </w:r>
          </w:p>
        </w:tc>
        <w:tc>
          <w:tcPr>
            <w:tcW w:type="dxa" w:w="4929"/>
          </w:tcPr>
          <w:p>
            <w:r>
              <w:rPr>
                <w:rFonts w:ascii="Arial" w:hAnsi="Arial"/>
                <w:sz w:val="18"/>
              </w:rPr>
              <w:t>formação inicial em andamento/concluída, escolas executando tarefas e primeiras evidências registradas.</w:t>
            </w:r>
          </w:p>
        </w:tc>
      </w:tr>
      <w:tr>
        <w:trPr>
          <w:cantSplit/>
        </w:trPr>
        <w:tc>
          <w:tcPr>
            <w:tcW w:type="dxa" w:w="4929"/>
          </w:tcPr>
          <w:p>
            <w:r>
              <w:rPr>
                <w:rFonts w:ascii="Arial" w:hAnsi="Arial"/>
                <w:b/>
                <w:sz w:val="18"/>
              </w:rPr>
              <w:t>Dia 90</w:t>
            </w:r>
          </w:p>
        </w:tc>
        <w:tc>
          <w:tcPr>
            <w:tcW w:type="dxa" w:w="4929"/>
          </w:tcPr>
          <w:p>
            <w:r>
              <w:rPr>
                <w:rFonts w:ascii="Arial" w:hAnsi="Arial"/>
                <w:sz w:val="18"/>
              </w:rPr>
              <w:t>painel operacional ativo, relatório de situação, riscos conhecidos, correções priorizadas e decisão de escala.</w:t>
            </w:r>
          </w:p>
        </w:tc>
      </w:tr>
    </w:tbl>
    <w:p>
      <w:pPr>
        <w:pStyle w:val="Heading2"/>
      </w:pPr>
      <w:r>
        <w:t>10.3 Critérios para pilotagem</w:t>
      </w:r>
    </w:p>
    <w:p>
      <w:pPr>
        <w:pStyle w:val="ListBullet"/>
      </w:pPr>
      <w:r>
        <w:t>Representatividade: incluir escolas de portes e realidades diferentes.</w:t>
      </w:r>
    </w:p>
    <w:p>
      <w:pPr>
        <w:pStyle w:val="ListBullet"/>
      </w:pPr>
      <w:r>
        <w:t>Viabilidade: escolher unidades com liderança disponível e dados minimamente acessíveis.</w:t>
      </w:r>
    </w:p>
    <w:p>
      <w:pPr>
        <w:pStyle w:val="ListBullet"/>
      </w:pPr>
      <w:r>
        <w:t>Aprendizado: testar fluxos, não apenas demonstrar uma interface.</w:t>
      </w:r>
    </w:p>
    <w:p>
      <w:pPr>
        <w:pStyle w:val="ListBullet"/>
      </w:pPr>
      <w:r>
        <w:t>Métrica: definir antes do piloto o que significa “funcionou”.</w:t>
      </w:r>
    </w:p>
    <w:p>
      <w:pPr>
        <w:pStyle w:val="ListBullet"/>
      </w:pPr>
      <w:r>
        <w:t>Escala: registrar ajustes que serão necessários antes de expandir para toda a rede.</w:t>
      </w:r>
    </w:p>
    <w:p>
      <w:pPr>
        <w:pStyle w:val="Heading1"/>
      </w:pPr>
      <w:r>
        <w:t>11. Monitoramento, indicadores e evidências</w:t>
      </w:r>
    </w:p>
    <w:p>
      <w:pPr>
        <w:pStyle w:val="Heading2"/>
      </w:pPr>
      <w:r>
        <w:t>11.1 Pirâmide de indicadores</w:t>
      </w:r>
    </w:p>
    <w:tbl>
      <w:tblPr>
        <w:tblStyle w:val="TableGrid"/>
        <w:tblW w:type="auto" w:w="0"/>
        <w:jc w:val="center"/>
        <w:tblLook w:firstColumn="1" w:firstRow="1" w:lastColumn="0" w:lastRow="0" w:noHBand="0" w:noVBand="1" w:val="04A0"/>
      </w:tblPr>
      <w:tblGrid>
        <w:gridCol w:w="4929"/>
        <w:gridCol w:w="4929"/>
      </w:tblGrid>
      <w:tr>
        <w:trPr>
          <w:cantSplit/>
        </w:trPr>
        <w:tc>
          <w:tcPr>
            <w:tcW w:type="dxa" w:w="2268"/>
            <w:shd w:fill="17365D"/>
          </w:tcPr>
          <w:p>
            <w:pPr>
              <w:keepNext/>
            </w:pPr>
            <w:r>
              <w:rPr>
                <w:rFonts w:ascii="Arial" w:hAnsi="Arial"/>
                <w:b/>
                <w:color w:val="FFFFFF"/>
                <w:sz w:val="18"/>
              </w:rPr>
              <w:t>Camada</w:t>
            </w:r>
          </w:p>
        </w:tc>
        <w:tc>
          <w:tcPr>
            <w:tcW w:type="dxa" w:w="6803"/>
            <w:shd w:fill="17365D"/>
          </w:tcPr>
          <w:p>
            <w:pPr>
              <w:keepNext/>
            </w:pPr>
            <w:r>
              <w:rPr>
                <w:rFonts w:ascii="Arial" w:hAnsi="Arial"/>
                <w:b/>
                <w:color w:val="FFFFFF"/>
                <w:sz w:val="18"/>
              </w:rPr>
              <w:t>Exemplos</w:t>
            </w:r>
          </w:p>
        </w:tc>
      </w:tr>
      <w:tr>
        <w:trPr>
          <w:cantSplit/>
        </w:trPr>
        <w:tc>
          <w:tcPr>
            <w:tcW w:type="dxa" w:w="4929"/>
          </w:tcPr>
          <w:p>
            <w:r>
              <w:rPr>
                <w:rFonts w:ascii="Arial" w:hAnsi="Arial"/>
                <w:b/>
                <w:sz w:val="18"/>
              </w:rPr>
              <w:t>Insumo</w:t>
            </w:r>
          </w:p>
        </w:tc>
        <w:tc>
          <w:tcPr>
            <w:tcW w:type="dxa" w:w="4929"/>
          </w:tcPr>
          <w:p>
            <w:r>
              <w:rPr>
                <w:rFonts w:ascii="Arial" w:hAnsi="Arial"/>
                <w:sz w:val="18"/>
              </w:rPr>
              <w:t>recursos, equipes, infraestrutura, bases, materiais e oferta de formação.</w:t>
            </w:r>
          </w:p>
        </w:tc>
      </w:tr>
      <w:tr>
        <w:trPr>
          <w:cantSplit/>
        </w:trPr>
        <w:tc>
          <w:tcPr>
            <w:tcW w:type="dxa" w:w="4929"/>
          </w:tcPr>
          <w:p>
            <w:r>
              <w:rPr>
                <w:rFonts w:ascii="Arial" w:hAnsi="Arial"/>
                <w:b/>
                <w:sz w:val="18"/>
              </w:rPr>
              <w:t>Processo</w:t>
            </w:r>
          </w:p>
        </w:tc>
        <w:tc>
          <w:tcPr>
            <w:tcW w:type="dxa" w:w="4929"/>
          </w:tcPr>
          <w:p>
            <w:r>
              <w:rPr>
                <w:rFonts w:ascii="Arial" w:hAnsi="Arial"/>
                <w:sz w:val="18"/>
              </w:rPr>
              <w:t>ações executadas, adesão, frequência, prazos, validações e cumprimento de tarefas.</w:t>
            </w:r>
          </w:p>
        </w:tc>
      </w:tr>
      <w:tr>
        <w:trPr>
          <w:cantSplit/>
        </w:trPr>
        <w:tc>
          <w:tcPr>
            <w:tcW w:type="dxa" w:w="4929"/>
          </w:tcPr>
          <w:p>
            <w:r>
              <w:rPr>
                <w:rFonts w:ascii="Arial" w:hAnsi="Arial"/>
                <w:b/>
                <w:sz w:val="18"/>
              </w:rPr>
              <w:t>Produto</w:t>
            </w:r>
          </w:p>
        </w:tc>
        <w:tc>
          <w:tcPr>
            <w:tcW w:type="dxa" w:w="4929"/>
          </w:tcPr>
          <w:p>
            <w:r>
              <w:rPr>
                <w:rFonts w:ascii="Arial" w:hAnsi="Arial"/>
                <w:sz w:val="18"/>
              </w:rPr>
              <w:t>profissionais formados, escolas adequadas, documentos aprovados, planos implementados e evidências validadas.</w:t>
            </w:r>
          </w:p>
        </w:tc>
      </w:tr>
      <w:tr>
        <w:trPr>
          <w:cantSplit/>
        </w:trPr>
        <w:tc>
          <w:tcPr>
            <w:tcW w:type="dxa" w:w="4929"/>
          </w:tcPr>
          <w:p>
            <w:r>
              <w:rPr>
                <w:rFonts w:ascii="Arial" w:hAnsi="Arial"/>
                <w:b/>
                <w:sz w:val="18"/>
              </w:rPr>
              <w:t>Resultado</w:t>
            </w:r>
          </w:p>
        </w:tc>
        <w:tc>
          <w:tcPr>
            <w:tcW w:type="dxa" w:w="4929"/>
          </w:tcPr>
          <w:p>
            <w:r>
              <w:rPr>
                <w:rFonts w:ascii="Arial" w:hAnsi="Arial"/>
                <w:sz w:val="18"/>
              </w:rPr>
              <w:t>mudança de prática, alcance de estudantes, aprendizagem, permanência, equidade, eficiência e maturidade institucional.</w:t>
            </w:r>
          </w:p>
        </w:tc>
      </w:tr>
      <w:tr>
        <w:trPr>
          <w:cantSplit/>
        </w:trPr>
        <w:tc>
          <w:tcPr>
            <w:tcW w:type="dxa" w:w="4929"/>
          </w:tcPr>
          <w:p>
            <w:r>
              <w:rPr>
                <w:rFonts w:ascii="Arial" w:hAnsi="Arial"/>
                <w:b/>
                <w:sz w:val="18"/>
              </w:rPr>
              <w:t>Impacto</w:t>
            </w:r>
          </w:p>
        </w:tc>
        <w:tc>
          <w:tcPr>
            <w:tcW w:type="dxa" w:w="4929"/>
          </w:tcPr>
          <w:p>
            <w:r>
              <w:rPr>
                <w:rFonts w:ascii="Arial" w:hAnsi="Arial"/>
                <w:sz w:val="18"/>
              </w:rPr>
              <w:t>mudanças sustentáveis na capacidade da rede e nos resultados educacionais; exige horizonte maior e cautela causal.</w:t>
            </w:r>
          </w:p>
        </w:tc>
      </w:tr>
    </w:tbl>
    <w:p>
      <w:pPr>
        <w:pStyle w:val="Heading2"/>
      </w:pPr>
      <w:r>
        <w:t>11.2 Ficha obrigatória de indicador</w:t>
      </w:r>
    </w:p>
    <w:tbl>
      <w:tblPr>
        <w:tblStyle w:val="TableGrid"/>
        <w:tblW w:type="auto" w:w="0"/>
        <w:jc w:val="center"/>
        <w:tblLook w:firstColumn="1" w:firstRow="1" w:lastColumn="0" w:lastRow="0" w:noHBand="0" w:noVBand="1" w:val="04A0"/>
      </w:tblPr>
      <w:tblGrid>
        <w:gridCol w:w="2465"/>
        <w:gridCol w:w="2465"/>
        <w:gridCol w:w="2465"/>
        <w:gridCol w:w="2465"/>
      </w:tblGrid>
      <w:tr>
        <w:trPr>
          <w:cantSplit/>
        </w:trPr>
        <w:tc>
          <w:tcPr>
            <w:tcW w:type="dxa" w:w="2465"/>
            <w:shd w:fill="EEF4FA"/>
          </w:tcPr>
          <w:p>
            <w:pPr>
              <w:keepNext/>
              <w:jc w:val="center"/>
            </w:pPr>
            <w:r>
              <w:rPr>
                <w:rFonts w:ascii="Arial" w:hAnsi="Arial"/>
                <w:b/>
                <w:sz w:val="18"/>
              </w:rPr>
              <w:t>Nome</w:t>
            </w:r>
          </w:p>
        </w:tc>
        <w:tc>
          <w:tcPr>
            <w:tcW w:type="dxa" w:w="2465"/>
            <w:shd w:fill="EEF4FA"/>
          </w:tcPr>
          <w:p>
            <w:pPr>
              <w:keepNext/>
              <w:jc w:val="center"/>
            </w:pPr>
            <w:r>
              <w:rPr>
                <w:rFonts w:ascii="Arial" w:hAnsi="Arial"/>
                <w:b/>
                <w:sz w:val="18"/>
              </w:rPr>
              <w:t>Pergunta que responde</w:t>
            </w:r>
          </w:p>
        </w:tc>
        <w:tc>
          <w:tcPr>
            <w:tcW w:type="dxa" w:w="2465"/>
            <w:shd w:fill="EEF4FA"/>
          </w:tcPr>
          <w:p>
            <w:pPr>
              <w:keepNext/>
              <w:jc w:val="center"/>
            </w:pPr>
            <w:r>
              <w:rPr>
                <w:rFonts w:ascii="Arial" w:hAnsi="Arial"/>
                <w:b/>
                <w:sz w:val="18"/>
              </w:rPr>
              <w:t>Definição/fórmula</w:t>
            </w:r>
          </w:p>
        </w:tc>
        <w:tc>
          <w:tcPr>
            <w:tcW w:type="dxa" w:w="2465"/>
            <w:shd w:fill="EEF4FA"/>
          </w:tcPr>
          <w:p>
            <w:pPr>
              <w:keepNext/>
              <w:jc w:val="center"/>
            </w:pPr>
            <w:r>
              <w:rPr>
                <w:rFonts w:ascii="Arial" w:hAnsi="Arial"/>
                <w:b/>
                <w:sz w:val="18"/>
              </w:rPr>
              <w:t>Fonte</w:t>
            </w:r>
          </w:p>
        </w:tc>
      </w:tr>
      <w:tr>
        <w:trPr>
          <w:cantSplit/>
        </w:trPr>
        <w:tc>
          <w:tcPr>
            <w:tcW w:type="dxa" w:w="2465"/>
            <w:shd w:fill="EEF4FA"/>
          </w:tcPr>
          <w:p>
            <w:pPr>
              <w:jc w:val="center"/>
            </w:pPr>
            <w:r>
              <w:rPr>
                <w:rFonts w:ascii="Arial" w:hAnsi="Arial"/>
                <w:b/>
                <w:sz w:val="18"/>
              </w:rPr>
              <w:t>Recorte</w:t>
            </w:r>
          </w:p>
        </w:tc>
        <w:tc>
          <w:tcPr>
            <w:tcW w:type="dxa" w:w="2465"/>
            <w:shd w:fill="EEF4FA"/>
          </w:tcPr>
          <w:p>
            <w:pPr>
              <w:jc w:val="center"/>
            </w:pPr>
            <w:r>
              <w:rPr>
                <w:rFonts w:ascii="Arial" w:hAnsi="Arial"/>
                <w:b/>
                <w:sz w:val="18"/>
              </w:rPr>
              <w:t>Periodicidade</w:t>
            </w:r>
          </w:p>
        </w:tc>
        <w:tc>
          <w:tcPr>
            <w:tcW w:type="dxa" w:w="2465"/>
            <w:shd w:fill="EEF4FA"/>
          </w:tcPr>
          <w:p>
            <w:pPr>
              <w:jc w:val="center"/>
            </w:pPr>
            <w:r>
              <w:rPr>
                <w:rFonts w:ascii="Arial" w:hAnsi="Arial"/>
                <w:b/>
                <w:sz w:val="18"/>
              </w:rPr>
              <w:t>Meta</w:t>
            </w:r>
          </w:p>
        </w:tc>
        <w:tc>
          <w:tcPr>
            <w:tcW w:type="dxa" w:w="2465"/>
            <w:shd w:fill="EEF4FA"/>
          </w:tcPr>
          <w:p>
            <w:pPr>
              <w:jc w:val="center"/>
            </w:pPr>
            <w:r>
              <w:rPr>
                <w:rFonts w:ascii="Arial" w:hAnsi="Arial"/>
                <w:b/>
                <w:sz w:val="18"/>
              </w:rPr>
              <w:t>Responsável</w:t>
            </w:r>
          </w:p>
        </w:tc>
      </w:tr>
      <w:tr>
        <w:trPr>
          <w:cantSplit/>
        </w:trPr>
        <w:tc>
          <w:tcPr>
            <w:tcW w:type="dxa" w:w="2465"/>
            <w:shd w:fill="EEF4FA"/>
          </w:tcPr>
          <w:p>
            <w:pPr>
              <w:jc w:val="center"/>
            </w:pPr>
            <w:r>
              <w:rPr>
                <w:rFonts w:ascii="Arial" w:hAnsi="Arial"/>
                <w:b/>
                <w:sz w:val="18"/>
              </w:rPr>
              <w:t>Regra de qualidade</w:t>
            </w:r>
          </w:p>
        </w:tc>
        <w:tc>
          <w:tcPr>
            <w:tcW w:type="dxa" w:w="2465"/>
            <w:shd w:fill="EEF4FA"/>
          </w:tcPr>
          <w:p>
            <w:pPr>
              <w:jc w:val="center"/>
            </w:pPr>
            <w:r>
              <w:rPr>
                <w:rFonts w:ascii="Arial" w:hAnsi="Arial"/>
                <w:b/>
                <w:sz w:val="18"/>
              </w:rPr>
              <w:t>Data de atualização</w:t>
            </w:r>
          </w:p>
        </w:tc>
        <w:tc>
          <w:tcPr>
            <w:tcW w:type="dxa" w:w="2465"/>
            <w:shd w:fill="EEF4FA"/>
          </w:tcPr>
          <w:p>
            <w:pPr>
              <w:jc w:val="center"/>
            </w:pPr>
            <w:r>
              <w:rPr>
                <w:rFonts w:ascii="Arial" w:hAnsi="Arial"/>
                <w:b/>
                <w:sz w:val="18"/>
              </w:rPr>
              <w:t>Uso decisório</w:t>
            </w:r>
          </w:p>
        </w:tc>
        <w:tc>
          <w:tcPr>
            <w:tcW w:type="dxa" w:w="2465"/>
            <w:shd w:fill="EEF4FA"/>
          </w:tcPr>
          <w:p>
            <w:pPr>
              <w:jc w:val="center"/>
            </w:pPr>
            <w:r>
              <w:rPr>
                <w:rFonts w:ascii="Arial" w:hAnsi="Arial"/>
                <w:b/>
                <w:sz w:val="18"/>
              </w:rPr>
              <w:t>Limitações</w:t>
            </w:r>
          </w:p>
        </w:tc>
      </w:tr>
    </w:tbl>
    <w:p>
      <w:pPr>
        <w:pStyle w:val="Heading2"/>
      </w:pPr>
      <w:r>
        <w:t>11.3 Registro de evidências</w:t>
      </w:r>
    </w:p>
    <w:p>
      <w:r>
        <w:t>A evidência precisa ser tratada como dado estruturado. Um arquivo solto não prova automaticamente um requisito. Cada registro deve informar o que comprova, a qual escola ou unidade pertence, período, responsável, requisito associado, situação de validação e eventual validade.</w:t>
      </w:r>
    </w:p>
    <w:p>
      <w:pPr>
        <w:pStyle w:val="ListBullet"/>
      </w:pPr>
      <w:r>
        <w:t>Tipo de evidência</w:t>
      </w:r>
    </w:p>
    <w:p>
      <w:pPr>
        <w:pStyle w:val="ListBullet"/>
      </w:pPr>
      <w:r>
        <w:t>Título</w:t>
      </w:r>
    </w:p>
    <w:p>
      <w:pPr>
        <w:pStyle w:val="ListBullet"/>
      </w:pPr>
      <w:r>
        <w:t>Requisito associado</w:t>
      </w:r>
    </w:p>
    <w:p>
      <w:pPr>
        <w:pStyle w:val="ListBullet"/>
      </w:pPr>
      <w:r>
        <w:t>Unidade/escola</w:t>
      </w:r>
    </w:p>
    <w:p>
      <w:pPr>
        <w:pStyle w:val="ListBullet"/>
      </w:pPr>
      <w:r>
        <w:t>Período</w:t>
      </w:r>
    </w:p>
    <w:p>
      <w:pPr>
        <w:pStyle w:val="ListBullet"/>
      </w:pPr>
      <w:r>
        <w:t>Responsável</w:t>
      </w:r>
    </w:p>
    <w:p>
      <w:pPr>
        <w:pStyle w:val="ListBullet"/>
      </w:pPr>
      <w:r>
        <w:t>Data de envio</w:t>
      </w:r>
    </w:p>
    <w:p>
      <w:pPr>
        <w:pStyle w:val="ListBullet"/>
      </w:pPr>
      <w:r>
        <w:t>Validador</w:t>
      </w:r>
    </w:p>
    <w:p>
      <w:pPr>
        <w:pStyle w:val="ListBullet"/>
      </w:pPr>
      <w:r>
        <w:t>Status</w:t>
      </w:r>
    </w:p>
    <w:p>
      <w:pPr>
        <w:pStyle w:val="ListBullet"/>
      </w:pPr>
      <w:r>
        <w:t>Versão</w:t>
      </w:r>
    </w:p>
    <w:p>
      <w:pPr>
        <w:pStyle w:val="ListBullet"/>
      </w:pPr>
      <w:r>
        <w:t>Observação</w:t>
      </w:r>
    </w:p>
    <w:p>
      <w:pPr>
        <w:pStyle w:val="ListBullet"/>
      </w:pPr>
      <w:r>
        <w:t>Arquivo/link</w:t>
      </w:r>
    </w:p>
    <w:p>
      <w:pPr>
        <w:pStyle w:val="Heading2"/>
      </w:pPr>
      <w:r>
        <w:t>11.4 Cadência recomendada</w:t>
      </w:r>
    </w:p>
    <w:tbl>
      <w:tblPr>
        <w:tblStyle w:val="TableGrid"/>
        <w:tblW w:type="auto" w:w="0"/>
        <w:jc w:val="center"/>
        <w:tblLook w:firstColumn="1" w:firstRow="1" w:lastColumn="0" w:lastRow="0" w:noHBand="0" w:noVBand="1" w:val="04A0"/>
      </w:tblPr>
      <w:tblGrid>
        <w:gridCol w:w="4929"/>
        <w:gridCol w:w="4929"/>
      </w:tblGrid>
      <w:tr>
        <w:trPr>
          <w:cantSplit/>
        </w:trPr>
        <w:tc>
          <w:tcPr>
            <w:tcW w:type="dxa" w:w="2268"/>
            <w:shd w:fill="0F6B6D"/>
          </w:tcPr>
          <w:p>
            <w:pPr>
              <w:keepNext/>
            </w:pPr>
            <w:r>
              <w:rPr>
                <w:rFonts w:ascii="Arial" w:hAnsi="Arial"/>
                <w:b/>
                <w:color w:val="FFFFFF"/>
                <w:sz w:val="18"/>
              </w:rPr>
              <w:t>Cadência</w:t>
            </w:r>
          </w:p>
        </w:tc>
        <w:tc>
          <w:tcPr>
            <w:tcW w:type="dxa" w:w="6803"/>
            <w:shd w:fill="0F6B6D"/>
          </w:tcPr>
          <w:p>
            <w:pPr>
              <w:keepNext/>
            </w:pPr>
            <w:r>
              <w:rPr>
                <w:rFonts w:ascii="Arial" w:hAnsi="Arial"/>
                <w:b/>
                <w:color w:val="FFFFFF"/>
                <w:sz w:val="18"/>
              </w:rPr>
              <w:t>Uso</w:t>
            </w:r>
          </w:p>
        </w:tc>
      </w:tr>
      <w:tr>
        <w:trPr>
          <w:cantSplit/>
        </w:trPr>
        <w:tc>
          <w:tcPr>
            <w:tcW w:type="dxa" w:w="4929"/>
          </w:tcPr>
          <w:p>
            <w:r>
              <w:rPr>
                <w:rFonts w:ascii="Arial" w:hAnsi="Arial"/>
                <w:b/>
                <w:sz w:val="18"/>
              </w:rPr>
              <w:t>Semanal</w:t>
            </w:r>
          </w:p>
        </w:tc>
        <w:tc>
          <w:tcPr>
            <w:tcW w:type="dxa" w:w="4929"/>
          </w:tcPr>
          <w:p>
            <w:r>
              <w:rPr>
                <w:rFonts w:ascii="Arial" w:hAnsi="Arial"/>
                <w:sz w:val="18"/>
              </w:rPr>
              <w:t>operações críticas, pendências, chamados e prazos próximos.</w:t>
            </w:r>
          </w:p>
        </w:tc>
      </w:tr>
      <w:tr>
        <w:trPr>
          <w:cantSplit/>
        </w:trPr>
        <w:tc>
          <w:tcPr>
            <w:tcW w:type="dxa" w:w="4929"/>
          </w:tcPr>
          <w:p>
            <w:r>
              <w:rPr>
                <w:rFonts w:ascii="Arial" w:hAnsi="Arial"/>
                <w:b/>
                <w:sz w:val="18"/>
              </w:rPr>
              <w:t>Mensal</w:t>
            </w:r>
          </w:p>
        </w:tc>
        <w:tc>
          <w:tcPr>
            <w:tcW w:type="dxa" w:w="4929"/>
          </w:tcPr>
          <w:p>
            <w:r>
              <w:rPr>
                <w:rFonts w:ascii="Arial" w:hAnsi="Arial"/>
                <w:sz w:val="18"/>
              </w:rPr>
              <w:t>execução do plano, adesão, formação, evidências, riscos e metas operacionais.</w:t>
            </w:r>
          </w:p>
        </w:tc>
      </w:tr>
      <w:tr>
        <w:trPr>
          <w:cantSplit/>
        </w:trPr>
        <w:tc>
          <w:tcPr>
            <w:tcW w:type="dxa" w:w="4929"/>
          </w:tcPr>
          <w:p>
            <w:r>
              <w:rPr>
                <w:rFonts w:ascii="Arial" w:hAnsi="Arial"/>
                <w:b/>
                <w:sz w:val="18"/>
              </w:rPr>
              <w:t>Bimestral/trimestral</w:t>
            </w:r>
          </w:p>
        </w:tc>
        <w:tc>
          <w:tcPr>
            <w:tcW w:type="dxa" w:w="4929"/>
          </w:tcPr>
          <w:p>
            <w:r>
              <w:rPr>
                <w:rFonts w:ascii="Arial" w:hAnsi="Arial"/>
                <w:sz w:val="18"/>
              </w:rPr>
              <w:t>implementação pedagógica, comparação entre escolas e ciclos de melhoria local.</w:t>
            </w:r>
          </w:p>
        </w:tc>
      </w:tr>
      <w:tr>
        <w:trPr>
          <w:cantSplit/>
        </w:trPr>
        <w:tc>
          <w:tcPr>
            <w:tcW w:type="dxa" w:w="4929"/>
          </w:tcPr>
          <w:p>
            <w:r>
              <w:rPr>
                <w:rFonts w:ascii="Arial" w:hAnsi="Arial"/>
                <w:b/>
                <w:sz w:val="18"/>
              </w:rPr>
              <w:t>Semestral</w:t>
            </w:r>
          </w:p>
        </w:tc>
        <w:tc>
          <w:tcPr>
            <w:tcW w:type="dxa" w:w="4929"/>
          </w:tcPr>
          <w:p>
            <w:r>
              <w:rPr>
                <w:rFonts w:ascii="Arial" w:hAnsi="Arial"/>
                <w:sz w:val="18"/>
              </w:rPr>
              <w:t>revisão de estratégia, competências e resultados intermediários.</w:t>
            </w:r>
          </w:p>
        </w:tc>
      </w:tr>
      <w:tr>
        <w:trPr>
          <w:cantSplit/>
        </w:trPr>
        <w:tc>
          <w:tcPr>
            <w:tcW w:type="dxa" w:w="4929"/>
          </w:tcPr>
          <w:p>
            <w:r>
              <w:rPr>
                <w:rFonts w:ascii="Arial" w:hAnsi="Arial"/>
                <w:b/>
                <w:sz w:val="18"/>
              </w:rPr>
              <w:t>Anual</w:t>
            </w:r>
          </w:p>
        </w:tc>
        <w:tc>
          <w:tcPr>
            <w:tcW w:type="dxa" w:w="4929"/>
          </w:tcPr>
          <w:p>
            <w:r>
              <w:rPr>
                <w:rFonts w:ascii="Arial" w:hAnsi="Arial"/>
                <w:sz w:val="18"/>
              </w:rPr>
              <w:t>consolidação de resultados, documentos oficiais, planejamento do ciclo seguinte e expansão do portfólio.</w:t>
            </w:r>
          </w:p>
        </w:tc>
      </w:tr>
    </w:tbl>
    <w:p>
      <w:pPr>
        <w:pStyle w:val="Heading1"/>
      </w:pPr>
      <w:r>
        <w:t>12. Modelo de contratação e composição comercial</w:t>
      </w:r>
    </w:p>
    <w:p>
      <w:pPr>
        <w:pStyle w:val="Heading2"/>
      </w:pPr>
      <w:r>
        <w:t>12.1 Objeto comercial</w:t>
      </w:r>
    </w:p>
    <w:p>
      <w:r>
        <w:t>O objeto pode ser estruturado como implantação e licenciamento de plataforma de governança educacional, acompanhada de serviços técnicos especializados de diagnóstico, configuração, formação, suporte, monitoramento e produção de entregáveis do(s) módulo(s) contratado(s). A redação definitiva do objeto deve ser ajustada ao modelo jurídico e de contratação do cliente, observando a Lei nº 14.133/2021 e demais normas aplicáveis.</w:t>
      </w:r>
    </w:p>
    <w:p>
      <w:pPr>
        <w:pStyle w:val="Heading2"/>
      </w:pPr>
      <w:r>
        <w:t>12.2 Componentes de preço</w:t>
      </w:r>
    </w:p>
    <w:tbl>
      <w:tblPr>
        <w:tblStyle w:val="TableGrid"/>
        <w:tblW w:type="auto" w:w="0"/>
        <w:jc w:val="center"/>
        <w:tblLook w:firstColumn="1" w:firstRow="1" w:lastColumn="0" w:lastRow="0" w:noHBand="0" w:noVBand="1" w:val="04A0"/>
      </w:tblPr>
      <w:tblGrid>
        <w:gridCol w:w="4929"/>
        <w:gridCol w:w="4929"/>
      </w:tblGrid>
      <w:tr>
        <w:trPr>
          <w:cantSplit/>
        </w:trPr>
        <w:tc>
          <w:tcPr>
            <w:tcW w:type="dxa" w:w="2438"/>
            <w:shd w:fill="17365D"/>
          </w:tcPr>
          <w:p>
            <w:pPr>
              <w:keepNext/>
            </w:pPr>
            <w:r>
              <w:rPr>
                <w:rFonts w:ascii="Arial" w:hAnsi="Arial"/>
                <w:b/>
                <w:color w:val="FFFFFF"/>
                <w:sz w:val="18"/>
              </w:rPr>
              <w:t>Componente</w:t>
            </w:r>
          </w:p>
        </w:tc>
        <w:tc>
          <w:tcPr>
            <w:tcW w:type="dxa" w:w="6633"/>
            <w:shd w:fill="17365D"/>
          </w:tcPr>
          <w:p>
            <w:pPr>
              <w:keepNext/>
            </w:pPr>
            <w:r>
              <w:rPr>
                <w:rFonts w:ascii="Arial" w:hAnsi="Arial"/>
                <w:b/>
                <w:color w:val="FFFFFF"/>
                <w:sz w:val="18"/>
              </w:rPr>
              <w:t>O que remunera</w:t>
            </w:r>
          </w:p>
        </w:tc>
      </w:tr>
      <w:tr>
        <w:trPr>
          <w:cantSplit/>
        </w:trPr>
        <w:tc>
          <w:tcPr>
            <w:tcW w:type="dxa" w:w="4929"/>
          </w:tcPr>
          <w:p>
            <w:r>
              <w:rPr>
                <w:rFonts w:ascii="Arial" w:hAnsi="Arial"/>
                <w:b/>
                <w:sz w:val="18"/>
              </w:rPr>
              <w:t>Implantação</w:t>
            </w:r>
          </w:p>
        </w:tc>
        <w:tc>
          <w:tcPr>
            <w:tcW w:type="dxa" w:w="4929"/>
          </w:tcPr>
          <w:p>
            <w:r>
              <w:rPr>
                <w:rFonts w:ascii="Arial" w:hAnsi="Arial"/>
                <w:sz w:val="18"/>
              </w:rPr>
              <w:t>diagnóstico, desenho, configuração, parametrização, importações iniciais, treinamento e piloto.</w:t>
            </w:r>
          </w:p>
        </w:tc>
      </w:tr>
      <w:tr>
        <w:trPr>
          <w:cantSplit/>
        </w:trPr>
        <w:tc>
          <w:tcPr>
            <w:tcW w:type="dxa" w:w="4929"/>
          </w:tcPr>
          <w:p>
            <w:r>
              <w:rPr>
                <w:rFonts w:ascii="Arial" w:hAnsi="Arial"/>
                <w:b/>
                <w:sz w:val="18"/>
              </w:rPr>
              <w:t>Licença/assinatura</w:t>
            </w:r>
          </w:p>
        </w:tc>
        <w:tc>
          <w:tcPr>
            <w:tcW w:type="dxa" w:w="4929"/>
          </w:tcPr>
          <w:p>
            <w:r>
              <w:rPr>
                <w:rFonts w:ascii="Arial" w:hAnsi="Arial"/>
                <w:sz w:val="18"/>
              </w:rPr>
              <w:t>uso contínuo da plataforma, infraestrutura, atualizações, manutenção e segurança.</w:t>
            </w:r>
          </w:p>
        </w:tc>
      </w:tr>
      <w:tr>
        <w:trPr>
          <w:cantSplit/>
        </w:trPr>
        <w:tc>
          <w:tcPr>
            <w:tcW w:type="dxa" w:w="4929"/>
          </w:tcPr>
          <w:p>
            <w:r>
              <w:rPr>
                <w:rFonts w:ascii="Arial" w:hAnsi="Arial"/>
                <w:b/>
                <w:sz w:val="18"/>
              </w:rPr>
              <w:t>Módulo temático</w:t>
            </w:r>
          </w:p>
        </w:tc>
        <w:tc>
          <w:tcPr>
            <w:tcW w:type="dxa" w:w="4929"/>
          </w:tcPr>
          <w:p>
            <w:r>
              <w:rPr>
                <w:rFonts w:ascii="Arial" w:hAnsi="Arial"/>
                <w:sz w:val="18"/>
              </w:rPr>
              <w:t>regras, conteúdos, dashboards, instrumentos e suporte específico da frente contratada.</w:t>
            </w:r>
          </w:p>
        </w:tc>
      </w:tr>
      <w:tr>
        <w:trPr>
          <w:cantSplit/>
        </w:trPr>
        <w:tc>
          <w:tcPr>
            <w:tcW w:type="dxa" w:w="4929"/>
          </w:tcPr>
          <w:p>
            <w:r>
              <w:rPr>
                <w:rFonts w:ascii="Arial" w:hAnsi="Arial"/>
                <w:b/>
                <w:sz w:val="18"/>
              </w:rPr>
              <w:t>Formação</w:t>
            </w:r>
          </w:p>
        </w:tc>
        <w:tc>
          <w:tcPr>
            <w:tcW w:type="dxa" w:w="4929"/>
          </w:tcPr>
          <w:p>
            <w:r>
              <w:rPr>
                <w:rFonts w:ascii="Arial" w:hAnsi="Arial"/>
                <w:sz w:val="18"/>
              </w:rPr>
              <w:t>produção/oferta de cursos, tutoria, avaliação, certificação e atividades práticas.</w:t>
            </w:r>
          </w:p>
        </w:tc>
      </w:tr>
      <w:tr>
        <w:trPr>
          <w:cantSplit/>
        </w:trPr>
        <w:tc>
          <w:tcPr>
            <w:tcW w:type="dxa" w:w="4929"/>
          </w:tcPr>
          <w:p>
            <w:r>
              <w:rPr>
                <w:rFonts w:ascii="Arial" w:hAnsi="Arial"/>
                <w:b/>
                <w:sz w:val="18"/>
              </w:rPr>
              <w:t>Serviço técnico</w:t>
            </w:r>
          </w:p>
        </w:tc>
        <w:tc>
          <w:tcPr>
            <w:tcW w:type="dxa" w:w="4929"/>
          </w:tcPr>
          <w:p>
            <w:r>
              <w:rPr>
                <w:rFonts w:ascii="Arial" w:hAnsi="Arial"/>
                <w:sz w:val="18"/>
              </w:rPr>
              <w:t>consultoria, acompanhamento, análise, reuniões, relatórios e apoio a processos.</w:t>
            </w:r>
          </w:p>
        </w:tc>
      </w:tr>
      <w:tr>
        <w:trPr>
          <w:cantSplit/>
        </w:trPr>
        <w:tc>
          <w:tcPr>
            <w:tcW w:type="dxa" w:w="4929"/>
          </w:tcPr>
          <w:p>
            <w:r>
              <w:rPr>
                <w:rFonts w:ascii="Arial" w:hAnsi="Arial"/>
                <w:b/>
                <w:sz w:val="18"/>
              </w:rPr>
              <w:t>Integração/migração</w:t>
            </w:r>
          </w:p>
        </w:tc>
        <w:tc>
          <w:tcPr>
            <w:tcW w:type="dxa" w:w="4929"/>
          </w:tcPr>
          <w:p>
            <w:r>
              <w:rPr>
                <w:rFonts w:ascii="Arial" w:hAnsi="Arial"/>
                <w:sz w:val="18"/>
              </w:rPr>
              <w:t>tratamento de bases, desenvolvimento de integração e saneamento de dados quando fora do padrão.</w:t>
            </w:r>
          </w:p>
        </w:tc>
      </w:tr>
      <w:tr>
        <w:trPr>
          <w:cantSplit/>
        </w:trPr>
        <w:tc>
          <w:tcPr>
            <w:tcW w:type="dxa" w:w="4929"/>
          </w:tcPr>
          <w:p>
            <w:r>
              <w:rPr>
                <w:rFonts w:ascii="Arial" w:hAnsi="Arial"/>
                <w:b/>
                <w:sz w:val="18"/>
              </w:rPr>
              <w:t>Customização</w:t>
            </w:r>
          </w:p>
        </w:tc>
        <w:tc>
          <w:tcPr>
            <w:tcW w:type="dxa" w:w="4929"/>
          </w:tcPr>
          <w:p>
            <w:r>
              <w:rPr>
                <w:rFonts w:ascii="Arial" w:hAnsi="Arial"/>
                <w:sz w:val="18"/>
              </w:rPr>
              <w:t>fluxos, relatórios ou funcionalidades exclusivas que não compõem o produto padrão.</w:t>
            </w:r>
          </w:p>
        </w:tc>
      </w:tr>
    </w:tbl>
    <w:p>
      <w:pPr>
        <w:pStyle w:val="Heading2"/>
      </w:pPr>
      <w:r>
        <w:t>12.3 Variáveis de dimensionamento</w:t>
      </w:r>
    </w:p>
    <w:p>
      <w:pPr>
        <w:pStyle w:val="ListBullet"/>
      </w:pPr>
      <w:r>
        <w:t>Número de escolas/unidades.</w:t>
      </w:r>
    </w:p>
    <w:p>
      <w:pPr>
        <w:pStyle w:val="ListBullet"/>
      </w:pPr>
      <w:r>
        <w:t>Número de profissionais e perfis de usuário.</w:t>
      </w:r>
    </w:p>
    <w:p>
      <w:pPr>
        <w:pStyle w:val="ListBullet"/>
      </w:pPr>
      <w:r>
        <w:t>Número de estudantes, apenas quando o módulo exige dados individualizados.</w:t>
      </w:r>
    </w:p>
    <w:p>
      <w:pPr>
        <w:pStyle w:val="ListBullet"/>
      </w:pPr>
      <w:r>
        <w:t>Quantidade de módulos contratados.</w:t>
      </w:r>
    </w:p>
    <w:p>
      <w:pPr>
        <w:pStyle w:val="ListBullet"/>
      </w:pPr>
      <w:r>
        <w:t>Complexidade de dados e integrações.</w:t>
      </w:r>
    </w:p>
    <w:p>
      <w:pPr>
        <w:pStyle w:val="ListBullet"/>
      </w:pPr>
      <w:r>
        <w:t>Volume e carga horária das formações.</w:t>
      </w:r>
    </w:p>
    <w:p>
      <w:pPr>
        <w:pStyle w:val="ListBullet"/>
      </w:pPr>
      <w:r>
        <w:t>Necessidade de produção de conteúdo.</w:t>
      </w:r>
    </w:p>
    <w:p>
      <w:pPr>
        <w:pStyle w:val="ListBullet"/>
      </w:pPr>
      <w:r>
        <w:t>Intensidade da consultoria e acompanhamento presencial/remoto.</w:t>
      </w:r>
    </w:p>
    <w:p>
      <w:pPr>
        <w:pStyle w:val="ListBullet"/>
      </w:pPr>
      <w:r>
        <w:t>SLA, suporte e requisitos especiais de infraestrutura/segurança.</w:t>
      </w:r>
    </w:p>
    <w:p>
      <w:pPr>
        <w:pStyle w:val="Heading2"/>
      </w:pPr>
      <w:r>
        <w:t>12.4 Formatos de oferta sugeridos</w:t>
      </w:r>
    </w:p>
    <w:p>
      <w:r>
        <w:rPr>
          <w:b/>
        </w:rPr>
        <w:t xml:space="preserve">Diagnóstico Estratégico: </w:t>
      </w:r>
      <w:r>
        <w:t>projeto curto; entrega mapa de maturidade, riscos, prioridades e recomendação de módulos.</w:t>
      </w:r>
    </w:p>
    <w:p>
      <w:r>
        <w:rPr>
          <w:b/>
        </w:rPr>
        <w:t xml:space="preserve">Módulo Essencial: </w:t>
      </w:r>
      <w:r>
        <w:t>implantação de uma frente específica sobre o núcleo comum, com suporte e indicadores.</w:t>
      </w:r>
    </w:p>
    <w:p>
      <w:r>
        <w:rPr>
          <w:b/>
        </w:rPr>
        <w:t xml:space="preserve">Módulo + Formação: </w:t>
      </w:r>
      <w:r>
        <w:t>frente temática acrescida de trilhas e acompanhamento de profissionais.</w:t>
      </w:r>
    </w:p>
    <w:p>
      <w:r>
        <w:rPr>
          <w:b/>
        </w:rPr>
        <w:t xml:space="preserve">Governança Anual: </w:t>
      </w:r>
      <w:r>
        <w:t>núcleo + múltiplos módulos + ciclo de monitoramento e revisão anual.</w:t>
      </w:r>
    </w:p>
    <w:p>
      <w:r>
        <w:rPr>
          <w:b/>
        </w:rPr>
        <w:t xml:space="preserve">Transformação Municipal: </w:t>
      </w:r>
      <w:r>
        <w:t>programa plurianual de evolução de maturidade, implantação progressiva e expansão de módulos.</w:t>
      </w:r>
    </w:p>
    <w:p>
      <w:pPr>
        <w:pStyle w:val="Heading2"/>
      </w:pPr>
      <w:r>
        <w:t>12.5 Regras de posicionamento comercial</w:t>
      </w:r>
    </w:p>
    <w:p>
      <w:pPr>
        <w:pStyle w:val="ListBullet"/>
      </w:pPr>
      <w:r>
        <w:t>Vender solução de problema, não quantidade de telas.</w:t>
      </w:r>
    </w:p>
    <w:p>
      <w:pPr>
        <w:pStyle w:val="ListBullet"/>
      </w:pPr>
      <w:r>
        <w:t>Não vincular remuneração a promessa de recebimento de recursos públicos que dependa de critérios externos.</w:t>
      </w:r>
    </w:p>
    <w:p>
      <w:pPr>
        <w:pStyle w:val="ListBullet"/>
      </w:pPr>
      <w:r>
        <w:t>Quantificar valor por produtividade, risco mitigado, prontidão, aderência e capacidade de gestão.</w:t>
      </w:r>
    </w:p>
    <w:p>
      <w:pPr>
        <w:pStyle w:val="ListBullet"/>
      </w:pPr>
      <w:r>
        <w:t>Diferenciar claramente produto padrão de customização exclusiva.</w:t>
      </w:r>
    </w:p>
    <w:p>
      <w:pPr>
        <w:pStyle w:val="ListBullet"/>
      </w:pPr>
      <w:r>
        <w:t>Usar o diagnóstico como ferramenta de escopo e qualificação, evitando propostas genéricas.</w:t>
      </w:r>
    </w:p>
    <w:p>
      <w:pPr>
        <w:pStyle w:val="ListBullet"/>
      </w:pPr>
      <w:r>
        <w:t>Manter rastreabilidade entre cada item contratado e um entregável verificável.</w:t>
      </w:r>
    </w:p>
    <w:p>
      <w:pPr>
        <w:pStyle w:val="Heading1"/>
      </w:pPr>
      <w:r>
        <w:t>13. Escala, roadmap e inteligência de rede</w:t>
      </w:r>
    </w:p>
    <w:p>
      <w:pPr>
        <w:pStyle w:val="Heading2"/>
      </w:pPr>
      <w:r>
        <w:t>13.1 Roadmap do produto</w:t>
      </w:r>
    </w:p>
    <w:tbl>
      <w:tblPr>
        <w:tblStyle w:val="TableGrid"/>
        <w:tblW w:type="auto" w:w="0"/>
        <w:jc w:val="center"/>
        <w:tblLook w:firstColumn="1" w:firstRow="1" w:lastColumn="0" w:lastRow="0" w:noHBand="0" w:noVBand="1" w:val="04A0"/>
      </w:tblPr>
      <w:tblGrid>
        <w:gridCol w:w="4929"/>
        <w:gridCol w:w="4929"/>
      </w:tblGrid>
      <w:tr>
        <w:trPr>
          <w:cantSplit/>
        </w:trPr>
        <w:tc>
          <w:tcPr>
            <w:tcW w:type="dxa" w:w="2551"/>
            <w:shd w:fill="17365D"/>
          </w:tcPr>
          <w:p>
            <w:pPr>
              <w:keepNext/>
            </w:pPr>
            <w:r>
              <w:rPr>
                <w:rFonts w:ascii="Arial" w:hAnsi="Arial"/>
                <w:b/>
                <w:color w:val="FFFFFF"/>
                <w:sz w:val="18"/>
              </w:rPr>
              <w:t>Fase</w:t>
            </w:r>
          </w:p>
        </w:tc>
        <w:tc>
          <w:tcPr>
            <w:tcW w:type="dxa" w:w="6520"/>
            <w:shd w:fill="17365D"/>
          </w:tcPr>
          <w:p>
            <w:pPr>
              <w:keepNext/>
            </w:pPr>
            <w:r>
              <w:rPr>
                <w:rFonts w:ascii="Arial" w:hAnsi="Arial"/>
                <w:b/>
                <w:color w:val="FFFFFF"/>
                <w:sz w:val="18"/>
              </w:rPr>
              <w:t>Capacidade</w:t>
            </w:r>
          </w:p>
        </w:tc>
      </w:tr>
      <w:tr>
        <w:trPr>
          <w:cantSplit/>
        </w:trPr>
        <w:tc>
          <w:tcPr>
            <w:tcW w:type="dxa" w:w="4929"/>
          </w:tcPr>
          <w:p>
            <w:r>
              <w:rPr>
                <w:rFonts w:ascii="Arial" w:hAnsi="Arial"/>
                <w:b/>
                <w:sz w:val="18"/>
              </w:rPr>
              <w:t>Fase A — Produto mínimo</w:t>
            </w:r>
          </w:p>
        </w:tc>
        <w:tc>
          <w:tcPr>
            <w:tcW w:type="dxa" w:w="4929"/>
          </w:tcPr>
          <w:p>
            <w:r>
              <w:rPr>
                <w:rFonts w:ascii="Arial" w:hAnsi="Arial"/>
                <w:sz w:val="18"/>
              </w:rPr>
              <w:t>núcleo municipal, diagnóstico, planos, documentos, formação, evidências, indicadores e BNCC Computação.</w:t>
            </w:r>
          </w:p>
        </w:tc>
      </w:tr>
      <w:tr>
        <w:trPr>
          <w:cantSplit/>
        </w:trPr>
        <w:tc>
          <w:tcPr>
            <w:tcW w:type="dxa" w:w="4929"/>
          </w:tcPr>
          <w:p>
            <w:r>
              <w:rPr>
                <w:rFonts w:ascii="Arial" w:hAnsi="Arial"/>
                <w:b/>
                <w:sz w:val="18"/>
              </w:rPr>
              <w:t>Fase B — Expansão temática</w:t>
            </w:r>
          </w:p>
        </w:tc>
        <w:tc>
          <w:tcPr>
            <w:tcW w:type="dxa" w:w="4929"/>
          </w:tcPr>
          <w:p>
            <w:r>
              <w:rPr>
                <w:rFonts w:ascii="Arial" w:hAnsi="Arial"/>
                <w:sz w:val="18"/>
              </w:rPr>
              <w:t>VAAR, Saeb/Ideb, alfabetização, permanência/equidade, tempo integral e formação continuada.</w:t>
            </w:r>
          </w:p>
        </w:tc>
      </w:tr>
      <w:tr>
        <w:trPr>
          <w:cantSplit/>
        </w:trPr>
        <w:tc>
          <w:tcPr>
            <w:tcW w:type="dxa" w:w="4929"/>
          </w:tcPr>
          <w:p>
            <w:r>
              <w:rPr>
                <w:rFonts w:ascii="Arial" w:hAnsi="Arial"/>
                <w:b/>
                <w:sz w:val="18"/>
              </w:rPr>
              <w:t>Fase C — Integrações e automação</w:t>
            </w:r>
          </w:p>
        </w:tc>
        <w:tc>
          <w:tcPr>
            <w:tcW w:type="dxa" w:w="4929"/>
          </w:tcPr>
          <w:p>
            <w:r>
              <w:rPr>
                <w:rFonts w:ascii="Arial" w:hAnsi="Arial"/>
                <w:sz w:val="18"/>
              </w:rPr>
              <w:t>conectores, importações recorrentes, alertas, validações e relatórios automáticos.</w:t>
            </w:r>
          </w:p>
        </w:tc>
      </w:tr>
      <w:tr>
        <w:trPr>
          <w:cantSplit/>
        </w:trPr>
        <w:tc>
          <w:tcPr>
            <w:tcW w:type="dxa" w:w="4929"/>
          </w:tcPr>
          <w:p>
            <w:r>
              <w:rPr>
                <w:rFonts w:ascii="Arial" w:hAnsi="Arial"/>
                <w:b/>
                <w:sz w:val="18"/>
              </w:rPr>
              <w:t>Fase D — Inteligência</w:t>
            </w:r>
          </w:p>
        </w:tc>
        <w:tc>
          <w:tcPr>
            <w:tcW w:type="dxa" w:w="4929"/>
          </w:tcPr>
          <w:p>
            <w:r>
              <w:rPr>
                <w:rFonts w:ascii="Arial" w:hAnsi="Arial"/>
                <w:sz w:val="18"/>
              </w:rPr>
              <w:t>recomendações de prioridade, detecção de risco, projeções e comparação temporal.</w:t>
            </w:r>
          </w:p>
        </w:tc>
      </w:tr>
      <w:tr>
        <w:trPr>
          <w:cantSplit/>
        </w:trPr>
        <w:tc>
          <w:tcPr>
            <w:tcW w:type="dxa" w:w="4929"/>
          </w:tcPr>
          <w:p>
            <w:r>
              <w:rPr>
                <w:rFonts w:ascii="Arial" w:hAnsi="Arial"/>
                <w:b/>
                <w:sz w:val="18"/>
              </w:rPr>
              <w:t>Fase E — Benchmarking seguro</w:t>
            </w:r>
          </w:p>
        </w:tc>
        <w:tc>
          <w:tcPr>
            <w:tcW w:type="dxa" w:w="4929"/>
          </w:tcPr>
          <w:p>
            <w:r>
              <w:rPr>
                <w:rFonts w:ascii="Arial" w:hAnsi="Arial"/>
                <w:sz w:val="18"/>
              </w:rPr>
              <w:t>indicadores anonimizados entre redes aderentes, por porte e contexto, com governança de dados específica.</w:t>
            </w:r>
          </w:p>
        </w:tc>
      </w:tr>
    </w:tbl>
    <w:p>
      <w:pPr>
        <w:pStyle w:val="Heading2"/>
      </w:pPr>
      <w:r>
        <w:t>13.2 Como manter o produto escalável</w:t>
      </w:r>
    </w:p>
    <w:p>
      <w:pPr>
        <w:pStyle w:val="ListBullet"/>
      </w:pPr>
      <w:r>
        <w:t>Criar parâmetros por política em vez de codificar regras diretamente nas telas.</w:t>
      </w:r>
    </w:p>
    <w:p>
      <w:pPr>
        <w:pStyle w:val="ListBullet"/>
      </w:pPr>
      <w:r>
        <w:t>Reutilizar cadastros, indicadores, documentos e fluxos entre módulos.</w:t>
      </w:r>
    </w:p>
    <w:p>
      <w:pPr>
        <w:pStyle w:val="ListBullet"/>
      </w:pPr>
      <w:r>
        <w:t>Construir templates de diagnóstico e plano configuráveis.</w:t>
      </w:r>
    </w:p>
    <w:p>
      <w:pPr>
        <w:pStyle w:val="ListBullet"/>
      </w:pPr>
      <w:r>
        <w:t>Ter biblioteca de regras e requisitos por ano/ciclo, com versionamento.</w:t>
      </w:r>
    </w:p>
    <w:p>
      <w:pPr>
        <w:pStyle w:val="ListBullet"/>
      </w:pPr>
      <w:r>
        <w:t>Separar conteúdo formativo da lógica de gestão, permitindo integração com AVAs externos.</w:t>
      </w:r>
    </w:p>
    <w:p>
      <w:pPr>
        <w:pStyle w:val="ListBullet"/>
      </w:pPr>
      <w:r>
        <w:t>Desenvolver dashboards a partir de um dicionário comum de indicadores.</w:t>
      </w:r>
    </w:p>
    <w:p>
      <w:pPr>
        <w:pStyle w:val="ListBullet"/>
      </w:pPr>
      <w:r>
        <w:t>Manter uma camada de configuração municipal sem bifurcar o produto para cada cliente.</w:t>
      </w:r>
    </w:p>
    <w:p>
      <w:pPr>
        <w:pStyle w:val="Heading1"/>
      </w:pPr>
      <w:r>
        <w:t>14. BNCC Computação como porta de entrada</w:t>
      </w:r>
    </w:p>
    <w:p>
      <w:pPr>
        <w:pStyle w:val="Heading2"/>
      </w:pPr>
      <w:r>
        <w:t>14.1 Fundamentação estratégica</w:t>
      </w:r>
    </w:p>
    <w:p>
      <w:r>
        <w:t>A Resolução CNE/CEB nº 1, de 4 de outubro de 2022, define as Normas sobre Computação na Educação Básica como complemento à BNCC e estabelece que os processos e aprendizagens de Computação devem ser implementados, que a formulação curricular deve considerar as competências e habilidades anexas e que a formação inicial e continuada de professores deve considerar essas normas. A Lei nº 14.533/2023 instituiu a Política Nacional de Educação Digital e reforçou a educação digital no âmbito escolar.</w:t>
      </w:r>
    </w:p>
    <w:p>
      <w:r>
        <w:t>No Fundeb, a Lei nº 14.113/2020 estabelece que a complementação da União corresponde a, no mínimo, 23% dos recursos de referência do Fundo; desse total, 2,5 pontos percentuais correspondem à modalidade VAAR. O acesso ao VAAR depende do cumprimento das condicionalidades de melhoria de gestão e da evolução nos indicadores definidos. Entre as cinco condicionalidades está a existência de referenciais curriculares alinhados à BNCC, aprovados no respectivo sistema de ensino.</w:t>
      </w:r>
    </w:p>
    <w:p>
      <w:r>
        <w:t>Para o exercício financeiro de 2027, a Resolução CIF nº 24/2026 regulamentou a aferição das Condicionalidades I, IV e V e incorporou, na Condicionalidade V, a verificação relacionada às Normas sobre Computação na Educação Básica. A regra de cada exercício pode ser atualizada; por isso, a plataforma deve versionar requisitos e datas por ciclo.</w:t>
      </w:r>
    </w:p>
    <w:tbl>
      <w:tblPr>
        <w:tblStyle w:val="TableGrid"/>
        <w:tblW w:type="auto" w:w="0"/>
        <w:jc w:val="center"/>
        <w:tblLook w:firstColumn="1" w:firstRow="1" w:lastColumn="0" w:lastRow="0" w:noHBand="0" w:noVBand="1" w:val="04A0"/>
      </w:tblPr>
      <w:tblGrid>
        <w:gridCol w:w="9859"/>
      </w:tblGrid>
      <w:tr>
        <w:trPr>
          <w:cantSplit/>
        </w:trPr>
        <w:tc>
          <w:tcPr>
            <w:tcW w:type="dxa" w:w="9859"/>
            <w:shd w:fill="FFF2CC"/>
            <w:tcMar>
              <w:top w:w="180" w:type="dxa"/>
              <w:start w:w="200" w:type="dxa"/>
              <w:bottom w:w="180" w:type="dxa"/>
              <w:end w:w="200" w:type="dxa"/>
            </w:tcMar>
          </w:tcPr>
          <w:p>
            <w:pPr>
              <w:keepNext/>
            </w:pPr>
            <w:r>
              <w:rPr>
                <w:rFonts w:ascii="Arial" w:hAnsi="Arial"/>
                <w:b/>
                <w:sz w:val="18"/>
              </w:rPr>
              <w:t xml:space="preserve">Posicionamento correto: </w:t>
            </w:r>
            <w:r>
              <w:rPr>
                <w:rFonts w:ascii="Arial" w:hAnsi="Arial"/>
                <w:sz w:val="18"/>
              </w:rPr>
              <w:t>a BNCC Computação não representa uma “fatia percentual” do VAAR. Ela se relaciona ao atendimento da Condicionalidade V no ciclo vigente. O projeto pode apoiar conformidade e implementação, mas não deve prometer habilitação ou repasse, pois existem outras condicionalidades e indicadores externos.</w:t>
            </w:r>
          </w:p>
        </w:tc>
      </w:tr>
    </w:tbl>
    <w:p>
      <w:pPr>
        <w:pStyle w:val="Heading2"/>
      </w:pPr>
      <w:r>
        <w:t>14.2 Fluxo do módulo BNCC Computação</w:t>
      </w:r>
    </w:p>
    <w:tbl>
      <w:tblPr>
        <w:tblStyle w:val="TableGrid"/>
        <w:tblW w:type="auto" w:w="0"/>
        <w:jc w:val="center"/>
        <w:tblLook w:firstColumn="1" w:firstRow="1" w:lastColumn="0" w:lastRow="0" w:noHBand="0" w:noVBand="1" w:val="04A0"/>
      </w:tblPr>
      <w:tblGrid>
        <w:gridCol w:w="4929"/>
        <w:gridCol w:w="4929"/>
      </w:tblGrid>
      <w:tr>
        <w:trPr>
          <w:cantSplit/>
        </w:trPr>
        <w:tc>
          <w:tcPr>
            <w:tcW w:type="dxa" w:w="2494"/>
            <w:shd w:fill="0F6B6D"/>
          </w:tcPr>
          <w:p>
            <w:pPr>
              <w:keepNext/>
            </w:pPr>
            <w:r>
              <w:rPr>
                <w:rFonts w:ascii="Arial" w:hAnsi="Arial"/>
                <w:b/>
                <w:color w:val="FFFFFF"/>
                <w:sz w:val="18"/>
              </w:rPr>
              <w:t>Etapa</w:t>
            </w:r>
          </w:p>
        </w:tc>
        <w:tc>
          <w:tcPr>
            <w:tcW w:type="dxa" w:w="6576"/>
            <w:shd w:fill="0F6B6D"/>
          </w:tcPr>
          <w:p>
            <w:pPr>
              <w:keepNext/>
            </w:pPr>
            <w:r>
              <w:rPr>
                <w:rFonts w:ascii="Arial" w:hAnsi="Arial"/>
                <w:b/>
                <w:color w:val="FFFFFF"/>
                <w:sz w:val="18"/>
              </w:rPr>
              <w:t>Escopo</w:t>
            </w:r>
          </w:p>
        </w:tc>
      </w:tr>
      <w:tr>
        <w:trPr>
          <w:cantSplit/>
        </w:trPr>
        <w:tc>
          <w:tcPr>
            <w:tcW w:type="dxa" w:w="4929"/>
          </w:tcPr>
          <w:p>
            <w:r>
              <w:rPr>
                <w:rFonts w:ascii="Arial" w:hAnsi="Arial"/>
                <w:b/>
                <w:sz w:val="18"/>
              </w:rPr>
              <w:t>1. Diagnóstico</w:t>
            </w:r>
          </w:p>
        </w:tc>
        <w:tc>
          <w:tcPr>
            <w:tcW w:type="dxa" w:w="4929"/>
          </w:tcPr>
          <w:p>
            <w:r>
              <w:rPr>
                <w:rFonts w:ascii="Arial" w:hAnsi="Arial"/>
                <w:sz w:val="18"/>
              </w:rPr>
              <w:t>situação do currículo/referencial, ato de aprovação/adesão, escolas, profissionais, infraestrutura e ações existentes.</w:t>
            </w:r>
          </w:p>
        </w:tc>
      </w:tr>
      <w:tr>
        <w:trPr>
          <w:cantSplit/>
        </w:trPr>
        <w:tc>
          <w:tcPr>
            <w:tcW w:type="dxa" w:w="4929"/>
          </w:tcPr>
          <w:p>
            <w:r>
              <w:rPr>
                <w:rFonts w:ascii="Arial" w:hAnsi="Arial"/>
                <w:b/>
                <w:sz w:val="18"/>
              </w:rPr>
              <w:t>2. Estratégia curricular</w:t>
            </w:r>
          </w:p>
        </w:tc>
        <w:tc>
          <w:tcPr>
            <w:tcW w:type="dxa" w:w="4929"/>
          </w:tcPr>
          <w:p>
            <w:r>
              <w:rPr>
                <w:rFonts w:ascii="Arial" w:hAnsi="Arial"/>
                <w:sz w:val="18"/>
              </w:rPr>
              <w:t>definição do caminho municipal: adesão/adequação, abordagem pedagógica e documentação necessária, conforme competência do sistema.</w:t>
            </w:r>
          </w:p>
        </w:tc>
      </w:tr>
      <w:tr>
        <w:trPr>
          <w:cantSplit/>
        </w:trPr>
        <w:tc>
          <w:tcPr>
            <w:tcW w:type="dxa" w:w="4929"/>
          </w:tcPr>
          <w:p>
            <w:r>
              <w:rPr>
                <w:rFonts w:ascii="Arial" w:hAnsi="Arial"/>
                <w:b/>
                <w:sz w:val="18"/>
              </w:rPr>
              <w:t>3. Governança</w:t>
            </w:r>
          </w:p>
        </w:tc>
        <w:tc>
          <w:tcPr>
            <w:tcW w:type="dxa" w:w="4929"/>
          </w:tcPr>
          <w:p>
            <w:r>
              <w:rPr>
                <w:rFonts w:ascii="Arial" w:hAnsi="Arial"/>
                <w:sz w:val="18"/>
              </w:rPr>
              <w:t>responsáveis, conselho/instâncias, cronograma, comunicação e plano de implementação.</w:t>
            </w:r>
          </w:p>
        </w:tc>
      </w:tr>
      <w:tr>
        <w:trPr>
          <w:cantSplit/>
        </w:trPr>
        <w:tc>
          <w:tcPr>
            <w:tcW w:type="dxa" w:w="4929"/>
          </w:tcPr>
          <w:p>
            <w:r>
              <w:rPr>
                <w:rFonts w:ascii="Arial" w:hAnsi="Arial"/>
                <w:b/>
                <w:sz w:val="18"/>
              </w:rPr>
              <w:t>4. Formação</w:t>
            </w:r>
          </w:p>
        </w:tc>
        <w:tc>
          <w:tcPr>
            <w:tcW w:type="dxa" w:w="4929"/>
          </w:tcPr>
          <w:p>
            <w:r>
              <w:rPr>
                <w:rFonts w:ascii="Arial" w:hAnsi="Arial"/>
                <w:sz w:val="18"/>
              </w:rPr>
              <w:t>trilhas por público e etapa, diagnóstico de competência, avaliação, prática e certificação.</w:t>
            </w:r>
          </w:p>
        </w:tc>
      </w:tr>
      <w:tr>
        <w:trPr>
          <w:cantSplit/>
        </w:trPr>
        <w:tc>
          <w:tcPr>
            <w:tcW w:type="dxa" w:w="4929"/>
          </w:tcPr>
          <w:p>
            <w:r>
              <w:rPr>
                <w:rFonts w:ascii="Arial" w:hAnsi="Arial"/>
                <w:b/>
                <w:sz w:val="18"/>
              </w:rPr>
              <w:t>5. Implementação escolar</w:t>
            </w:r>
          </w:p>
        </w:tc>
        <w:tc>
          <w:tcPr>
            <w:tcW w:type="dxa" w:w="4929"/>
          </w:tcPr>
          <w:p>
            <w:r>
              <w:rPr>
                <w:rFonts w:ascii="Arial" w:hAnsi="Arial"/>
                <w:sz w:val="18"/>
              </w:rPr>
              <w:t>PPP, planejamento, práticas, atividades, projetos e orientação por etapa.</w:t>
            </w:r>
          </w:p>
        </w:tc>
      </w:tr>
      <w:tr>
        <w:trPr>
          <w:cantSplit/>
        </w:trPr>
        <w:tc>
          <w:tcPr>
            <w:tcW w:type="dxa" w:w="4929"/>
          </w:tcPr>
          <w:p>
            <w:r>
              <w:rPr>
                <w:rFonts w:ascii="Arial" w:hAnsi="Arial"/>
                <w:b/>
                <w:sz w:val="18"/>
              </w:rPr>
              <w:t>6. Evidências</w:t>
            </w:r>
          </w:p>
        </w:tc>
        <w:tc>
          <w:tcPr>
            <w:tcW w:type="dxa" w:w="4929"/>
          </w:tcPr>
          <w:p>
            <w:r>
              <w:rPr>
                <w:rFonts w:ascii="Arial" w:hAnsi="Arial"/>
                <w:sz w:val="18"/>
              </w:rPr>
              <w:t>atos, currículo, PPP, planos, participação, produtos, relatórios e validações.</w:t>
            </w:r>
          </w:p>
        </w:tc>
      </w:tr>
      <w:tr>
        <w:trPr>
          <w:cantSplit/>
        </w:trPr>
        <w:tc>
          <w:tcPr>
            <w:tcW w:type="dxa" w:w="4929"/>
          </w:tcPr>
          <w:p>
            <w:r>
              <w:rPr>
                <w:rFonts w:ascii="Arial" w:hAnsi="Arial"/>
                <w:b/>
                <w:sz w:val="18"/>
              </w:rPr>
              <w:t>7. Monitoramento</w:t>
            </w:r>
          </w:p>
        </w:tc>
        <w:tc>
          <w:tcPr>
            <w:tcW w:type="dxa" w:w="4929"/>
          </w:tcPr>
          <w:p>
            <w:r>
              <w:rPr>
                <w:rFonts w:ascii="Arial" w:hAnsi="Arial"/>
                <w:sz w:val="18"/>
              </w:rPr>
              <w:t>adesão, cobertura, progresso, aplicação, escolas, estudantes alcançados, maturidade e riscos.</w:t>
            </w:r>
          </w:p>
        </w:tc>
      </w:tr>
      <w:tr>
        <w:trPr>
          <w:cantSplit/>
        </w:trPr>
        <w:tc>
          <w:tcPr>
            <w:tcW w:type="dxa" w:w="4929"/>
          </w:tcPr>
          <w:p>
            <w:r>
              <w:rPr>
                <w:rFonts w:ascii="Arial" w:hAnsi="Arial"/>
                <w:b/>
                <w:sz w:val="18"/>
              </w:rPr>
              <w:t>8. Consolidação anual</w:t>
            </w:r>
          </w:p>
        </w:tc>
        <w:tc>
          <w:tcPr>
            <w:tcW w:type="dxa" w:w="4929"/>
          </w:tcPr>
          <w:p>
            <w:r>
              <w:rPr>
                <w:rFonts w:ascii="Arial" w:hAnsi="Arial"/>
                <w:sz w:val="18"/>
              </w:rPr>
              <w:t>relatório municipal, atualização de plano, documentos e preparação do ciclo seguinte.</w:t>
            </w:r>
          </w:p>
        </w:tc>
      </w:tr>
    </w:tbl>
    <w:p>
      <w:pPr>
        <w:pStyle w:val="Heading2"/>
      </w:pPr>
      <w:r>
        <w:t>14.3 Entregáveis que serão detalhados no Volume 3</w:t>
      </w:r>
    </w:p>
    <w:p>
      <w:pPr>
        <w:pStyle w:val="ListBullet"/>
      </w:pPr>
      <w:r>
        <w:t>Diagnóstico municipal de prontidão para BNCC Computação.</w:t>
      </w:r>
    </w:p>
    <w:p>
      <w:pPr>
        <w:pStyle w:val="ListBullet"/>
      </w:pPr>
      <w:r>
        <w:t>Matriz de requisitos normativos e documentais do ciclo vigente.</w:t>
      </w:r>
    </w:p>
    <w:p>
      <w:pPr>
        <w:pStyle w:val="ListBullet"/>
      </w:pPr>
      <w:r>
        <w:t>Modelo de governança e cronograma de implementação.</w:t>
      </w:r>
    </w:p>
    <w:p>
      <w:pPr>
        <w:pStyle w:val="ListBullet"/>
      </w:pPr>
      <w:r>
        <w:t>Arquitetura da trilha formativa por público e etapa.</w:t>
      </w:r>
    </w:p>
    <w:p>
      <w:pPr>
        <w:pStyle w:val="ListBullet"/>
      </w:pPr>
      <w:r>
        <w:t>Matriz de competências e evidências de aplicação.</w:t>
      </w:r>
    </w:p>
    <w:p>
      <w:pPr>
        <w:pStyle w:val="ListBullet"/>
      </w:pPr>
      <w:r>
        <w:t>Modelo de monitoramento por escola e por profissional.</w:t>
      </w:r>
    </w:p>
    <w:p>
      <w:pPr>
        <w:pStyle w:val="ListBullet"/>
      </w:pPr>
      <w:r>
        <w:t>Painel executivo e indicadores operacionais/pedagógicos.</w:t>
      </w:r>
    </w:p>
    <w:p>
      <w:pPr>
        <w:pStyle w:val="ListBullet"/>
      </w:pPr>
      <w:r>
        <w:t>Modelos de checklists, relatórios, evidências e plano anual.</w:t>
      </w:r>
    </w:p>
    <w:p>
      <w:pPr>
        <w:pStyle w:val="ListBullet"/>
      </w:pPr>
      <w:r>
        <w:t>Estratégia de reconhecimento/certificação sem distorcer critérios pedagógicos.</w:t>
      </w:r>
    </w:p>
    <w:p>
      <w:pPr>
        <w:pStyle w:val="ListBullet"/>
      </w:pPr>
      <w:r>
        <w:t>Escopo tecnológico detalhado do módulo.</w:t>
      </w:r>
    </w:p>
    <w:p>
      <w:pPr>
        <w:pStyle w:val="Heading2"/>
      </w:pPr>
      <w:r>
        <w:t>14.4 Exemplo de narrativa comercial</w:t>
      </w:r>
    </w:p>
    <w:p>
      <w:pPr>
        <w:pStyle w:val="QuoteBox"/>
      </w:pPr>
      <w:r>
        <w:t>“A prefeitura não recebe apenas uma formação. Recebe um método para diagnosticar sua situação, organizar a política, desenvolver os profissionais, acompanhar a implementação nas escolas, reunir evidências e tomar decisões a partir de indicadores. A BNCC Computação é o primeiro módulo; a mesma infraestrutura passa a sustentar outras prioridades educacionais.”</w:t>
      </w:r>
    </w:p>
    <w:p>
      <w:pPr>
        <w:pStyle w:val="Heading1"/>
      </w:pPr>
      <w:r>
        <w:t>15. Riscos, premissas e salvaguardas</w:t>
      </w:r>
    </w:p>
    <w:tbl>
      <w:tblPr>
        <w:tblStyle w:val="TableGrid"/>
        <w:tblW w:type="auto" w:w="0"/>
        <w:jc w:val="center"/>
        <w:tblLook w:firstColumn="1" w:firstRow="1" w:lastColumn="0" w:lastRow="0" w:noHBand="0" w:noVBand="1" w:val="04A0"/>
      </w:tblPr>
      <w:tblGrid>
        <w:gridCol w:w="4929"/>
        <w:gridCol w:w="4929"/>
      </w:tblGrid>
      <w:tr>
        <w:trPr>
          <w:tblHeader w:val="true"/>
          <w:cantSplit/>
        </w:trPr>
        <w:tc>
          <w:tcPr>
            <w:tcW w:type="dxa" w:w="2948"/>
            <w:shd w:fill="17365D"/>
          </w:tcPr>
          <w:p>
            <w:pPr>
              <w:keepNext/>
            </w:pPr>
            <w:r>
              <w:rPr>
                <w:rFonts w:ascii="Arial" w:hAnsi="Arial"/>
                <w:b/>
                <w:color w:val="FFFFFF"/>
                <w:sz w:val="18"/>
              </w:rPr>
              <w:t>Risco</w:t>
            </w:r>
          </w:p>
        </w:tc>
        <w:tc>
          <w:tcPr>
            <w:tcW w:type="dxa" w:w="6123"/>
            <w:shd w:fill="17365D"/>
          </w:tcPr>
          <w:p>
            <w:pPr>
              <w:keepNext/>
            </w:pPr>
            <w:r>
              <w:rPr>
                <w:rFonts w:ascii="Arial" w:hAnsi="Arial"/>
                <w:b/>
                <w:color w:val="FFFFFF"/>
                <w:sz w:val="18"/>
              </w:rPr>
              <w:t>Salvaguarda</w:t>
            </w:r>
          </w:p>
        </w:tc>
      </w:tr>
      <w:tr>
        <w:trPr>
          <w:cantSplit/>
        </w:trPr>
        <w:tc>
          <w:tcPr>
            <w:tcW w:type="dxa" w:w="4929"/>
          </w:tcPr>
          <w:p>
            <w:r>
              <w:rPr>
                <w:rFonts w:ascii="Arial" w:hAnsi="Arial"/>
                <w:b/>
                <w:sz w:val="18"/>
              </w:rPr>
              <w:t>Promessa indevida de resultado financeiro</w:t>
            </w:r>
          </w:p>
        </w:tc>
        <w:tc>
          <w:tcPr>
            <w:tcW w:type="dxa" w:w="4929"/>
          </w:tcPr>
          <w:p>
            <w:r>
              <w:rPr>
                <w:rFonts w:ascii="Arial" w:hAnsi="Arial"/>
                <w:sz w:val="18"/>
              </w:rPr>
              <w:t>Posicionar VAAR e programas como contexto de governança; nunca garantir recebimento ou atribuir causalidade exclusiva ao produto.</w:t>
            </w:r>
          </w:p>
        </w:tc>
      </w:tr>
      <w:tr>
        <w:trPr>
          <w:cantSplit/>
        </w:trPr>
        <w:tc>
          <w:tcPr>
            <w:tcW w:type="dxa" w:w="4929"/>
          </w:tcPr>
          <w:p>
            <w:r>
              <w:rPr>
                <w:rFonts w:ascii="Arial" w:hAnsi="Arial"/>
                <w:b/>
                <w:sz w:val="18"/>
              </w:rPr>
              <w:t>Mudança normativa anual</w:t>
            </w:r>
          </w:p>
        </w:tc>
        <w:tc>
          <w:tcPr>
            <w:tcW w:type="dxa" w:w="4929"/>
          </w:tcPr>
          <w:p>
            <w:r>
              <w:rPr>
                <w:rFonts w:ascii="Arial" w:hAnsi="Arial"/>
                <w:sz w:val="18"/>
              </w:rPr>
              <w:t>Versionar requisitos, manter monitoramento regulatório e registrar qual regra vale para cada ciclo.</w:t>
            </w:r>
          </w:p>
        </w:tc>
      </w:tr>
      <w:tr>
        <w:trPr>
          <w:cantSplit/>
        </w:trPr>
        <w:tc>
          <w:tcPr>
            <w:tcW w:type="dxa" w:w="4929"/>
          </w:tcPr>
          <w:p>
            <w:r>
              <w:rPr>
                <w:rFonts w:ascii="Arial" w:hAnsi="Arial"/>
                <w:b/>
                <w:sz w:val="18"/>
              </w:rPr>
              <w:t>Baixa qualidade das bases</w:t>
            </w:r>
          </w:p>
        </w:tc>
        <w:tc>
          <w:tcPr>
            <w:tcW w:type="dxa" w:w="4929"/>
          </w:tcPr>
          <w:p>
            <w:r>
              <w:rPr>
                <w:rFonts w:ascii="Arial" w:hAnsi="Arial"/>
                <w:sz w:val="18"/>
              </w:rPr>
              <w:t>Incluir diagnóstico e saneamento; mostrar indicadores de completude e atualização.</w:t>
            </w:r>
          </w:p>
        </w:tc>
      </w:tr>
      <w:tr>
        <w:trPr>
          <w:cantSplit/>
        </w:trPr>
        <w:tc>
          <w:tcPr>
            <w:tcW w:type="dxa" w:w="4929"/>
          </w:tcPr>
          <w:p>
            <w:r>
              <w:rPr>
                <w:rFonts w:ascii="Arial" w:hAnsi="Arial"/>
                <w:b/>
                <w:sz w:val="18"/>
              </w:rPr>
              <w:t>Coleta excessiva de dados pessoais</w:t>
            </w:r>
          </w:p>
        </w:tc>
        <w:tc>
          <w:tcPr>
            <w:tcW w:type="dxa" w:w="4929"/>
          </w:tcPr>
          <w:p>
            <w:r>
              <w:rPr>
                <w:rFonts w:ascii="Arial" w:hAnsi="Arial"/>
                <w:sz w:val="18"/>
              </w:rPr>
              <w:t>Aplicar minimização, agregação e pseudonimização; justificar cada campo.</w:t>
            </w:r>
          </w:p>
        </w:tc>
      </w:tr>
      <w:tr>
        <w:trPr>
          <w:cantSplit/>
        </w:trPr>
        <w:tc>
          <w:tcPr>
            <w:tcW w:type="dxa" w:w="4929"/>
          </w:tcPr>
          <w:p>
            <w:r>
              <w:rPr>
                <w:rFonts w:ascii="Arial" w:hAnsi="Arial"/>
                <w:b/>
                <w:sz w:val="18"/>
              </w:rPr>
              <w:t>Sobrecarga da escola</w:t>
            </w:r>
          </w:p>
        </w:tc>
        <w:tc>
          <w:tcPr>
            <w:tcW w:type="dxa" w:w="4929"/>
          </w:tcPr>
          <w:p>
            <w:r>
              <w:rPr>
                <w:rFonts w:ascii="Arial" w:hAnsi="Arial"/>
                <w:sz w:val="18"/>
              </w:rPr>
              <w:t>Reduzir formulários, reutilizar dados, importar bases e pedir apenas evidências com finalidade clara.</w:t>
            </w:r>
          </w:p>
        </w:tc>
      </w:tr>
      <w:tr>
        <w:trPr>
          <w:cantSplit/>
        </w:trPr>
        <w:tc>
          <w:tcPr>
            <w:tcW w:type="dxa" w:w="4929"/>
          </w:tcPr>
          <w:p>
            <w:r>
              <w:rPr>
                <w:rFonts w:ascii="Arial" w:hAnsi="Arial"/>
                <w:b/>
                <w:sz w:val="18"/>
              </w:rPr>
              <w:t>Dependência do fornecedor</w:t>
            </w:r>
          </w:p>
        </w:tc>
        <w:tc>
          <w:tcPr>
            <w:tcW w:type="dxa" w:w="4929"/>
          </w:tcPr>
          <w:p>
            <w:r>
              <w:rPr>
                <w:rFonts w:ascii="Arial" w:hAnsi="Arial"/>
                <w:sz w:val="18"/>
              </w:rPr>
              <w:t>Garantir exportação, documentação, dicionário de dados e processos de transição.</w:t>
            </w:r>
          </w:p>
        </w:tc>
      </w:tr>
      <w:tr>
        <w:trPr>
          <w:cantSplit/>
        </w:trPr>
        <w:tc>
          <w:tcPr>
            <w:tcW w:type="dxa" w:w="4929"/>
          </w:tcPr>
          <w:p>
            <w:r>
              <w:rPr>
                <w:rFonts w:ascii="Arial" w:hAnsi="Arial"/>
                <w:b/>
                <w:sz w:val="18"/>
              </w:rPr>
              <w:t>Produto customizado demais</w:t>
            </w:r>
          </w:p>
        </w:tc>
        <w:tc>
          <w:tcPr>
            <w:tcW w:type="dxa" w:w="4929"/>
          </w:tcPr>
          <w:p>
            <w:r>
              <w:rPr>
                <w:rFonts w:ascii="Arial" w:hAnsi="Arial"/>
                <w:sz w:val="18"/>
              </w:rPr>
              <w:t>Priorizar configuração e templates; customização exclusiva deve ser exceção e ter custo separado.</w:t>
            </w:r>
          </w:p>
        </w:tc>
      </w:tr>
      <w:tr>
        <w:trPr>
          <w:cantSplit/>
        </w:trPr>
        <w:tc>
          <w:tcPr>
            <w:tcW w:type="dxa" w:w="4929"/>
          </w:tcPr>
          <w:p>
            <w:r>
              <w:rPr>
                <w:rFonts w:ascii="Arial" w:hAnsi="Arial"/>
                <w:b/>
                <w:sz w:val="18"/>
              </w:rPr>
              <w:t>Formação sem transferência para prática</w:t>
            </w:r>
          </w:p>
        </w:tc>
        <w:tc>
          <w:tcPr>
            <w:tcW w:type="dxa" w:w="4929"/>
          </w:tcPr>
          <w:p>
            <w:r>
              <w:rPr>
                <w:rFonts w:ascii="Arial" w:hAnsi="Arial"/>
                <w:sz w:val="18"/>
              </w:rPr>
              <w:t>Associar curso a atividades aplicadas, acompanhamento e evidências de uso.</w:t>
            </w:r>
          </w:p>
        </w:tc>
      </w:tr>
      <w:tr>
        <w:trPr>
          <w:cantSplit/>
        </w:trPr>
        <w:tc>
          <w:tcPr>
            <w:tcW w:type="dxa" w:w="4929"/>
          </w:tcPr>
          <w:p>
            <w:r>
              <w:rPr>
                <w:rFonts w:ascii="Arial" w:hAnsi="Arial"/>
                <w:b/>
                <w:sz w:val="18"/>
              </w:rPr>
              <w:t>Indicadores sem decisão</w:t>
            </w:r>
          </w:p>
        </w:tc>
        <w:tc>
          <w:tcPr>
            <w:tcW w:type="dxa" w:w="4929"/>
          </w:tcPr>
          <w:p>
            <w:r>
              <w:rPr>
                <w:rFonts w:ascii="Arial" w:hAnsi="Arial"/>
                <w:sz w:val="18"/>
              </w:rPr>
              <w:t>Cada painel deve responder a perguntas e estar ligado a responsáveis e ações.</w:t>
            </w:r>
          </w:p>
        </w:tc>
      </w:tr>
      <w:tr>
        <w:trPr>
          <w:cantSplit/>
        </w:trPr>
        <w:tc>
          <w:tcPr>
            <w:tcW w:type="dxa" w:w="4929"/>
          </w:tcPr>
          <w:p>
            <w:r>
              <w:rPr>
                <w:rFonts w:ascii="Arial" w:hAnsi="Arial"/>
                <w:b/>
                <w:sz w:val="18"/>
              </w:rPr>
              <w:t>Descontinuidade política</w:t>
            </w:r>
          </w:p>
        </w:tc>
        <w:tc>
          <w:tcPr>
            <w:tcW w:type="dxa" w:w="4929"/>
          </w:tcPr>
          <w:p>
            <w:r>
              <w:rPr>
                <w:rFonts w:ascii="Arial" w:hAnsi="Arial"/>
                <w:sz w:val="18"/>
              </w:rPr>
              <w:t>Formalizar governança, registrar histórico e construir capacidade da equipe municipal.</w:t>
            </w:r>
          </w:p>
        </w:tc>
      </w:tr>
    </w:tbl>
    <w:p>
      <w:pPr>
        <w:pStyle w:val="Heading2"/>
      </w:pPr>
      <w:r>
        <w:t>15.1 Premissas de sucesso</w:t>
      </w:r>
    </w:p>
    <w:p>
      <w:pPr>
        <w:pStyle w:val="ListBullet"/>
      </w:pPr>
      <w:r>
        <w:t>Existe um patrocinador municipal com autoridade para priorizar e cobrar execução.</w:t>
      </w:r>
    </w:p>
    <w:p>
      <w:pPr>
        <w:pStyle w:val="ListBullet"/>
      </w:pPr>
      <w:r>
        <w:t>A Secretaria designa um responsável funcional e disponibiliza dados/documentos necessários.</w:t>
      </w:r>
    </w:p>
    <w:p>
      <w:pPr>
        <w:pStyle w:val="ListBullet"/>
      </w:pPr>
      <w:r>
        <w:t>As escolas recebem comunicação clara sobre finalidade, carga de trabalho e calendário.</w:t>
      </w:r>
    </w:p>
    <w:p>
      <w:pPr>
        <w:pStyle w:val="ListBullet"/>
      </w:pPr>
      <w:r>
        <w:t>O escopo é calibrado ao porte e à maturidade do município.</w:t>
      </w:r>
    </w:p>
    <w:p>
      <w:pPr>
        <w:pStyle w:val="ListBullet"/>
      </w:pPr>
      <w:r>
        <w:t>As regras do ciclo normativo são validadas antes de configurar o módulo.</w:t>
      </w:r>
    </w:p>
    <w:p>
      <w:pPr>
        <w:pStyle w:val="ListBullet"/>
      </w:pPr>
      <w:r>
        <w:t>Indicadores de sucesso são definidos antes da implantação.</w:t>
      </w:r>
    </w:p>
    <w:p>
      <w:pPr>
        <w:pStyle w:val="ListBullet"/>
      </w:pPr>
      <w:r>
        <w:t>A solução inclui transferência de conhecimento à equipe municipal.</w:t>
      </w:r>
    </w:p>
    <w:p>
      <w:pPr>
        <w:pStyle w:val="Heading1"/>
      </w:pPr>
      <w:r>
        <w:t>16. Próximos volumes e decisões de validação</w:t>
      </w:r>
    </w:p>
    <w:p>
      <w:pPr>
        <w:pStyle w:val="Heading2"/>
      </w:pPr>
      <w:r>
        <w:t>16.1 Volume 2 — Catálogo completo</w:t>
      </w:r>
    </w:p>
    <w:p>
      <w:r>
        <w:t>O Volume 2 deverá transformar cada solução do catálogo em uma ficha de produto padronizada. A ficha mínima deve conter: problema, público, fundamento, diagnóstico, dados necessários, módulos funcionais, jornada, formação, indicadores, evidências, entregáveis, cronograma, dependências, riscos, opções comerciais e exemplos de dashboard.</w:t>
      </w:r>
    </w:p>
    <w:p>
      <w:pPr>
        <w:pStyle w:val="Heading2"/>
      </w:pPr>
      <w:r>
        <w:t>16.2 Volume 3 — BNCC Computação</w:t>
      </w:r>
    </w:p>
    <w:p>
      <w:r>
        <w:t>O Volume 3 será o primeiro projeto temático completo e deve estar pronto para ser apresentado a qualquer município após uma camada inicial de customização. Ele deverá conter uma versão “base nacional” e campos parametrizáveis para diagnóstico e contexto local.</w:t>
      </w:r>
    </w:p>
    <w:p>
      <w:pPr>
        <w:pStyle w:val="Heading2"/>
      </w:pPr>
      <w:r>
        <w:t>16.3 Volume 4 — Instrumentos operacionais</w:t>
      </w:r>
    </w:p>
    <w:p>
      <w:r>
        <w:t>O Volume 4 consolidará templates que aceleram implantação: checklist de coleta, questionário de maturidade, RACI, plano 30-60-90, plano anual, dicionário de dados, matriz de indicadores, matriz de evidências, modelos de relatório, roteiro de reunião, critérios de aceitação e instrumentos de avaliação de formação.</w:t>
      </w:r>
    </w:p>
    <w:p>
      <w:pPr>
        <w:pStyle w:val="Heading2"/>
      </w:pPr>
      <w:r>
        <w:t>16.4 Decisões que precisam ser validadas antes do desenvolvimento</w:t>
      </w:r>
    </w:p>
    <w:p>
      <w:pPr>
        <w:pStyle w:val="ListBullet"/>
      </w:pPr>
      <w:r>
        <w:t>Nome comercial definitivo da plataforma e identidade da metodologia.</w:t>
      </w:r>
    </w:p>
    <w:p>
      <w:pPr>
        <w:pStyle w:val="ListBullet"/>
      </w:pPr>
      <w:r>
        <w:t>Público comprador principal: prefeitura, secretaria, consórcio, associação de municípios ou parceiro institucional.</w:t>
      </w:r>
    </w:p>
    <w:p>
      <w:pPr>
        <w:pStyle w:val="ListBullet"/>
      </w:pPr>
      <w:r>
        <w:t>Formato preferencial de contratação e duração dos ciclos.</w:t>
      </w:r>
    </w:p>
    <w:p>
      <w:pPr>
        <w:pStyle w:val="ListBullet"/>
      </w:pPr>
      <w:r>
        <w:t>Quais módulos entram no produto mínimo além de BNCC Computação.</w:t>
      </w:r>
    </w:p>
    <w:p>
      <w:pPr>
        <w:pStyle w:val="ListBullet"/>
      </w:pPr>
      <w:r>
        <w:t>Qual parte da formação será própria e qual poderá integrar AVAs externos.</w:t>
      </w:r>
    </w:p>
    <w:p>
      <w:pPr>
        <w:pStyle w:val="ListBullet"/>
      </w:pPr>
      <w:r>
        <w:t>Quais bases municipais serão consideradas padrão de entrada.</w:t>
      </w:r>
    </w:p>
    <w:p>
      <w:pPr>
        <w:pStyle w:val="ListBullet"/>
      </w:pPr>
      <w:r>
        <w:t>Nível de acompanhamento humano incluído no produto padrão.</w:t>
      </w:r>
    </w:p>
    <w:p>
      <w:pPr>
        <w:pStyle w:val="ListBullet"/>
      </w:pPr>
      <w:r>
        <w:t>Indicadores essenciais do dashboard executivo.</w:t>
      </w:r>
    </w:p>
    <w:p>
      <w:pPr>
        <w:pStyle w:val="ListBullet"/>
      </w:pPr>
      <w:r>
        <w:t>Política de personalização de marca por município.</w:t>
      </w:r>
    </w:p>
    <w:p>
      <w:pPr>
        <w:pStyle w:val="ListBullet"/>
      </w:pPr>
      <w:r>
        <w:t>Política de suporte, SLA, implantação e atualizações normativas.</w:t>
      </w:r>
    </w:p>
    <w:p>
      <w:pPr>
        <w:pStyle w:val="Heading2"/>
      </w:pPr>
      <w:r>
        <w:t>16.5 Critério para considerar a Entrega 1 validada</w:t>
      </w:r>
    </w:p>
    <w:p>
      <w:r>
        <w:t>Esta entrega estará validada quando a estratégia responder, sem ambiguidade, às seguintes perguntas:</w:t>
      </w:r>
    </w:p>
    <w:p>
      <w:pPr>
        <w:pStyle w:val="ListBullet"/>
      </w:pPr>
      <w:r>
        <w:t>O que é o produto e o que ele não é?</w:t>
      </w:r>
    </w:p>
    <w:p>
      <w:pPr>
        <w:pStyle w:val="ListBullet"/>
      </w:pPr>
      <w:r>
        <w:t>Qual problema municipal ele resolve?</w:t>
      </w:r>
    </w:p>
    <w:p>
      <w:pPr>
        <w:pStyle w:val="ListBullet"/>
      </w:pPr>
      <w:r>
        <w:t>Por que a arquitetura precisa ser modular?</w:t>
      </w:r>
    </w:p>
    <w:p>
      <w:pPr>
        <w:pStyle w:val="ListBullet"/>
      </w:pPr>
      <w:r>
        <w:t>Como um município entra e como expande módulos?</w:t>
      </w:r>
    </w:p>
    <w:p>
      <w:pPr>
        <w:pStyle w:val="ListBullet"/>
      </w:pPr>
      <w:r>
        <w:t>Qual é a metodologia repetível de implantação?</w:t>
      </w:r>
    </w:p>
    <w:p>
      <w:pPr>
        <w:pStyle w:val="ListBullet"/>
      </w:pPr>
      <w:r>
        <w:t>Quais são os componentes comuns da plataforma?</w:t>
      </w:r>
    </w:p>
    <w:p>
      <w:pPr>
        <w:pStyle w:val="ListBullet"/>
      </w:pPr>
      <w:r>
        <w:t>Como dados, documentos, formação e indicadores se conectam?</w:t>
      </w:r>
    </w:p>
    <w:p>
      <w:pPr>
        <w:pStyle w:val="ListBullet"/>
      </w:pPr>
      <w:r>
        <w:t>Como a BNCC Computação funciona como módulo de entrada?</w:t>
      </w:r>
    </w:p>
    <w:p>
      <w:pPr>
        <w:pStyle w:val="ListBullet"/>
      </w:pPr>
      <w:r>
        <w:t>Como o modelo comercial evita promessas indevidas?</w:t>
      </w:r>
    </w:p>
    <w:p>
      <w:pPr>
        <w:pStyle w:val="ListBullet"/>
      </w:pPr>
      <w:r>
        <w:t>Quais decisões ainda precisam ser tomadas antes do detalhamento dos próximos volumes?</w:t>
      </w:r>
    </w:p>
    <w:p>
      <w:pPr>
        <w:pStyle w:val="Heading1"/>
      </w:pPr>
      <w:r>
        <w:t>ANEXO A — Checklist de diagnóstico municipal inicial</w:t>
      </w:r>
    </w:p>
    <w:tbl>
      <w:tblPr>
        <w:tblStyle w:val="TableGrid"/>
        <w:tblW w:type="auto" w:w="0"/>
        <w:jc w:val="center"/>
        <w:tblLook w:firstColumn="1" w:firstRow="1" w:lastColumn="0" w:lastRow="0" w:noHBand="0" w:noVBand="1" w:val="04A0"/>
      </w:tblPr>
      <w:tblGrid>
        <w:gridCol w:w="4929"/>
        <w:gridCol w:w="4929"/>
      </w:tblGrid>
      <w:tr>
        <w:trPr>
          <w:tblHeader w:val="true"/>
          <w:cantSplit/>
        </w:trPr>
        <w:tc>
          <w:tcPr>
            <w:tcW w:type="dxa" w:w="2438"/>
            <w:shd w:fill="17365D"/>
          </w:tcPr>
          <w:p>
            <w:pPr>
              <w:keepNext/>
            </w:pPr>
            <w:r>
              <w:rPr>
                <w:rFonts w:ascii="Arial" w:hAnsi="Arial"/>
                <w:b/>
                <w:color w:val="FFFFFF"/>
                <w:sz w:val="18"/>
              </w:rPr>
              <w:t>Bloco</w:t>
            </w:r>
          </w:p>
        </w:tc>
        <w:tc>
          <w:tcPr>
            <w:tcW w:type="dxa" w:w="6633"/>
            <w:shd w:fill="17365D"/>
          </w:tcPr>
          <w:p>
            <w:pPr>
              <w:keepNext/>
            </w:pPr>
            <w:r>
              <w:rPr>
                <w:rFonts w:ascii="Arial" w:hAnsi="Arial"/>
                <w:b/>
                <w:color w:val="FFFFFF"/>
                <w:sz w:val="18"/>
              </w:rPr>
              <w:t>Pergunta de abertura</w:t>
            </w:r>
          </w:p>
        </w:tc>
      </w:tr>
      <w:tr>
        <w:trPr>
          <w:cantSplit/>
        </w:trPr>
        <w:tc>
          <w:tcPr>
            <w:tcW w:type="dxa" w:w="4929"/>
          </w:tcPr>
          <w:p>
            <w:r>
              <w:rPr>
                <w:rFonts w:ascii="Arial" w:hAnsi="Arial"/>
                <w:b/>
                <w:sz w:val="18"/>
              </w:rPr>
              <w:t>Estrutura da rede</w:t>
            </w:r>
          </w:p>
        </w:tc>
        <w:tc>
          <w:tcPr>
            <w:tcW w:type="dxa" w:w="4929"/>
          </w:tcPr>
          <w:p>
            <w:r>
              <w:rPr>
                <w:rFonts w:ascii="Arial" w:hAnsi="Arial"/>
                <w:sz w:val="18"/>
              </w:rPr>
              <w:t>quantas escolas, etapas, modalidades, matrículas, turmas, profissionais e principais territórios?</w:t>
            </w:r>
          </w:p>
        </w:tc>
      </w:tr>
      <w:tr>
        <w:trPr>
          <w:cantSplit/>
        </w:trPr>
        <w:tc>
          <w:tcPr>
            <w:tcW w:type="dxa" w:w="4929"/>
          </w:tcPr>
          <w:p>
            <w:r>
              <w:rPr>
                <w:rFonts w:ascii="Arial" w:hAnsi="Arial"/>
                <w:b/>
                <w:sz w:val="18"/>
              </w:rPr>
              <w:t>Prioridades</w:t>
            </w:r>
          </w:p>
        </w:tc>
        <w:tc>
          <w:tcPr>
            <w:tcW w:type="dxa" w:w="4929"/>
          </w:tcPr>
          <w:p>
            <w:r>
              <w:rPr>
                <w:rFonts w:ascii="Arial" w:hAnsi="Arial"/>
                <w:sz w:val="18"/>
              </w:rPr>
              <w:t>quais são as três maiores dores do secretário hoje?</w:t>
            </w:r>
          </w:p>
        </w:tc>
      </w:tr>
      <w:tr>
        <w:trPr>
          <w:cantSplit/>
        </w:trPr>
        <w:tc>
          <w:tcPr>
            <w:tcW w:type="dxa" w:w="4929"/>
          </w:tcPr>
          <w:p>
            <w:r>
              <w:rPr>
                <w:rFonts w:ascii="Arial" w:hAnsi="Arial"/>
                <w:b/>
                <w:sz w:val="18"/>
              </w:rPr>
              <w:t>Prazos</w:t>
            </w:r>
          </w:p>
        </w:tc>
        <w:tc>
          <w:tcPr>
            <w:tcW w:type="dxa" w:w="4929"/>
          </w:tcPr>
          <w:p>
            <w:r>
              <w:rPr>
                <w:rFonts w:ascii="Arial" w:hAnsi="Arial"/>
                <w:sz w:val="18"/>
              </w:rPr>
              <w:t>quais ciclos oficiais, avaliações, programas e comprovações têm prazo nos próximos 12 meses?</w:t>
            </w:r>
          </w:p>
        </w:tc>
      </w:tr>
      <w:tr>
        <w:trPr>
          <w:cantSplit/>
        </w:trPr>
        <w:tc>
          <w:tcPr>
            <w:tcW w:type="dxa" w:w="4929"/>
          </w:tcPr>
          <w:p>
            <w:r>
              <w:rPr>
                <w:rFonts w:ascii="Arial" w:hAnsi="Arial"/>
                <w:b/>
                <w:sz w:val="18"/>
              </w:rPr>
              <w:t>Normas</w:t>
            </w:r>
          </w:p>
        </w:tc>
        <w:tc>
          <w:tcPr>
            <w:tcW w:type="dxa" w:w="4929"/>
          </w:tcPr>
          <w:p>
            <w:r>
              <w:rPr>
                <w:rFonts w:ascii="Arial" w:hAnsi="Arial"/>
                <w:sz w:val="18"/>
              </w:rPr>
              <w:t>quais políticas já possuem lei, resolução, currículo, ato de adesão ou aprovação?</w:t>
            </w:r>
          </w:p>
        </w:tc>
      </w:tr>
      <w:tr>
        <w:trPr>
          <w:cantSplit/>
        </w:trPr>
        <w:tc>
          <w:tcPr>
            <w:tcW w:type="dxa" w:w="4929"/>
          </w:tcPr>
          <w:p>
            <w:r>
              <w:rPr>
                <w:rFonts w:ascii="Arial" w:hAnsi="Arial"/>
                <w:b/>
                <w:sz w:val="18"/>
              </w:rPr>
              <w:t>Dados</w:t>
            </w:r>
          </w:p>
        </w:tc>
        <w:tc>
          <w:tcPr>
            <w:tcW w:type="dxa" w:w="4929"/>
          </w:tcPr>
          <w:p>
            <w:r>
              <w:rPr>
                <w:rFonts w:ascii="Arial" w:hAnsi="Arial"/>
                <w:sz w:val="18"/>
              </w:rPr>
              <w:t>quais bases existem, em quais formatos, com qual atualização e responsável?</w:t>
            </w:r>
          </w:p>
        </w:tc>
      </w:tr>
      <w:tr>
        <w:trPr>
          <w:cantSplit/>
        </w:trPr>
        <w:tc>
          <w:tcPr>
            <w:tcW w:type="dxa" w:w="4929"/>
          </w:tcPr>
          <w:p>
            <w:r>
              <w:rPr>
                <w:rFonts w:ascii="Arial" w:hAnsi="Arial"/>
                <w:b/>
                <w:sz w:val="18"/>
              </w:rPr>
              <w:t>Formação</w:t>
            </w:r>
          </w:p>
        </w:tc>
        <w:tc>
          <w:tcPr>
            <w:tcW w:type="dxa" w:w="4929"/>
          </w:tcPr>
          <w:p>
            <w:r>
              <w:rPr>
                <w:rFonts w:ascii="Arial" w:hAnsi="Arial"/>
                <w:sz w:val="18"/>
              </w:rPr>
              <w:t>quais programas formativos estão ativos e como progresso/aplicação são acompanhados?</w:t>
            </w:r>
          </w:p>
        </w:tc>
      </w:tr>
      <w:tr>
        <w:trPr>
          <w:cantSplit/>
        </w:trPr>
        <w:tc>
          <w:tcPr>
            <w:tcW w:type="dxa" w:w="4929"/>
          </w:tcPr>
          <w:p>
            <w:r>
              <w:rPr>
                <w:rFonts w:ascii="Arial" w:hAnsi="Arial"/>
                <w:b/>
                <w:sz w:val="18"/>
              </w:rPr>
              <w:t>Escolas</w:t>
            </w:r>
          </w:p>
        </w:tc>
        <w:tc>
          <w:tcPr>
            <w:tcW w:type="dxa" w:w="4929"/>
          </w:tcPr>
          <w:p>
            <w:r>
              <w:rPr>
                <w:rFonts w:ascii="Arial" w:hAnsi="Arial"/>
                <w:sz w:val="18"/>
              </w:rPr>
              <w:t>quais tarefas a Secretaria exige das escolas e como recebe/valida evidências?</w:t>
            </w:r>
          </w:p>
        </w:tc>
      </w:tr>
      <w:tr>
        <w:trPr>
          <w:cantSplit/>
        </w:trPr>
        <w:tc>
          <w:tcPr>
            <w:tcW w:type="dxa" w:w="4929"/>
          </w:tcPr>
          <w:p>
            <w:r>
              <w:rPr>
                <w:rFonts w:ascii="Arial" w:hAnsi="Arial"/>
                <w:b/>
                <w:sz w:val="18"/>
              </w:rPr>
              <w:t>Indicadores</w:t>
            </w:r>
          </w:p>
        </w:tc>
        <w:tc>
          <w:tcPr>
            <w:tcW w:type="dxa" w:w="4929"/>
          </w:tcPr>
          <w:p>
            <w:r>
              <w:rPr>
                <w:rFonts w:ascii="Arial" w:hAnsi="Arial"/>
                <w:sz w:val="18"/>
              </w:rPr>
              <w:t>quais números são acompanhados hoje e quais decisões eles acionam?</w:t>
            </w:r>
          </w:p>
        </w:tc>
      </w:tr>
      <w:tr>
        <w:trPr>
          <w:cantSplit/>
        </w:trPr>
        <w:tc>
          <w:tcPr>
            <w:tcW w:type="dxa" w:w="4929"/>
          </w:tcPr>
          <w:p>
            <w:r>
              <w:rPr>
                <w:rFonts w:ascii="Arial" w:hAnsi="Arial"/>
                <w:b/>
                <w:sz w:val="18"/>
              </w:rPr>
              <w:t>Tecnologia</w:t>
            </w:r>
          </w:p>
        </w:tc>
        <w:tc>
          <w:tcPr>
            <w:tcW w:type="dxa" w:w="4929"/>
          </w:tcPr>
          <w:p>
            <w:r>
              <w:rPr>
                <w:rFonts w:ascii="Arial" w:hAnsi="Arial"/>
                <w:sz w:val="18"/>
              </w:rPr>
              <w:t>quais sistemas são utilizados; existe login único, BI, AVA, armazenamento e suporte?</w:t>
            </w:r>
          </w:p>
        </w:tc>
      </w:tr>
      <w:tr>
        <w:trPr>
          <w:cantSplit/>
        </w:trPr>
        <w:tc>
          <w:tcPr>
            <w:tcW w:type="dxa" w:w="4929"/>
          </w:tcPr>
          <w:p>
            <w:r>
              <w:rPr>
                <w:rFonts w:ascii="Arial" w:hAnsi="Arial"/>
                <w:b/>
                <w:sz w:val="18"/>
              </w:rPr>
              <w:t>Equipe</w:t>
            </w:r>
          </w:p>
        </w:tc>
        <w:tc>
          <w:tcPr>
            <w:tcW w:type="dxa" w:w="4929"/>
          </w:tcPr>
          <w:p>
            <w:r>
              <w:rPr>
                <w:rFonts w:ascii="Arial" w:hAnsi="Arial"/>
                <w:sz w:val="18"/>
              </w:rPr>
              <w:t>quem responde por currículo, formação, dados, tecnologia, programas e monitoramento?</w:t>
            </w:r>
          </w:p>
        </w:tc>
      </w:tr>
      <w:tr>
        <w:trPr>
          <w:cantSplit/>
        </w:trPr>
        <w:tc>
          <w:tcPr>
            <w:tcW w:type="dxa" w:w="4929"/>
          </w:tcPr>
          <w:p>
            <w:r>
              <w:rPr>
                <w:rFonts w:ascii="Arial" w:hAnsi="Arial"/>
                <w:b/>
                <w:sz w:val="18"/>
              </w:rPr>
              <w:t>Riscos</w:t>
            </w:r>
          </w:p>
        </w:tc>
        <w:tc>
          <w:tcPr>
            <w:tcW w:type="dxa" w:w="4929"/>
          </w:tcPr>
          <w:p>
            <w:r>
              <w:rPr>
                <w:rFonts w:ascii="Arial" w:hAnsi="Arial"/>
                <w:sz w:val="18"/>
              </w:rPr>
              <w:t>quais pendências podem gerar inabilitação, atraso, retrabalho ou perda de oportunidade?</w:t>
            </w:r>
          </w:p>
        </w:tc>
      </w:tr>
      <w:tr>
        <w:trPr>
          <w:cantSplit/>
        </w:trPr>
        <w:tc>
          <w:tcPr>
            <w:tcW w:type="dxa" w:w="4929"/>
          </w:tcPr>
          <w:p>
            <w:r>
              <w:rPr>
                <w:rFonts w:ascii="Arial" w:hAnsi="Arial"/>
                <w:b/>
                <w:sz w:val="18"/>
              </w:rPr>
              <w:t>Investimento</w:t>
            </w:r>
          </w:p>
        </w:tc>
        <w:tc>
          <w:tcPr>
            <w:tcW w:type="dxa" w:w="4929"/>
          </w:tcPr>
          <w:p>
            <w:r>
              <w:rPr>
                <w:rFonts w:ascii="Arial" w:hAnsi="Arial"/>
                <w:sz w:val="18"/>
              </w:rPr>
              <w:t>quais recursos e contratos existem para tecnologia, formação e consultoria?</w:t>
            </w:r>
          </w:p>
        </w:tc>
      </w:tr>
    </w:tbl>
    <w:p>
      <w:pPr>
        <w:pStyle w:val="Heading1"/>
      </w:pPr>
      <w:r>
        <w:t>ANEXO B — Template de ficha de solução</w:t>
      </w:r>
    </w:p>
    <w:tbl>
      <w:tblPr>
        <w:tblStyle w:val="TableGrid"/>
        <w:tblW w:type="auto" w:w="0"/>
        <w:jc w:val="center"/>
        <w:tblLook w:firstColumn="1" w:firstRow="1" w:lastColumn="0" w:lastRow="0" w:noHBand="0" w:noVBand="1" w:val="04A0"/>
      </w:tblPr>
      <w:tblGrid>
        <w:gridCol w:w="2465"/>
        <w:gridCol w:w="2465"/>
        <w:gridCol w:w="2465"/>
        <w:gridCol w:w="2465"/>
      </w:tblGrid>
      <w:tr>
        <w:trPr>
          <w:cantSplit/>
        </w:trPr>
        <w:tc>
          <w:tcPr>
            <w:tcW w:type="dxa" w:w="2465"/>
            <w:shd w:fill="EEF4FA"/>
          </w:tcPr>
          <w:p>
            <w:pPr>
              <w:keepNext/>
              <w:jc w:val="center"/>
            </w:pPr>
            <w:r>
              <w:rPr>
                <w:rFonts w:ascii="Arial" w:hAnsi="Arial"/>
                <w:b/>
                <w:sz w:val="18"/>
              </w:rPr>
              <w:t>Nome do módulo</w:t>
            </w:r>
          </w:p>
        </w:tc>
        <w:tc>
          <w:tcPr>
            <w:tcW w:type="dxa" w:w="2465"/>
            <w:shd w:fill="EEF4FA"/>
          </w:tcPr>
          <w:p>
            <w:pPr>
              <w:keepNext/>
              <w:jc w:val="center"/>
            </w:pPr>
            <w:r>
              <w:rPr>
                <w:rFonts w:ascii="Arial" w:hAnsi="Arial"/>
                <w:b/>
                <w:sz w:val="18"/>
              </w:rPr>
              <w:t>Problema municipal</w:t>
            </w:r>
          </w:p>
        </w:tc>
        <w:tc>
          <w:tcPr>
            <w:tcW w:type="dxa" w:w="2465"/>
            <w:shd w:fill="EEF4FA"/>
          </w:tcPr>
          <w:p>
            <w:pPr>
              <w:keepNext/>
              <w:jc w:val="center"/>
            </w:pPr>
            <w:r>
              <w:rPr>
                <w:rFonts w:ascii="Arial" w:hAnsi="Arial"/>
                <w:b/>
                <w:sz w:val="18"/>
              </w:rPr>
              <w:t>Gatilhos/urgência</w:t>
            </w:r>
          </w:p>
        </w:tc>
        <w:tc>
          <w:tcPr>
            <w:tcW w:type="dxa" w:w="2465"/>
            <w:shd w:fill="EEF4FA"/>
          </w:tcPr>
          <w:p>
            <w:pPr>
              <w:keepNext/>
              <w:jc w:val="center"/>
            </w:pPr>
            <w:r>
              <w:rPr>
                <w:rFonts w:ascii="Arial" w:hAnsi="Arial"/>
                <w:b/>
                <w:sz w:val="18"/>
              </w:rPr>
              <w:t>Público beneficiário</w:t>
            </w:r>
          </w:p>
        </w:tc>
      </w:tr>
      <w:tr>
        <w:trPr>
          <w:cantSplit/>
        </w:trPr>
        <w:tc>
          <w:tcPr>
            <w:tcW w:type="dxa" w:w="2465"/>
            <w:shd w:fill="EEF4FA"/>
          </w:tcPr>
          <w:p>
            <w:pPr>
              <w:jc w:val="center"/>
            </w:pPr>
            <w:r>
              <w:rPr>
                <w:rFonts w:ascii="Arial" w:hAnsi="Arial"/>
                <w:b/>
                <w:sz w:val="18"/>
              </w:rPr>
              <w:t>Base normativa/política</w:t>
            </w:r>
          </w:p>
        </w:tc>
        <w:tc>
          <w:tcPr>
            <w:tcW w:type="dxa" w:w="2465"/>
            <w:shd w:fill="EEF4FA"/>
          </w:tcPr>
          <w:p>
            <w:pPr>
              <w:jc w:val="center"/>
            </w:pPr>
            <w:r>
              <w:rPr>
                <w:rFonts w:ascii="Arial" w:hAnsi="Arial"/>
                <w:b/>
                <w:sz w:val="18"/>
              </w:rPr>
              <w:t>Perguntas do diagnóstico</w:t>
            </w:r>
          </w:p>
        </w:tc>
        <w:tc>
          <w:tcPr>
            <w:tcW w:type="dxa" w:w="2465"/>
            <w:shd w:fill="EEF4FA"/>
          </w:tcPr>
          <w:p>
            <w:pPr>
              <w:jc w:val="center"/>
            </w:pPr>
            <w:r>
              <w:rPr>
                <w:rFonts w:ascii="Arial" w:hAnsi="Arial"/>
                <w:b/>
                <w:sz w:val="18"/>
              </w:rPr>
              <w:t>Dados necessários</w:t>
            </w:r>
          </w:p>
        </w:tc>
        <w:tc>
          <w:tcPr>
            <w:tcW w:type="dxa" w:w="2465"/>
            <w:shd w:fill="EEF4FA"/>
          </w:tcPr>
          <w:p>
            <w:pPr>
              <w:jc w:val="center"/>
            </w:pPr>
            <w:r>
              <w:rPr>
                <w:rFonts w:ascii="Arial" w:hAnsi="Arial"/>
                <w:b/>
                <w:sz w:val="18"/>
              </w:rPr>
              <w:t>Documentos/evidências</w:t>
            </w:r>
          </w:p>
        </w:tc>
      </w:tr>
      <w:tr>
        <w:trPr>
          <w:cantSplit/>
        </w:trPr>
        <w:tc>
          <w:tcPr>
            <w:tcW w:type="dxa" w:w="2465"/>
            <w:shd w:fill="EEF4FA"/>
          </w:tcPr>
          <w:p>
            <w:pPr>
              <w:jc w:val="center"/>
            </w:pPr>
            <w:r>
              <w:rPr>
                <w:rFonts w:ascii="Arial" w:hAnsi="Arial"/>
                <w:b/>
                <w:sz w:val="18"/>
              </w:rPr>
              <w:t>Objetivo geral</w:t>
            </w:r>
          </w:p>
        </w:tc>
        <w:tc>
          <w:tcPr>
            <w:tcW w:type="dxa" w:w="2465"/>
            <w:shd w:fill="EEF4FA"/>
          </w:tcPr>
          <w:p>
            <w:pPr>
              <w:jc w:val="center"/>
            </w:pPr>
            <w:r>
              <w:rPr>
                <w:rFonts w:ascii="Arial" w:hAnsi="Arial"/>
                <w:b/>
                <w:sz w:val="18"/>
              </w:rPr>
              <w:t>Objetivos específicos</w:t>
            </w:r>
          </w:p>
        </w:tc>
        <w:tc>
          <w:tcPr>
            <w:tcW w:type="dxa" w:w="2465"/>
            <w:shd w:fill="EEF4FA"/>
          </w:tcPr>
          <w:p>
            <w:pPr>
              <w:jc w:val="center"/>
            </w:pPr>
            <w:r>
              <w:rPr>
                <w:rFonts w:ascii="Arial" w:hAnsi="Arial"/>
                <w:b/>
                <w:sz w:val="18"/>
              </w:rPr>
              <w:t>Entregáveis</w:t>
            </w:r>
          </w:p>
        </w:tc>
        <w:tc>
          <w:tcPr>
            <w:tcW w:type="dxa" w:w="2465"/>
            <w:shd w:fill="EEF4FA"/>
          </w:tcPr>
          <w:p>
            <w:pPr>
              <w:jc w:val="center"/>
            </w:pPr>
            <w:r>
              <w:rPr>
                <w:rFonts w:ascii="Arial" w:hAnsi="Arial"/>
                <w:b/>
                <w:sz w:val="18"/>
              </w:rPr>
              <w:t>Trilha formativa</w:t>
            </w:r>
          </w:p>
        </w:tc>
      </w:tr>
      <w:tr>
        <w:trPr>
          <w:cantSplit/>
        </w:trPr>
        <w:tc>
          <w:tcPr>
            <w:tcW w:type="dxa" w:w="2465"/>
            <w:shd w:fill="EEF4FA"/>
          </w:tcPr>
          <w:p>
            <w:pPr>
              <w:jc w:val="center"/>
            </w:pPr>
            <w:r>
              <w:rPr>
                <w:rFonts w:ascii="Arial" w:hAnsi="Arial"/>
                <w:b/>
                <w:sz w:val="18"/>
              </w:rPr>
              <w:t>Fluxo de implantação</w:t>
            </w:r>
          </w:p>
        </w:tc>
        <w:tc>
          <w:tcPr>
            <w:tcW w:type="dxa" w:w="2465"/>
            <w:shd w:fill="EEF4FA"/>
          </w:tcPr>
          <w:p>
            <w:pPr>
              <w:jc w:val="center"/>
            </w:pPr>
            <w:r>
              <w:rPr>
                <w:rFonts w:ascii="Arial" w:hAnsi="Arial"/>
                <w:b/>
                <w:sz w:val="18"/>
              </w:rPr>
              <w:t>Perfis envolvidos</w:t>
            </w:r>
          </w:p>
        </w:tc>
        <w:tc>
          <w:tcPr>
            <w:tcW w:type="dxa" w:w="2465"/>
            <w:shd w:fill="EEF4FA"/>
          </w:tcPr>
          <w:p>
            <w:pPr>
              <w:jc w:val="center"/>
            </w:pPr>
            <w:r>
              <w:rPr>
                <w:rFonts w:ascii="Arial" w:hAnsi="Arial"/>
                <w:b/>
                <w:sz w:val="18"/>
              </w:rPr>
              <w:t>Indicadores</w:t>
            </w:r>
          </w:p>
        </w:tc>
        <w:tc>
          <w:tcPr>
            <w:tcW w:type="dxa" w:w="2465"/>
            <w:shd w:fill="EEF4FA"/>
          </w:tcPr>
          <w:p>
            <w:pPr>
              <w:jc w:val="center"/>
            </w:pPr>
            <w:r>
              <w:rPr>
                <w:rFonts w:ascii="Arial" w:hAnsi="Arial"/>
                <w:b/>
                <w:sz w:val="18"/>
              </w:rPr>
              <w:t>Dashboards</w:t>
            </w:r>
          </w:p>
        </w:tc>
      </w:tr>
      <w:tr>
        <w:trPr>
          <w:cantSplit/>
        </w:trPr>
        <w:tc>
          <w:tcPr>
            <w:tcW w:type="dxa" w:w="2465"/>
            <w:shd w:fill="EEF4FA"/>
          </w:tcPr>
          <w:p>
            <w:pPr>
              <w:jc w:val="center"/>
            </w:pPr>
            <w:r>
              <w:rPr>
                <w:rFonts w:ascii="Arial" w:hAnsi="Arial"/>
                <w:b/>
                <w:sz w:val="18"/>
              </w:rPr>
              <w:t>Relatórios</w:t>
            </w:r>
          </w:p>
        </w:tc>
        <w:tc>
          <w:tcPr>
            <w:tcW w:type="dxa" w:w="2465"/>
            <w:shd w:fill="EEF4FA"/>
          </w:tcPr>
          <w:p>
            <w:pPr>
              <w:jc w:val="center"/>
            </w:pPr>
            <w:r>
              <w:rPr>
                <w:rFonts w:ascii="Arial" w:hAnsi="Arial"/>
                <w:b/>
                <w:sz w:val="18"/>
              </w:rPr>
              <w:t>Cronograma base</w:t>
            </w:r>
          </w:p>
        </w:tc>
        <w:tc>
          <w:tcPr>
            <w:tcW w:type="dxa" w:w="2465"/>
            <w:shd w:fill="EEF4FA"/>
          </w:tcPr>
          <w:p>
            <w:pPr>
              <w:jc w:val="center"/>
            </w:pPr>
            <w:r>
              <w:rPr>
                <w:rFonts w:ascii="Arial" w:hAnsi="Arial"/>
                <w:b/>
                <w:sz w:val="18"/>
              </w:rPr>
              <w:t>Dependências</w:t>
            </w:r>
          </w:p>
        </w:tc>
        <w:tc>
          <w:tcPr>
            <w:tcW w:type="dxa" w:w="2465"/>
            <w:shd w:fill="EEF4FA"/>
          </w:tcPr>
          <w:p>
            <w:pPr>
              <w:jc w:val="center"/>
            </w:pPr>
            <w:r>
              <w:rPr>
                <w:rFonts w:ascii="Arial" w:hAnsi="Arial"/>
                <w:b/>
                <w:sz w:val="18"/>
              </w:rPr>
              <w:t>Riscos</w:t>
            </w:r>
          </w:p>
        </w:tc>
      </w:tr>
      <w:tr>
        <w:trPr>
          <w:cantSplit/>
        </w:trPr>
        <w:tc>
          <w:tcPr>
            <w:tcW w:type="dxa" w:w="2465"/>
            <w:shd w:fill="EEF4FA"/>
          </w:tcPr>
          <w:p>
            <w:pPr>
              <w:jc w:val="center"/>
            </w:pPr>
            <w:r>
              <w:rPr>
                <w:rFonts w:ascii="Arial" w:hAnsi="Arial"/>
                <w:b/>
                <w:sz w:val="18"/>
              </w:rPr>
              <w:t>Integrações</w:t>
            </w:r>
          </w:p>
        </w:tc>
        <w:tc>
          <w:tcPr>
            <w:tcW w:type="dxa" w:w="2465"/>
            <w:shd w:fill="EEF4FA"/>
          </w:tcPr>
          <w:p>
            <w:pPr>
              <w:jc w:val="center"/>
            </w:pPr>
            <w:r>
              <w:rPr>
                <w:rFonts w:ascii="Arial" w:hAnsi="Arial"/>
                <w:b/>
                <w:sz w:val="18"/>
              </w:rPr>
              <w:t>Modelo comercial</w:t>
            </w:r>
          </w:p>
        </w:tc>
        <w:tc>
          <w:tcPr>
            <w:tcW w:type="dxa" w:w="2465"/>
            <w:shd w:fill="EEF4FA"/>
          </w:tcPr>
          <w:p>
            <w:pPr>
              <w:jc w:val="center"/>
            </w:pPr>
            <w:r>
              <w:rPr>
                <w:rFonts w:ascii="Arial" w:hAnsi="Arial"/>
                <w:b/>
                <w:sz w:val="18"/>
              </w:rPr>
              <w:t>Critérios de aceite</w:t>
            </w:r>
          </w:p>
        </w:tc>
        <w:tc>
          <w:tcPr>
            <w:tcW w:type="dxa" w:w="2465"/>
            <w:shd w:fill="EEF4FA"/>
          </w:tcPr>
          <w:p>
            <w:pPr>
              <w:jc w:val="center"/>
            </w:pPr>
            <w:r>
              <w:rPr>
                <w:rFonts w:ascii="Arial" w:hAnsi="Arial"/>
                <w:b/>
                <w:sz w:val="18"/>
              </w:rPr>
              <w:t>Resultados esperados</w:t>
            </w:r>
          </w:p>
        </w:tc>
      </w:tr>
    </w:tbl>
    <w:p>
      <w:pPr>
        <w:pStyle w:val="Heading1"/>
      </w:pPr>
      <w:r>
        <w:t>ANEXO C — Dicionário mínimo de dados do núcleo</w:t>
      </w:r>
    </w:p>
    <w:tbl>
      <w:tblPr>
        <w:tblStyle w:val="TableGrid"/>
        <w:tblW w:type="auto" w:w="0"/>
        <w:jc w:val="center"/>
        <w:tblLook w:firstColumn="1" w:firstRow="1" w:lastColumn="0" w:lastRow="0" w:noHBand="0" w:noVBand="1" w:val="04A0"/>
      </w:tblPr>
      <w:tblGrid>
        <w:gridCol w:w="4929"/>
        <w:gridCol w:w="4929"/>
      </w:tblGrid>
      <w:tr>
        <w:trPr>
          <w:tblHeader w:val="true"/>
          <w:cantSplit/>
        </w:trPr>
        <w:tc>
          <w:tcPr>
            <w:tcW w:type="dxa" w:w="2381"/>
            <w:shd w:fill="0F6B6D"/>
          </w:tcPr>
          <w:p>
            <w:pPr>
              <w:keepNext/>
            </w:pPr>
            <w:r>
              <w:rPr>
                <w:rFonts w:ascii="Arial" w:hAnsi="Arial"/>
                <w:b/>
                <w:color w:val="FFFFFF"/>
                <w:sz w:val="18"/>
              </w:rPr>
              <w:t>Entidade</w:t>
            </w:r>
          </w:p>
        </w:tc>
        <w:tc>
          <w:tcPr>
            <w:tcW w:type="dxa" w:w="6690"/>
            <w:shd w:fill="0F6B6D"/>
          </w:tcPr>
          <w:p>
            <w:pPr>
              <w:keepNext/>
            </w:pPr>
            <w:r>
              <w:rPr>
                <w:rFonts w:ascii="Arial" w:hAnsi="Arial"/>
                <w:b/>
                <w:color w:val="FFFFFF"/>
                <w:sz w:val="18"/>
              </w:rPr>
              <w:t>Campos/conteúdo mínimo</w:t>
            </w:r>
          </w:p>
        </w:tc>
      </w:tr>
      <w:tr>
        <w:trPr>
          <w:cantSplit/>
        </w:trPr>
        <w:tc>
          <w:tcPr>
            <w:tcW w:type="dxa" w:w="4929"/>
          </w:tcPr>
          <w:p>
            <w:r>
              <w:rPr>
                <w:rFonts w:ascii="Arial" w:hAnsi="Arial"/>
                <w:b/>
                <w:sz w:val="18"/>
              </w:rPr>
              <w:t>Município</w:t>
            </w:r>
          </w:p>
        </w:tc>
        <w:tc>
          <w:tcPr>
            <w:tcW w:type="dxa" w:w="4929"/>
          </w:tcPr>
          <w:p>
            <w:r>
              <w:rPr>
                <w:rFonts w:ascii="Arial" w:hAnsi="Arial"/>
                <w:sz w:val="18"/>
              </w:rPr>
              <w:t>código IBGE, UF, nome, sistema de ensino, contatos institucionais.</w:t>
            </w:r>
          </w:p>
        </w:tc>
      </w:tr>
      <w:tr>
        <w:trPr>
          <w:cantSplit/>
        </w:trPr>
        <w:tc>
          <w:tcPr>
            <w:tcW w:type="dxa" w:w="4929"/>
          </w:tcPr>
          <w:p>
            <w:r>
              <w:rPr>
                <w:rFonts w:ascii="Arial" w:hAnsi="Arial"/>
                <w:b/>
                <w:sz w:val="18"/>
              </w:rPr>
              <w:t>Escola</w:t>
            </w:r>
          </w:p>
        </w:tc>
        <w:tc>
          <w:tcPr>
            <w:tcW w:type="dxa" w:w="4929"/>
          </w:tcPr>
          <w:p>
            <w:r>
              <w:rPr>
                <w:rFonts w:ascii="Arial" w:hAnsi="Arial"/>
                <w:sz w:val="18"/>
              </w:rPr>
              <w:t>INEP, nome, localização, zona, etapas, modalidades, turnos, situação.</w:t>
            </w:r>
          </w:p>
        </w:tc>
      </w:tr>
      <w:tr>
        <w:trPr>
          <w:cantSplit/>
        </w:trPr>
        <w:tc>
          <w:tcPr>
            <w:tcW w:type="dxa" w:w="4929"/>
          </w:tcPr>
          <w:p>
            <w:r>
              <w:rPr>
                <w:rFonts w:ascii="Arial" w:hAnsi="Arial"/>
                <w:b/>
                <w:sz w:val="18"/>
              </w:rPr>
              <w:t>Profissional</w:t>
            </w:r>
          </w:p>
        </w:tc>
        <w:tc>
          <w:tcPr>
            <w:tcW w:type="dxa" w:w="4929"/>
          </w:tcPr>
          <w:p>
            <w:r>
              <w:rPr>
                <w:rFonts w:ascii="Arial" w:hAnsi="Arial"/>
                <w:sz w:val="18"/>
              </w:rPr>
              <w:t>ID/matrícula, nome, vínculo, função, escola(s), formação, contato institucional; somente campos necessários.</w:t>
            </w:r>
          </w:p>
        </w:tc>
      </w:tr>
      <w:tr>
        <w:trPr>
          <w:cantSplit/>
        </w:trPr>
        <w:tc>
          <w:tcPr>
            <w:tcW w:type="dxa" w:w="4929"/>
          </w:tcPr>
          <w:p>
            <w:r>
              <w:rPr>
                <w:rFonts w:ascii="Arial" w:hAnsi="Arial"/>
                <w:b/>
                <w:sz w:val="18"/>
              </w:rPr>
              <w:t>Usuário</w:t>
            </w:r>
          </w:p>
        </w:tc>
        <w:tc>
          <w:tcPr>
            <w:tcW w:type="dxa" w:w="4929"/>
          </w:tcPr>
          <w:p>
            <w:r>
              <w:rPr>
                <w:rFonts w:ascii="Arial" w:hAnsi="Arial"/>
                <w:sz w:val="18"/>
              </w:rPr>
              <w:t>identidade de acesso, perfil, escopo, status, logs.</w:t>
            </w:r>
          </w:p>
        </w:tc>
      </w:tr>
      <w:tr>
        <w:trPr>
          <w:cantSplit/>
        </w:trPr>
        <w:tc>
          <w:tcPr>
            <w:tcW w:type="dxa" w:w="4929"/>
          </w:tcPr>
          <w:p>
            <w:r>
              <w:rPr>
                <w:rFonts w:ascii="Arial" w:hAnsi="Arial"/>
                <w:b/>
                <w:sz w:val="18"/>
              </w:rPr>
              <w:t>Estudante</w:t>
            </w:r>
          </w:p>
        </w:tc>
        <w:tc>
          <w:tcPr>
            <w:tcW w:type="dxa" w:w="4929"/>
          </w:tcPr>
          <w:p>
            <w:r>
              <w:rPr>
                <w:rFonts w:ascii="Arial" w:hAnsi="Arial"/>
                <w:sz w:val="18"/>
              </w:rPr>
              <w:t>quando necessário: ID interno/pseudônimo, escola, turma, etapa, atributos necessários ao indicador; evitar excesso de identificação.</w:t>
            </w:r>
          </w:p>
        </w:tc>
      </w:tr>
      <w:tr>
        <w:trPr>
          <w:cantSplit/>
        </w:trPr>
        <w:tc>
          <w:tcPr>
            <w:tcW w:type="dxa" w:w="4929"/>
          </w:tcPr>
          <w:p>
            <w:r>
              <w:rPr>
                <w:rFonts w:ascii="Arial" w:hAnsi="Arial"/>
                <w:b/>
                <w:sz w:val="18"/>
              </w:rPr>
              <w:t>Política/Módulo</w:t>
            </w:r>
          </w:p>
        </w:tc>
        <w:tc>
          <w:tcPr>
            <w:tcW w:type="dxa" w:w="4929"/>
          </w:tcPr>
          <w:p>
            <w:r>
              <w:rPr>
                <w:rFonts w:ascii="Arial" w:hAnsi="Arial"/>
                <w:sz w:val="18"/>
              </w:rPr>
              <w:t>código, nome, ciclo, requisitos, versão, status.</w:t>
            </w:r>
          </w:p>
        </w:tc>
      </w:tr>
      <w:tr>
        <w:trPr>
          <w:cantSplit/>
        </w:trPr>
        <w:tc>
          <w:tcPr>
            <w:tcW w:type="dxa" w:w="4929"/>
          </w:tcPr>
          <w:p>
            <w:r>
              <w:rPr>
                <w:rFonts w:ascii="Arial" w:hAnsi="Arial"/>
                <w:b/>
                <w:sz w:val="18"/>
              </w:rPr>
              <w:t>Requisito</w:t>
            </w:r>
          </w:p>
        </w:tc>
        <w:tc>
          <w:tcPr>
            <w:tcW w:type="dxa" w:w="4929"/>
          </w:tcPr>
          <w:p>
            <w:r>
              <w:rPr>
                <w:rFonts w:ascii="Arial" w:hAnsi="Arial"/>
                <w:sz w:val="18"/>
              </w:rPr>
              <w:t>descrição, tipo, base, evidência esperada, prazo, responsável.</w:t>
            </w:r>
          </w:p>
        </w:tc>
      </w:tr>
      <w:tr>
        <w:trPr>
          <w:cantSplit/>
        </w:trPr>
        <w:tc>
          <w:tcPr>
            <w:tcW w:type="dxa" w:w="4929"/>
          </w:tcPr>
          <w:p>
            <w:r>
              <w:rPr>
                <w:rFonts w:ascii="Arial" w:hAnsi="Arial"/>
                <w:b/>
                <w:sz w:val="18"/>
              </w:rPr>
              <w:t>Plano/Ação</w:t>
            </w:r>
          </w:p>
        </w:tc>
        <w:tc>
          <w:tcPr>
            <w:tcW w:type="dxa" w:w="4929"/>
          </w:tcPr>
          <w:p>
            <w:r>
              <w:rPr>
                <w:rFonts w:ascii="Arial" w:hAnsi="Arial"/>
                <w:sz w:val="18"/>
              </w:rPr>
              <w:t>objetivo, ação, unidade, responsável, início, prazo, status, meta.</w:t>
            </w:r>
          </w:p>
        </w:tc>
      </w:tr>
      <w:tr>
        <w:trPr>
          <w:cantSplit/>
        </w:trPr>
        <w:tc>
          <w:tcPr>
            <w:tcW w:type="dxa" w:w="4929"/>
          </w:tcPr>
          <w:p>
            <w:r>
              <w:rPr>
                <w:rFonts w:ascii="Arial" w:hAnsi="Arial"/>
                <w:b/>
                <w:sz w:val="18"/>
              </w:rPr>
              <w:t>Formação</w:t>
            </w:r>
          </w:p>
        </w:tc>
        <w:tc>
          <w:tcPr>
            <w:tcW w:type="dxa" w:w="4929"/>
          </w:tcPr>
          <w:p>
            <w:r>
              <w:rPr>
                <w:rFonts w:ascii="Arial" w:hAnsi="Arial"/>
                <w:sz w:val="18"/>
              </w:rPr>
              <w:t>trilha, curso, participante, progresso, avaliação, conclusão, certificado, aplicação.</w:t>
            </w:r>
          </w:p>
        </w:tc>
      </w:tr>
      <w:tr>
        <w:trPr>
          <w:cantSplit/>
        </w:trPr>
        <w:tc>
          <w:tcPr>
            <w:tcW w:type="dxa" w:w="4929"/>
          </w:tcPr>
          <w:p>
            <w:r>
              <w:rPr>
                <w:rFonts w:ascii="Arial" w:hAnsi="Arial"/>
                <w:b/>
                <w:sz w:val="18"/>
              </w:rPr>
              <w:t>Evidência</w:t>
            </w:r>
          </w:p>
        </w:tc>
        <w:tc>
          <w:tcPr>
            <w:tcW w:type="dxa" w:w="4929"/>
          </w:tcPr>
          <w:p>
            <w:r>
              <w:rPr>
                <w:rFonts w:ascii="Arial" w:hAnsi="Arial"/>
                <w:sz w:val="18"/>
              </w:rPr>
              <w:t>tipo, arquivo/link, requisito, unidade, período, status, validador.</w:t>
            </w:r>
          </w:p>
        </w:tc>
      </w:tr>
      <w:tr>
        <w:trPr>
          <w:cantSplit/>
        </w:trPr>
        <w:tc>
          <w:tcPr>
            <w:tcW w:type="dxa" w:w="4929"/>
          </w:tcPr>
          <w:p>
            <w:r>
              <w:rPr>
                <w:rFonts w:ascii="Arial" w:hAnsi="Arial"/>
                <w:b/>
                <w:sz w:val="18"/>
              </w:rPr>
              <w:t>Indicador</w:t>
            </w:r>
          </w:p>
        </w:tc>
        <w:tc>
          <w:tcPr>
            <w:tcW w:type="dxa" w:w="4929"/>
          </w:tcPr>
          <w:p>
            <w:r>
              <w:rPr>
                <w:rFonts w:ascii="Arial" w:hAnsi="Arial"/>
                <w:sz w:val="18"/>
              </w:rPr>
              <w:t>nome, fórmula, fonte, data, recorte, valor, meta, status.</w:t>
            </w:r>
          </w:p>
        </w:tc>
      </w:tr>
      <w:tr>
        <w:trPr>
          <w:cantSplit/>
        </w:trPr>
        <w:tc>
          <w:tcPr>
            <w:tcW w:type="dxa" w:w="4929"/>
          </w:tcPr>
          <w:p>
            <w:r>
              <w:rPr>
                <w:rFonts w:ascii="Arial" w:hAnsi="Arial"/>
                <w:b/>
                <w:sz w:val="18"/>
              </w:rPr>
              <w:t>Evento de auditoria</w:t>
            </w:r>
          </w:p>
        </w:tc>
        <w:tc>
          <w:tcPr>
            <w:tcW w:type="dxa" w:w="4929"/>
          </w:tcPr>
          <w:p>
            <w:r>
              <w:rPr>
                <w:rFonts w:ascii="Arial" w:hAnsi="Arial"/>
                <w:sz w:val="18"/>
              </w:rPr>
              <w:t>usuário, ação, entidade, data/hora, contexto.</w:t>
            </w:r>
          </w:p>
        </w:tc>
      </w:tr>
    </w:tbl>
    <w:p>
      <w:pPr>
        <w:pStyle w:val="Heading1"/>
      </w:pPr>
      <w:r>
        <w:t>ANEXO D — Referências normativas e fontes oficiais</w:t>
      </w:r>
    </w:p>
    <w:p>
      <w:r>
        <w:t>As referências abaixo fundamentam o desenho geral e o módulo prioritário. Devem ser verificadas novamente na implantação de cada município e atualizadas por ciclo.</w:t>
      </w:r>
    </w:p>
    <w:p>
      <w:r>
        <w:rPr>
          <w:b/>
        </w:rPr>
        <w:t xml:space="preserve">1. </w:t>
      </w:r>
      <w:r>
        <w:t>BRASIL. Constituição da República Federativa do Brasil de 1988, especialmente arts. 211, 212 e 212-A.</w:t>
      </w:r>
    </w:p>
    <w:p>
      <w:r>
        <w:rPr>
          <w:b/>
        </w:rPr>
        <w:t xml:space="preserve">2. </w:t>
      </w:r>
      <w:r>
        <w:t>BRASIL. Lei nº 9.394, de 20 de dezembro de 1996 — Lei de Diretrizes e Bases da Educação Nacional (LDB).</w:t>
      </w:r>
    </w:p>
    <w:p>
      <w:r>
        <w:rPr>
          <w:b/>
        </w:rPr>
        <w:t xml:space="preserve">3. </w:t>
      </w:r>
      <w:r>
        <w:t>BRASIL. Lei nº 13.709, de 14 de agosto de 2018 — Lei Geral de Proteção de Dados Pessoais (LGPD).</w:t>
      </w:r>
    </w:p>
    <w:p>
      <w:r>
        <w:rPr>
          <w:b/>
        </w:rPr>
        <w:t xml:space="preserve">4. </w:t>
      </w:r>
      <w:r>
        <w:t>BRASIL. Lei nº 14.113, de 25 de dezembro de 2020 — regulamenta o Fundeb. Art. 5º: VAAF, VAAT e VAAR; art. 14: condicionalidades e indicadores do VAAR.</w:t>
      </w:r>
    </w:p>
    <w:p>
      <w:r>
        <w:rPr>
          <w:b/>
        </w:rPr>
        <w:t xml:space="preserve">5. </w:t>
      </w:r>
      <w:r>
        <w:t>BRASIL. Lei nº 14.133, de 1º de abril de 2021 — Lei de Licitações e Contratos Administrativos.</w:t>
      </w:r>
    </w:p>
    <w:p>
      <w:r>
        <w:rPr>
          <w:b/>
        </w:rPr>
        <w:t xml:space="preserve">6. </w:t>
      </w:r>
      <w:r>
        <w:t>CONSELHO NACIONAL DE EDUCAÇÃO. Resolução CNE/CEB nº 1, de 4 de outubro de 2022 — Normas sobre Computação na Educação Básica — Complemento à BNCC.</w:t>
      </w:r>
    </w:p>
    <w:p>
      <w:r>
        <w:rPr>
          <w:b/>
        </w:rPr>
        <w:t xml:space="preserve">7. </w:t>
      </w:r>
      <w:r>
        <w:t>BRASIL. Lei nº 14.533, de 11 de janeiro de 2023 — institui a Política Nacional de Educação Digital e altera a LDB.</w:t>
      </w:r>
    </w:p>
    <w:p>
      <w:r>
        <w:rPr>
          <w:b/>
        </w:rPr>
        <w:t xml:space="preserve">8. </w:t>
      </w:r>
      <w:r>
        <w:t>COMISSÃO INTERGOVERNAMENTAL DE FINANCIAMENTO PARA A EDUCAÇÃO BÁSICA DE QUALIDADE. Resolução CIF nº 24, de 15 de junho de 2026 — metodologia das Condicionalidades I, IV e V do VAAR para 2027.</w:t>
      </w:r>
    </w:p>
    <w:p>
      <w:r>
        <w:rPr>
          <w:b/>
        </w:rPr>
        <w:t xml:space="preserve">9. </w:t>
      </w:r>
      <w:r>
        <w:t>COMISSÃO INTERGOVERNAMENTAL DE FINANCIAMENTO PARA A EDUCAÇÃO BÁSICA DE QUALIDADE. Resolução CIF nº 25, de 23 de julho de 2026 — metodologias das Condicionalidades II e III e dos indicadores VAAR para 2027.</w:t>
      </w:r>
    </w:p>
    <w:p>
      <w:r>
        <w:rPr>
          <w:b/>
        </w:rPr>
        <w:t xml:space="preserve">10. </w:t>
      </w:r>
      <w:r>
        <w:t>FNDE. Portal Fundeb 2026 — estimativas, cronogramas, redes beneficiadas e arquivos de dados das complementações VAAF, VAAT e VAAR.</w:t>
      </w:r>
    </w:p>
    <w:p>
      <w:pPr>
        <w:pStyle w:val="Heading2"/>
      </w:pPr>
      <w:r>
        <w:t>Links oficiais de referência</w:t>
      </w:r>
    </w:p>
    <w:p>
      <w:pPr>
        <w:pStyle w:val="ListBullet"/>
      </w:pPr>
      <w:r>
        <w:t>https://www.planalto.gov.br/ccivil_03/_ato2019-2022/2020/lei/l14113.htm</w:t>
      </w:r>
    </w:p>
    <w:p>
      <w:pPr>
        <w:pStyle w:val="ListBullet"/>
      </w:pPr>
      <w:r>
        <w:t>https://portal.mec.gov.br/docman/outubro-2022-pdf/241671-rceb001-22/file</w:t>
      </w:r>
    </w:p>
    <w:p>
      <w:pPr>
        <w:pStyle w:val="ListBullet"/>
      </w:pPr>
      <w:r>
        <w:t>https://www.planalto.gov.br/ccivil_03/_ato2023-2026/2023/lei/l14533.htm</w:t>
      </w:r>
    </w:p>
    <w:p>
      <w:pPr>
        <w:pStyle w:val="ListBullet"/>
      </w:pPr>
      <w:r>
        <w:t>https://www.gov.br/fnde/pt-br/acesso-a-informacao/acoes-e-programas/financiamento/fundeb/legislacao/2026</w:t>
      </w:r>
    </w:p>
    <w:p>
      <w:pPr>
        <w:pStyle w:val="ListBullet"/>
      </w:pPr>
      <w:r>
        <w:t>https://www.gov.br/fnde/pt-br/acesso-a-informacao/acoes-e-programas/financiamento/fundeb/2026</w:t>
      </w:r>
    </w:p>
    <w:p>
      <w:r>
        <w:t>Data de consolidação desta versão: 1º de setembro de 2026.</w:t>
      </w:r>
    </w:p>
    <w:p>
      <w:r>
        <w:br w:type="page"/>
      </w:r>
    </w:p>
    <w:p>
      <w:pPr>
        <w:spacing w:before="2400"/>
        <w:jc w:val="center"/>
      </w:pPr>
      <w:r>
        <w:rPr>
          <w:b/>
          <w:color w:val="17365D"/>
          <w:sz w:val="44"/>
        </w:rPr>
        <w:t>FIM DA ENTREGA 1</w:t>
      </w:r>
    </w:p>
    <w:p>
      <w:pPr>
        <w:jc w:val="center"/>
      </w:pPr>
      <w:r>
        <w:rPr>
          <w:color w:val="4B5563"/>
          <w:sz w:val="24"/>
        </w:rPr>
        <w:t>Documento-Mãe — Volume 1</w:t>
        <w:br/>
        <w:t>Estratégia, metodologia e arquitetura da Plataforma de Governança Educacional Municipal</w:t>
      </w:r>
    </w:p>
    <w:p>
      <w:pPr>
        <w:spacing w:before="600"/>
        <w:jc w:val="center"/>
      </w:pPr>
      <w:r>
        <w:rPr>
          <w:b/>
          <w:color w:val="0F6B6D"/>
          <w:sz w:val="22"/>
        </w:rPr>
        <w:t>Próxima entrega recomendada: Volume 2 — Catálogo Completo de Soluções</w:t>
      </w:r>
    </w:p>
    <w:sectPr w:rsidR="00FC693F" w:rsidRPr="0006063C" w:rsidSect="00034616">
      <w:headerReference w:type="default" r:id="rId9"/>
      <w:footerReference w:type="default" r:id="rId10"/>
      <w:pgSz w:w="12240" w:h="15840"/>
      <w:pgMar w:top="1134" w:right="1134" w:bottom="1020" w:left="124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Arial" w:hAnsi="Arial"/>
        <w:color w:val="6B7280"/>
        <w:sz w:val="15"/>
      </w:rPr>
      <w:t>Documento estratégico e metodológico — versão 1.0 | setembro de 2026</w:t>
    </w:r>
  </w:p>
  <w:p>
    <w:pPr>
      <w:jc w:val="right"/>
    </w:pPr>
    <w:r>
      <w:rPr>
        <w:color w:val="6B7280"/>
        <w:sz w:val="15"/>
      </w:rPr>
      <w:t xml:space="preserve">Página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B7280"/>
        <w:sz w:val="15"/>
      </w:rPr>
      <w:t>PLATAFORMA DE GOVERNANÇA EDUCACIONAL MUNICIPAL  |  DOCUMENTO-MÃE — VOLUME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200" w:after="120"/>
      <w:outlineLvl w:val="0"/>
    </w:pPr>
    <w:rPr>
      <w:rFonts w:asciiTheme="majorHAnsi" w:eastAsiaTheme="majorEastAsia" w:hAnsiTheme="majorHAnsi" w:cstheme="majorBidi" w:ascii="Arial" w:hAnsi="Arial"/>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2F5597"/>
      <w:sz w:val="28"/>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rial" w:hAnsi="Arial"/>
      <w:b/>
      <w:bCs/>
      <w:color w:val="0F6B6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Arial" w:hAnsi="Arial"/>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oteBox">
    <w:name w:val="Quote Box"/>
    <w:pPr>
      <w:spacing w:before="120" w:after="120"/>
      <w:ind w:left="283" w:right="283"/>
    </w:pPr>
    <w:rPr>
      <w:rFonts w:ascii="Arial" w:hAnsi="Arial"/>
      <w:i/>
      <w:color w:val="1F1F1F"/>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Plataforma de Governança Educacional Municipal — Documento-Mãe — Volume 1</dc:title>
  <dc:subject>Estratégia, metodologia, arquitetura e modelo de implantação</dc:subject>
  <dc:creator/>
  <cp:keywords>governança educacional; municípios; BNCC Computação; VAAR; gestão educacional</cp:keywords>
  <dc:description>generated by python-docx</dc:description>
  <cp:lastModifiedBy/>
  <cp:revision>1</cp:revision>
  <dcterms:created xsi:type="dcterms:W3CDTF">2013-12-23T23:15:00Z</dcterms:created>
  <dcterms:modified xsi:type="dcterms:W3CDTF">2013-12-23T23:15:00Z</dcterms:modified>
  <cp:category/>
</cp:coreProperties>
</file>