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2652A" w14:textId="77777777" w:rsidR="00FF7EA2" w:rsidRPr="003A2990" w:rsidRDefault="00FF7EA2" w:rsidP="00F2652A">
      <w:pPr>
        <w:spacing w:after="0" w:line="240" w:lineRule="auto"/>
        <w:jc w:val="center"/>
        <w:rPr>
          <w:b/>
          <w:sz w:val="26"/>
          <w:szCs w:val="26"/>
        </w:rPr>
      </w:pPr>
      <w:bookmarkStart w:id="0" w:name="_GoBack"/>
      <w:bookmarkEnd w:id="0"/>
      <w:r w:rsidRPr="003A2990">
        <w:rPr>
          <w:b/>
          <w:sz w:val="26"/>
          <w:szCs w:val="26"/>
        </w:rPr>
        <w:t>UNIVERSIDAD AUTÓNOMA DE LA CIUDAD DE MÉXICO</w:t>
      </w:r>
    </w:p>
    <w:p w14:paraId="515FD1FA" w14:textId="77777777" w:rsidR="00C56BD3" w:rsidRPr="003A2990" w:rsidRDefault="00C56BD3" w:rsidP="00F2652A">
      <w:pPr>
        <w:spacing w:after="0" w:line="240" w:lineRule="auto"/>
        <w:jc w:val="center"/>
        <w:rPr>
          <w:b/>
          <w:sz w:val="26"/>
          <w:szCs w:val="26"/>
        </w:rPr>
      </w:pPr>
      <w:r w:rsidRPr="003A2990">
        <w:rPr>
          <w:b/>
          <w:sz w:val="26"/>
          <w:szCs w:val="26"/>
        </w:rPr>
        <w:t>COORDINACIÓN DE PLANEACIÓN</w:t>
      </w:r>
    </w:p>
    <w:p w14:paraId="640735DD" w14:textId="77777777" w:rsidR="00C56BD3" w:rsidRPr="003A2990" w:rsidRDefault="00C56BD3" w:rsidP="00F2652A">
      <w:pPr>
        <w:spacing w:after="0" w:line="240" w:lineRule="auto"/>
        <w:jc w:val="center"/>
        <w:rPr>
          <w:b/>
          <w:sz w:val="26"/>
          <w:szCs w:val="26"/>
        </w:rPr>
      </w:pPr>
    </w:p>
    <w:p w14:paraId="03AA5B85" w14:textId="596BAF2C" w:rsidR="00D200C7" w:rsidRPr="003A2990" w:rsidRDefault="00F2652A" w:rsidP="00F2652A">
      <w:pPr>
        <w:spacing w:after="0" w:line="240" w:lineRule="auto"/>
        <w:jc w:val="center"/>
        <w:rPr>
          <w:b/>
          <w:sz w:val="26"/>
          <w:szCs w:val="26"/>
        </w:rPr>
      </w:pPr>
      <w:r w:rsidRPr="003A2990">
        <w:rPr>
          <w:b/>
          <w:sz w:val="26"/>
          <w:szCs w:val="26"/>
        </w:rPr>
        <w:t xml:space="preserve">CÉDULA DE </w:t>
      </w:r>
      <w:r w:rsidR="00A26D43">
        <w:rPr>
          <w:b/>
          <w:sz w:val="26"/>
          <w:szCs w:val="26"/>
        </w:rPr>
        <w:t xml:space="preserve">SEGUIMIENTO, </w:t>
      </w:r>
      <w:r w:rsidRPr="003A2990">
        <w:rPr>
          <w:b/>
          <w:sz w:val="26"/>
          <w:szCs w:val="26"/>
        </w:rPr>
        <w:t>EVALUACIÓN Y GESTIÓN DE RIESGOS</w:t>
      </w:r>
      <w:r w:rsidR="007D1DD5" w:rsidRPr="003A2990">
        <w:rPr>
          <w:b/>
          <w:sz w:val="26"/>
          <w:szCs w:val="26"/>
        </w:rPr>
        <w:t xml:space="preserve">, AÑO </w:t>
      </w:r>
      <w:r w:rsidRPr="003A2990">
        <w:rPr>
          <w:b/>
          <w:sz w:val="26"/>
          <w:szCs w:val="26"/>
        </w:rPr>
        <w:t>202</w:t>
      </w:r>
      <w:r w:rsidR="005273B4">
        <w:rPr>
          <w:b/>
          <w:sz w:val="26"/>
          <w:szCs w:val="26"/>
        </w:rPr>
        <w:t>3</w:t>
      </w:r>
      <w:r w:rsidR="007D1DD5" w:rsidRPr="003A2990">
        <w:rPr>
          <w:b/>
          <w:sz w:val="26"/>
          <w:szCs w:val="26"/>
        </w:rPr>
        <w:t>.</w:t>
      </w:r>
    </w:p>
    <w:p w14:paraId="3985B6F0" w14:textId="77777777" w:rsidR="00F2652A" w:rsidRPr="003A2990" w:rsidRDefault="00FF7EA2" w:rsidP="00F2652A">
      <w:pPr>
        <w:spacing w:after="0" w:line="240" w:lineRule="auto"/>
        <w:jc w:val="center"/>
        <w:rPr>
          <w:b/>
          <w:sz w:val="26"/>
          <w:szCs w:val="26"/>
        </w:rPr>
      </w:pPr>
      <w:r w:rsidRPr="003A2990">
        <w:rPr>
          <w:b/>
          <w:sz w:val="26"/>
          <w:szCs w:val="26"/>
        </w:rPr>
        <w:t>Reporte de r</w:t>
      </w:r>
      <w:r w:rsidR="00F2652A" w:rsidRPr="003A2990">
        <w:rPr>
          <w:b/>
          <w:sz w:val="26"/>
          <w:szCs w:val="26"/>
        </w:rPr>
        <w:t xml:space="preserve">esultados </w:t>
      </w:r>
      <w:r w:rsidRPr="003A2990">
        <w:rPr>
          <w:b/>
          <w:sz w:val="26"/>
          <w:szCs w:val="26"/>
        </w:rPr>
        <w:t>b</w:t>
      </w:r>
      <w:r w:rsidR="00F2652A" w:rsidRPr="003A2990">
        <w:rPr>
          <w:b/>
          <w:sz w:val="26"/>
          <w:szCs w:val="26"/>
        </w:rPr>
        <w:t>ásicos</w:t>
      </w:r>
    </w:p>
    <w:p w14:paraId="59C7E2D0" w14:textId="77777777" w:rsidR="00976077" w:rsidRPr="003A2990" w:rsidRDefault="00976077" w:rsidP="00976077">
      <w:pPr>
        <w:spacing w:after="0" w:line="240" w:lineRule="auto"/>
        <w:rPr>
          <w:sz w:val="26"/>
          <w:szCs w:val="26"/>
        </w:rPr>
      </w:pPr>
    </w:p>
    <w:p w14:paraId="6455264B" w14:textId="77777777" w:rsidR="004B72B5" w:rsidRPr="0027357B" w:rsidRDefault="003636D5" w:rsidP="001E7DC3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Introducción</w:t>
      </w:r>
    </w:p>
    <w:p w14:paraId="31AAF831" w14:textId="77777777" w:rsidR="003B1CA2" w:rsidRPr="0027357B" w:rsidRDefault="003B1CA2" w:rsidP="00170331">
      <w:pPr>
        <w:spacing w:after="0" w:line="240" w:lineRule="auto"/>
        <w:jc w:val="both"/>
        <w:rPr>
          <w:sz w:val="26"/>
          <w:szCs w:val="26"/>
        </w:rPr>
      </w:pPr>
    </w:p>
    <w:p w14:paraId="07004DB1" w14:textId="282977F8" w:rsidR="00A50DC9" w:rsidRPr="0027357B" w:rsidRDefault="007A0BDB" w:rsidP="00170331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Al inicio</w:t>
      </w:r>
      <w:r w:rsidR="001E7DC3" w:rsidRPr="0027357B">
        <w:rPr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 w:rsidR="001E7DC3" w:rsidRPr="0027357B">
        <w:rPr>
          <w:sz w:val="26"/>
          <w:szCs w:val="26"/>
        </w:rPr>
        <w:t xml:space="preserve">el mes de </w:t>
      </w:r>
      <w:r w:rsidR="00C74831">
        <w:rPr>
          <w:sz w:val="26"/>
          <w:szCs w:val="26"/>
        </w:rPr>
        <w:t>abril</w:t>
      </w:r>
      <w:r w:rsidR="001E7DC3" w:rsidRPr="0027357B">
        <w:rPr>
          <w:sz w:val="26"/>
          <w:szCs w:val="26"/>
        </w:rPr>
        <w:t xml:space="preserve"> del 202</w:t>
      </w:r>
      <w:r w:rsidR="00B07785">
        <w:rPr>
          <w:sz w:val="26"/>
          <w:szCs w:val="26"/>
        </w:rPr>
        <w:t>4</w:t>
      </w:r>
      <w:r w:rsidR="001E7DC3" w:rsidRPr="0027357B">
        <w:rPr>
          <w:sz w:val="26"/>
          <w:szCs w:val="26"/>
        </w:rPr>
        <w:t xml:space="preserve"> se llevó </w:t>
      </w:r>
      <w:r w:rsidR="005B77AC">
        <w:rPr>
          <w:sz w:val="26"/>
          <w:szCs w:val="26"/>
        </w:rPr>
        <w:t xml:space="preserve">a cabo </w:t>
      </w:r>
      <w:r w:rsidR="006F2710" w:rsidRPr="0027357B">
        <w:rPr>
          <w:sz w:val="26"/>
          <w:szCs w:val="26"/>
        </w:rPr>
        <w:t xml:space="preserve">en la Coordinación de Planeación </w:t>
      </w:r>
      <w:r w:rsidR="001E7DC3" w:rsidRPr="0027357B">
        <w:rPr>
          <w:sz w:val="26"/>
          <w:szCs w:val="26"/>
        </w:rPr>
        <w:t xml:space="preserve">un </w:t>
      </w:r>
      <w:r w:rsidR="00443890">
        <w:rPr>
          <w:sz w:val="26"/>
          <w:szCs w:val="26"/>
        </w:rPr>
        <w:t>estudio</w:t>
      </w:r>
      <w:r w:rsidR="001E7DC3" w:rsidRPr="0027357B">
        <w:rPr>
          <w:sz w:val="26"/>
          <w:szCs w:val="26"/>
        </w:rPr>
        <w:t xml:space="preserve"> </w:t>
      </w:r>
      <w:r w:rsidR="00CD159E">
        <w:rPr>
          <w:sz w:val="26"/>
          <w:szCs w:val="26"/>
        </w:rPr>
        <w:t>basado en la</w:t>
      </w:r>
      <w:r w:rsidR="006F2710" w:rsidRPr="0027357B">
        <w:rPr>
          <w:sz w:val="26"/>
          <w:szCs w:val="26"/>
        </w:rPr>
        <w:t xml:space="preserve"> </w:t>
      </w:r>
      <w:r w:rsidR="003604ED">
        <w:rPr>
          <w:sz w:val="26"/>
          <w:szCs w:val="26"/>
        </w:rPr>
        <w:t xml:space="preserve">obtención de información </w:t>
      </w:r>
      <w:r w:rsidR="001E7DC3" w:rsidRPr="0027357B">
        <w:rPr>
          <w:sz w:val="26"/>
          <w:szCs w:val="26"/>
        </w:rPr>
        <w:t>solicit</w:t>
      </w:r>
      <w:r w:rsidR="003604ED">
        <w:rPr>
          <w:sz w:val="26"/>
          <w:szCs w:val="26"/>
        </w:rPr>
        <w:t>ada</w:t>
      </w:r>
      <w:r w:rsidR="001E7DC3" w:rsidRPr="0027357B">
        <w:rPr>
          <w:sz w:val="26"/>
          <w:szCs w:val="26"/>
        </w:rPr>
        <w:t xml:space="preserve"> </w:t>
      </w:r>
      <w:r w:rsidR="005B5276" w:rsidRPr="0027357B">
        <w:rPr>
          <w:sz w:val="26"/>
          <w:szCs w:val="26"/>
        </w:rPr>
        <w:t xml:space="preserve">a las Unidades Responsables de Gasto (URs) </w:t>
      </w:r>
      <w:r w:rsidR="006F2710" w:rsidRPr="0027357B">
        <w:rPr>
          <w:sz w:val="26"/>
          <w:szCs w:val="26"/>
        </w:rPr>
        <w:t xml:space="preserve">de la Universidad </w:t>
      </w:r>
      <w:r w:rsidR="008D6146">
        <w:rPr>
          <w:sz w:val="26"/>
          <w:szCs w:val="26"/>
        </w:rPr>
        <w:t>a través de la requisición de</w:t>
      </w:r>
      <w:r w:rsidR="006F2710" w:rsidRPr="0027357B">
        <w:rPr>
          <w:sz w:val="26"/>
          <w:szCs w:val="26"/>
        </w:rPr>
        <w:t xml:space="preserve"> </w:t>
      </w:r>
      <w:r w:rsidR="0088397C" w:rsidRPr="0027357B">
        <w:rPr>
          <w:sz w:val="26"/>
          <w:szCs w:val="26"/>
        </w:rPr>
        <w:t xml:space="preserve">una </w:t>
      </w:r>
      <w:r w:rsidR="00170331" w:rsidRPr="0027357B">
        <w:rPr>
          <w:sz w:val="26"/>
          <w:szCs w:val="26"/>
        </w:rPr>
        <w:t xml:space="preserve">Cédula de </w:t>
      </w:r>
      <w:r w:rsidR="00443890">
        <w:rPr>
          <w:sz w:val="26"/>
          <w:szCs w:val="26"/>
        </w:rPr>
        <w:t xml:space="preserve">Seguimiento, </w:t>
      </w:r>
      <w:r w:rsidR="00170331" w:rsidRPr="0027357B">
        <w:rPr>
          <w:sz w:val="26"/>
          <w:szCs w:val="26"/>
        </w:rPr>
        <w:t>Evaluación y Gestión de Riesgos</w:t>
      </w:r>
      <w:r w:rsidR="006F2710" w:rsidRPr="0027357B">
        <w:rPr>
          <w:sz w:val="26"/>
          <w:szCs w:val="26"/>
        </w:rPr>
        <w:t xml:space="preserve"> (C</w:t>
      </w:r>
      <w:r w:rsidR="00443890">
        <w:rPr>
          <w:sz w:val="26"/>
          <w:szCs w:val="26"/>
        </w:rPr>
        <w:t>S</w:t>
      </w:r>
      <w:r w:rsidR="006F2710" w:rsidRPr="0027357B">
        <w:rPr>
          <w:sz w:val="26"/>
          <w:szCs w:val="26"/>
        </w:rPr>
        <w:t>EGR) co</w:t>
      </w:r>
      <w:r w:rsidR="000C78FF">
        <w:rPr>
          <w:sz w:val="26"/>
          <w:szCs w:val="26"/>
        </w:rPr>
        <w:t>n</w:t>
      </w:r>
      <w:r w:rsidR="006F2710" w:rsidRPr="0027357B">
        <w:rPr>
          <w:sz w:val="26"/>
          <w:szCs w:val="26"/>
        </w:rPr>
        <w:t xml:space="preserve"> </w:t>
      </w:r>
      <w:r w:rsidR="000C78FF">
        <w:rPr>
          <w:sz w:val="26"/>
          <w:szCs w:val="26"/>
        </w:rPr>
        <w:t xml:space="preserve">el </w:t>
      </w:r>
      <w:r w:rsidR="006F2710" w:rsidRPr="0027357B">
        <w:rPr>
          <w:sz w:val="26"/>
          <w:szCs w:val="26"/>
        </w:rPr>
        <w:t>objet</w:t>
      </w:r>
      <w:r w:rsidR="003A2990" w:rsidRPr="0027357B">
        <w:rPr>
          <w:sz w:val="26"/>
          <w:szCs w:val="26"/>
        </w:rPr>
        <w:t>iv</w:t>
      </w:r>
      <w:r w:rsidR="006F2710" w:rsidRPr="0027357B">
        <w:rPr>
          <w:sz w:val="26"/>
          <w:szCs w:val="26"/>
        </w:rPr>
        <w:t xml:space="preserve">o </w:t>
      </w:r>
      <w:r w:rsidR="000C78FF">
        <w:rPr>
          <w:sz w:val="26"/>
          <w:szCs w:val="26"/>
        </w:rPr>
        <w:t>de</w:t>
      </w:r>
      <w:r w:rsidR="006F2710" w:rsidRPr="0027357B">
        <w:rPr>
          <w:sz w:val="26"/>
          <w:szCs w:val="26"/>
        </w:rPr>
        <w:t xml:space="preserve"> </w:t>
      </w:r>
      <w:r w:rsidR="00AC483E">
        <w:rPr>
          <w:sz w:val="26"/>
          <w:szCs w:val="26"/>
        </w:rPr>
        <w:t>contar con</w:t>
      </w:r>
      <w:r w:rsidR="00170331" w:rsidRPr="0027357B">
        <w:rPr>
          <w:sz w:val="26"/>
          <w:szCs w:val="26"/>
        </w:rPr>
        <w:t xml:space="preserve"> información </w:t>
      </w:r>
      <w:r w:rsidR="00F41268">
        <w:rPr>
          <w:sz w:val="26"/>
          <w:szCs w:val="26"/>
        </w:rPr>
        <w:t>relativa</w:t>
      </w:r>
      <w:r w:rsidR="00170331" w:rsidRPr="0027357B">
        <w:rPr>
          <w:sz w:val="26"/>
          <w:szCs w:val="26"/>
        </w:rPr>
        <w:t xml:space="preserve"> a los avances</w:t>
      </w:r>
      <w:r w:rsidR="00A50DC9" w:rsidRPr="0027357B">
        <w:rPr>
          <w:sz w:val="26"/>
          <w:szCs w:val="26"/>
        </w:rPr>
        <w:t xml:space="preserve"> al</w:t>
      </w:r>
      <w:r w:rsidR="00EB7F9C">
        <w:rPr>
          <w:sz w:val="26"/>
          <w:szCs w:val="26"/>
        </w:rPr>
        <w:t xml:space="preserve"> final del</w:t>
      </w:r>
      <w:r w:rsidR="00A50DC9" w:rsidRPr="0027357B">
        <w:rPr>
          <w:sz w:val="26"/>
          <w:szCs w:val="26"/>
        </w:rPr>
        <w:t xml:space="preserve"> año 202</w:t>
      </w:r>
      <w:r w:rsidR="00EF645B">
        <w:rPr>
          <w:sz w:val="26"/>
          <w:szCs w:val="26"/>
        </w:rPr>
        <w:t>3</w:t>
      </w:r>
      <w:r w:rsidR="00F41268">
        <w:rPr>
          <w:sz w:val="26"/>
          <w:szCs w:val="26"/>
        </w:rPr>
        <w:t>,</w:t>
      </w:r>
      <w:r w:rsidR="00170331" w:rsidRPr="0027357B">
        <w:rPr>
          <w:sz w:val="26"/>
          <w:szCs w:val="26"/>
        </w:rPr>
        <w:t xml:space="preserve"> de las metas establecidas en sus programas presupuestales registrados en el Sistema Integral Administrativo (SIA</w:t>
      </w:r>
      <w:r w:rsidR="00C65A1B" w:rsidRPr="0027357B">
        <w:rPr>
          <w:sz w:val="26"/>
          <w:szCs w:val="26"/>
        </w:rPr>
        <w:t>)</w:t>
      </w:r>
      <w:r w:rsidR="00170331" w:rsidRPr="0027357B">
        <w:rPr>
          <w:sz w:val="26"/>
          <w:szCs w:val="26"/>
        </w:rPr>
        <w:t xml:space="preserve">. Adicionalmente, a través de esta Cédula se </w:t>
      </w:r>
      <w:r w:rsidR="006F2710" w:rsidRPr="0027357B">
        <w:rPr>
          <w:sz w:val="26"/>
          <w:szCs w:val="26"/>
        </w:rPr>
        <w:t>les pidió</w:t>
      </w:r>
      <w:r w:rsidR="00170331" w:rsidRPr="0027357B">
        <w:rPr>
          <w:sz w:val="26"/>
          <w:szCs w:val="26"/>
        </w:rPr>
        <w:t xml:space="preserve"> identificar y registrar los riesgos que amenaza</w:t>
      </w:r>
      <w:r w:rsidR="00DF2804" w:rsidRPr="0027357B">
        <w:rPr>
          <w:sz w:val="26"/>
          <w:szCs w:val="26"/>
        </w:rPr>
        <w:t>ron</w:t>
      </w:r>
      <w:r w:rsidR="00170331" w:rsidRPr="0027357B">
        <w:rPr>
          <w:sz w:val="26"/>
          <w:szCs w:val="26"/>
        </w:rPr>
        <w:t xml:space="preserve"> el logro de </w:t>
      </w:r>
      <w:r w:rsidR="00C40024" w:rsidRPr="0027357B">
        <w:rPr>
          <w:sz w:val="26"/>
          <w:szCs w:val="26"/>
        </w:rPr>
        <w:t>sus</w:t>
      </w:r>
      <w:r w:rsidR="00170331" w:rsidRPr="0027357B">
        <w:rPr>
          <w:sz w:val="26"/>
          <w:szCs w:val="26"/>
        </w:rPr>
        <w:t xml:space="preserve"> objetivos</w:t>
      </w:r>
      <w:r w:rsidR="00C40024" w:rsidRPr="0027357B">
        <w:rPr>
          <w:sz w:val="26"/>
          <w:szCs w:val="26"/>
        </w:rPr>
        <w:t xml:space="preserve"> considerando una escala de cuatro niveles de valoración</w:t>
      </w:r>
      <w:r w:rsidR="00DD1CA4" w:rsidRPr="0027357B">
        <w:rPr>
          <w:sz w:val="26"/>
          <w:szCs w:val="26"/>
        </w:rPr>
        <w:t xml:space="preserve"> que combinan su probabilidad de ocurrencia y su grado de impacto</w:t>
      </w:r>
      <w:r w:rsidR="00C40024" w:rsidRPr="0027357B">
        <w:rPr>
          <w:sz w:val="26"/>
          <w:szCs w:val="26"/>
        </w:rPr>
        <w:t>:</w:t>
      </w:r>
    </w:p>
    <w:p w14:paraId="31B12344" w14:textId="77777777" w:rsidR="00DD1CA4" w:rsidRPr="0027357B" w:rsidRDefault="00DD1CA4" w:rsidP="00170331">
      <w:pPr>
        <w:spacing w:after="0" w:line="240" w:lineRule="auto"/>
        <w:jc w:val="both"/>
        <w:rPr>
          <w:sz w:val="26"/>
          <w:szCs w:val="26"/>
        </w:rPr>
      </w:pPr>
    </w:p>
    <w:p w14:paraId="73A2C8BC" w14:textId="77777777" w:rsidR="00C40024" w:rsidRPr="0027357B" w:rsidRDefault="00C40024" w:rsidP="003A2990">
      <w:pPr>
        <w:spacing w:after="0" w:line="240" w:lineRule="auto"/>
        <w:ind w:left="567" w:hanging="284"/>
        <w:jc w:val="both"/>
        <w:rPr>
          <w:sz w:val="26"/>
          <w:szCs w:val="26"/>
        </w:rPr>
      </w:pPr>
      <w:r w:rsidRPr="0027357B">
        <w:rPr>
          <w:sz w:val="26"/>
          <w:szCs w:val="26"/>
        </w:rPr>
        <w:t>1. Riesgos de atención inmediata; críticos por su alta probabilidad de ocurrencia y alto grado de impacto.</w:t>
      </w:r>
    </w:p>
    <w:p w14:paraId="46FBB6C1" w14:textId="77777777" w:rsidR="00C40024" w:rsidRPr="0027357B" w:rsidRDefault="00C40024" w:rsidP="003A2990">
      <w:pPr>
        <w:spacing w:after="0" w:line="240" w:lineRule="auto"/>
        <w:ind w:left="567" w:hanging="284"/>
        <w:jc w:val="both"/>
        <w:rPr>
          <w:sz w:val="26"/>
          <w:szCs w:val="26"/>
        </w:rPr>
      </w:pPr>
      <w:r w:rsidRPr="0027357B">
        <w:rPr>
          <w:sz w:val="26"/>
          <w:szCs w:val="26"/>
        </w:rPr>
        <w:t>2. Riesgos de atención periódica; significativos por su alta probabilidad de ocurrencia y bajo grado de impacto.</w:t>
      </w:r>
    </w:p>
    <w:p w14:paraId="419ED7AA" w14:textId="77777777" w:rsidR="00C40024" w:rsidRPr="0027357B" w:rsidRDefault="00C40024" w:rsidP="003A2990">
      <w:pPr>
        <w:spacing w:after="0" w:line="240" w:lineRule="auto"/>
        <w:ind w:left="567" w:hanging="284"/>
        <w:jc w:val="both"/>
        <w:rPr>
          <w:sz w:val="26"/>
          <w:szCs w:val="26"/>
        </w:rPr>
      </w:pPr>
      <w:r w:rsidRPr="0027357B">
        <w:rPr>
          <w:sz w:val="26"/>
          <w:szCs w:val="26"/>
        </w:rPr>
        <w:t>3. Riesgos de seguimiento; menos significativos por su baja probabilidad de ocurrencia y alto grado de impacto.</w:t>
      </w:r>
    </w:p>
    <w:p w14:paraId="05C46E87" w14:textId="77777777" w:rsidR="00C40024" w:rsidRPr="0027357B" w:rsidRDefault="00C40024" w:rsidP="003A2990">
      <w:pPr>
        <w:spacing w:after="0" w:line="240" w:lineRule="auto"/>
        <w:ind w:left="284"/>
        <w:jc w:val="both"/>
        <w:rPr>
          <w:sz w:val="26"/>
          <w:szCs w:val="26"/>
        </w:rPr>
      </w:pPr>
      <w:r w:rsidRPr="0027357B">
        <w:rPr>
          <w:sz w:val="26"/>
          <w:szCs w:val="26"/>
        </w:rPr>
        <w:t>4. Riesgos controlados; baja probabilidad de ocurrencia y bajo grado de impacto.</w:t>
      </w:r>
    </w:p>
    <w:p w14:paraId="5BD0D562" w14:textId="77777777" w:rsidR="00A50DC9" w:rsidRPr="0027357B" w:rsidRDefault="00A50DC9" w:rsidP="00170331">
      <w:pPr>
        <w:spacing w:after="0" w:line="240" w:lineRule="auto"/>
        <w:jc w:val="both"/>
        <w:rPr>
          <w:sz w:val="26"/>
          <w:szCs w:val="26"/>
        </w:rPr>
      </w:pPr>
    </w:p>
    <w:p w14:paraId="7596EE1C" w14:textId="6BB9D97A" w:rsidR="000628C5" w:rsidRPr="0027357B" w:rsidRDefault="00C575EB" w:rsidP="001E7DC3">
      <w:pPr>
        <w:spacing w:after="0" w:line="240" w:lineRule="auto"/>
        <w:jc w:val="both"/>
        <w:rPr>
          <w:sz w:val="26"/>
          <w:szCs w:val="26"/>
        </w:rPr>
      </w:pPr>
      <w:r w:rsidRPr="0027357B">
        <w:rPr>
          <w:sz w:val="26"/>
          <w:szCs w:val="26"/>
        </w:rPr>
        <w:t>La in</w:t>
      </w:r>
      <w:r w:rsidR="00170331" w:rsidRPr="0027357B">
        <w:rPr>
          <w:sz w:val="26"/>
          <w:szCs w:val="26"/>
        </w:rPr>
        <w:t>formación</w:t>
      </w:r>
      <w:r w:rsidRPr="0027357B">
        <w:rPr>
          <w:sz w:val="26"/>
          <w:szCs w:val="26"/>
        </w:rPr>
        <w:t xml:space="preserve"> recabada mediante la C</w:t>
      </w:r>
      <w:r w:rsidR="00CB3DBB">
        <w:rPr>
          <w:sz w:val="26"/>
          <w:szCs w:val="26"/>
        </w:rPr>
        <w:t>S</w:t>
      </w:r>
      <w:r w:rsidRPr="0027357B">
        <w:rPr>
          <w:sz w:val="26"/>
          <w:szCs w:val="26"/>
        </w:rPr>
        <w:t>EGR</w:t>
      </w:r>
      <w:r w:rsidR="00170331" w:rsidRPr="0027357B">
        <w:rPr>
          <w:sz w:val="26"/>
          <w:szCs w:val="26"/>
        </w:rPr>
        <w:t xml:space="preserve"> servir</w:t>
      </w:r>
      <w:r w:rsidRPr="0027357B">
        <w:rPr>
          <w:sz w:val="26"/>
          <w:szCs w:val="26"/>
        </w:rPr>
        <w:t>ía</w:t>
      </w:r>
      <w:r w:rsidR="00170331" w:rsidRPr="0027357B">
        <w:rPr>
          <w:sz w:val="26"/>
          <w:szCs w:val="26"/>
        </w:rPr>
        <w:t xml:space="preserve"> de base para </w:t>
      </w:r>
      <w:r w:rsidR="0077111C">
        <w:rPr>
          <w:sz w:val="26"/>
          <w:szCs w:val="26"/>
        </w:rPr>
        <w:t>sustentar</w:t>
      </w:r>
      <w:r w:rsidR="007370FD">
        <w:rPr>
          <w:sz w:val="26"/>
          <w:szCs w:val="26"/>
        </w:rPr>
        <w:t xml:space="preserve"> el proceso</w:t>
      </w:r>
      <w:r w:rsidR="00170331" w:rsidRPr="0027357B">
        <w:rPr>
          <w:sz w:val="26"/>
          <w:szCs w:val="26"/>
        </w:rPr>
        <w:t xml:space="preserve"> </w:t>
      </w:r>
      <w:r w:rsidR="007370FD">
        <w:rPr>
          <w:sz w:val="26"/>
          <w:szCs w:val="26"/>
        </w:rPr>
        <w:t xml:space="preserve">de </w:t>
      </w:r>
      <w:r w:rsidR="00170331" w:rsidRPr="0027357B">
        <w:rPr>
          <w:sz w:val="26"/>
          <w:szCs w:val="26"/>
        </w:rPr>
        <w:t>seguimiento y evaluación de las metas del Programa Operativo Anual (POA) de la UACM, y permitir</w:t>
      </w:r>
      <w:r w:rsidRPr="0027357B">
        <w:rPr>
          <w:sz w:val="26"/>
          <w:szCs w:val="26"/>
        </w:rPr>
        <w:t>ía</w:t>
      </w:r>
      <w:r w:rsidR="00170331" w:rsidRPr="0027357B">
        <w:rPr>
          <w:sz w:val="26"/>
          <w:szCs w:val="26"/>
        </w:rPr>
        <w:t xml:space="preserve"> elaborar un reporte de la situación que presentan las áreas en el cumplimiento de sus metas institucionales.</w:t>
      </w:r>
      <w:r w:rsidR="000628C5" w:rsidRPr="0027357B">
        <w:rPr>
          <w:sz w:val="26"/>
          <w:szCs w:val="26"/>
        </w:rPr>
        <w:t xml:space="preserve"> El presente documento se refiere </w:t>
      </w:r>
      <w:r w:rsidR="00DE3AA5">
        <w:rPr>
          <w:sz w:val="26"/>
          <w:szCs w:val="26"/>
        </w:rPr>
        <w:t>específicamente</w:t>
      </w:r>
      <w:r w:rsidR="000628C5" w:rsidRPr="0027357B">
        <w:rPr>
          <w:sz w:val="26"/>
          <w:szCs w:val="26"/>
        </w:rPr>
        <w:t xml:space="preserve"> a</w:t>
      </w:r>
      <w:r w:rsidR="003F3AD3" w:rsidRPr="0027357B">
        <w:rPr>
          <w:sz w:val="26"/>
          <w:szCs w:val="26"/>
        </w:rPr>
        <w:t xml:space="preserve">l </w:t>
      </w:r>
      <w:r w:rsidR="00BC48DB">
        <w:rPr>
          <w:sz w:val="26"/>
          <w:szCs w:val="26"/>
        </w:rPr>
        <w:t>desarrollo</w:t>
      </w:r>
      <w:r w:rsidR="003F3AD3" w:rsidRPr="0027357B">
        <w:rPr>
          <w:sz w:val="26"/>
          <w:szCs w:val="26"/>
        </w:rPr>
        <w:t xml:space="preserve"> de</w:t>
      </w:r>
      <w:r w:rsidR="000628C5" w:rsidRPr="0027357B">
        <w:rPr>
          <w:sz w:val="26"/>
          <w:szCs w:val="26"/>
        </w:rPr>
        <w:t xml:space="preserve"> esta última parte.</w:t>
      </w:r>
    </w:p>
    <w:p w14:paraId="3A399C63" w14:textId="77777777" w:rsidR="0027357B" w:rsidRDefault="0027357B" w:rsidP="001E7DC3">
      <w:pPr>
        <w:spacing w:after="0" w:line="240" w:lineRule="auto"/>
        <w:jc w:val="both"/>
        <w:rPr>
          <w:sz w:val="26"/>
          <w:szCs w:val="26"/>
        </w:rPr>
      </w:pPr>
    </w:p>
    <w:p w14:paraId="49C5D6E7" w14:textId="77777777" w:rsidR="003C65DE" w:rsidRPr="0027357B" w:rsidRDefault="003C65DE" w:rsidP="001E7DC3">
      <w:pPr>
        <w:spacing w:after="0" w:line="240" w:lineRule="auto"/>
        <w:jc w:val="both"/>
        <w:rPr>
          <w:sz w:val="26"/>
          <w:szCs w:val="26"/>
        </w:rPr>
      </w:pPr>
    </w:p>
    <w:p w14:paraId="4F315150" w14:textId="77777777" w:rsidR="00334856" w:rsidRPr="0027357B" w:rsidRDefault="003B1CA2" w:rsidP="001E7DC3">
      <w:pPr>
        <w:spacing w:after="0" w:line="240" w:lineRule="auto"/>
        <w:jc w:val="both"/>
        <w:rPr>
          <w:b/>
          <w:sz w:val="26"/>
          <w:szCs w:val="26"/>
        </w:rPr>
      </w:pPr>
      <w:r w:rsidRPr="0027357B">
        <w:rPr>
          <w:b/>
          <w:sz w:val="26"/>
          <w:szCs w:val="26"/>
        </w:rPr>
        <w:t>R</w:t>
      </w:r>
      <w:r w:rsidR="004B72B5" w:rsidRPr="0027357B">
        <w:rPr>
          <w:b/>
          <w:sz w:val="26"/>
          <w:szCs w:val="26"/>
        </w:rPr>
        <w:t xml:space="preserve">esultados </w:t>
      </w:r>
      <w:r w:rsidRPr="0027357B">
        <w:rPr>
          <w:b/>
          <w:sz w:val="26"/>
          <w:szCs w:val="26"/>
        </w:rPr>
        <w:t>obtenidos</w:t>
      </w:r>
    </w:p>
    <w:p w14:paraId="3209519D" w14:textId="77777777" w:rsidR="004B72B5" w:rsidRPr="0027357B" w:rsidRDefault="004B72B5" w:rsidP="001E7DC3">
      <w:pPr>
        <w:spacing w:after="0" w:line="240" w:lineRule="auto"/>
        <w:jc w:val="both"/>
        <w:rPr>
          <w:sz w:val="26"/>
          <w:szCs w:val="26"/>
        </w:rPr>
      </w:pPr>
    </w:p>
    <w:p w14:paraId="2A8CCEED" w14:textId="672C66ED" w:rsidR="00126FDB" w:rsidRPr="0027357B" w:rsidRDefault="00976077" w:rsidP="00976077">
      <w:pPr>
        <w:spacing w:after="0" w:line="240" w:lineRule="auto"/>
        <w:rPr>
          <w:b/>
          <w:i/>
          <w:sz w:val="26"/>
          <w:szCs w:val="26"/>
        </w:rPr>
      </w:pPr>
      <w:r w:rsidRPr="0027357B">
        <w:rPr>
          <w:b/>
          <w:i/>
          <w:sz w:val="26"/>
          <w:szCs w:val="26"/>
        </w:rPr>
        <w:t>Programas, número de metas y presupuesto modificado, por UR</w:t>
      </w:r>
      <w:r w:rsidR="008D6D34" w:rsidRPr="0027357B">
        <w:rPr>
          <w:b/>
          <w:i/>
          <w:sz w:val="26"/>
          <w:szCs w:val="26"/>
        </w:rPr>
        <w:t>, del año 202</w:t>
      </w:r>
      <w:r w:rsidR="0049422A">
        <w:rPr>
          <w:b/>
          <w:i/>
          <w:sz w:val="26"/>
          <w:szCs w:val="26"/>
        </w:rPr>
        <w:t>3</w:t>
      </w:r>
      <w:r w:rsidR="008D6D34" w:rsidRPr="0027357B">
        <w:rPr>
          <w:b/>
          <w:i/>
          <w:sz w:val="26"/>
          <w:szCs w:val="26"/>
        </w:rPr>
        <w:t>.</w:t>
      </w:r>
    </w:p>
    <w:p w14:paraId="76EB1A3C" w14:textId="77777777" w:rsidR="002F13A9" w:rsidRPr="0027357B" w:rsidRDefault="002F13A9" w:rsidP="00816FE2">
      <w:pPr>
        <w:spacing w:after="0" w:line="240" w:lineRule="auto"/>
        <w:jc w:val="both"/>
        <w:rPr>
          <w:sz w:val="26"/>
          <w:szCs w:val="26"/>
        </w:rPr>
      </w:pPr>
    </w:p>
    <w:p w14:paraId="345A5C38" w14:textId="41BA00EF" w:rsidR="00816FE2" w:rsidRDefault="008D6D34" w:rsidP="00816FE2">
      <w:pPr>
        <w:spacing w:after="0" w:line="240" w:lineRule="auto"/>
        <w:jc w:val="both"/>
        <w:rPr>
          <w:sz w:val="26"/>
          <w:szCs w:val="26"/>
        </w:rPr>
      </w:pPr>
      <w:r w:rsidRPr="0027357B">
        <w:rPr>
          <w:sz w:val="26"/>
          <w:szCs w:val="26"/>
        </w:rPr>
        <w:t>La siguiente tabla</w:t>
      </w:r>
      <w:r w:rsidR="002F13A9" w:rsidRPr="0027357B">
        <w:rPr>
          <w:sz w:val="26"/>
          <w:szCs w:val="26"/>
        </w:rPr>
        <w:t xml:space="preserve"> descriptiv</w:t>
      </w:r>
      <w:r w:rsidRPr="0027357B">
        <w:rPr>
          <w:sz w:val="26"/>
          <w:szCs w:val="26"/>
        </w:rPr>
        <w:t>a</w:t>
      </w:r>
      <w:r w:rsidR="002F13A9" w:rsidRPr="0027357B">
        <w:rPr>
          <w:sz w:val="26"/>
          <w:szCs w:val="26"/>
        </w:rPr>
        <w:t xml:space="preserve"> muestra</w:t>
      </w:r>
      <w:r w:rsidR="00BB3787">
        <w:rPr>
          <w:sz w:val="26"/>
          <w:szCs w:val="26"/>
        </w:rPr>
        <w:t>, de acuerdo a</w:t>
      </w:r>
      <w:r w:rsidR="00842876">
        <w:rPr>
          <w:sz w:val="26"/>
          <w:szCs w:val="26"/>
        </w:rPr>
        <w:t xml:space="preserve"> </w:t>
      </w:r>
      <w:r w:rsidR="00BB3787">
        <w:rPr>
          <w:sz w:val="26"/>
          <w:szCs w:val="26"/>
        </w:rPr>
        <w:t>l</w:t>
      </w:r>
      <w:r w:rsidR="00842876">
        <w:rPr>
          <w:sz w:val="26"/>
          <w:szCs w:val="26"/>
        </w:rPr>
        <w:t>a información del</w:t>
      </w:r>
      <w:r w:rsidR="00BB3787">
        <w:rPr>
          <w:sz w:val="26"/>
          <w:szCs w:val="26"/>
        </w:rPr>
        <w:t xml:space="preserve"> SIA,</w:t>
      </w:r>
      <w:r w:rsidR="002F13A9" w:rsidRPr="0027357B">
        <w:rPr>
          <w:sz w:val="26"/>
          <w:szCs w:val="26"/>
        </w:rPr>
        <w:t xml:space="preserve"> los nombres de los programas </w:t>
      </w:r>
      <w:r w:rsidR="00816FE2" w:rsidRPr="0027357B">
        <w:rPr>
          <w:sz w:val="26"/>
          <w:szCs w:val="26"/>
        </w:rPr>
        <w:t>de cada UR, el número de metas que constituyen cada programa así como el presupuesto total modificado de cada programa.</w:t>
      </w:r>
      <w:r w:rsidRPr="0027357B">
        <w:rPr>
          <w:sz w:val="26"/>
          <w:szCs w:val="26"/>
        </w:rPr>
        <w:t xml:space="preserve"> Al final de la tabla se muestra el total de metas de todas las UR (22</w:t>
      </w:r>
      <w:r w:rsidR="0027737E">
        <w:rPr>
          <w:sz w:val="26"/>
          <w:szCs w:val="26"/>
        </w:rPr>
        <w:t>1</w:t>
      </w:r>
      <w:r w:rsidRPr="0027357B">
        <w:rPr>
          <w:sz w:val="26"/>
          <w:szCs w:val="26"/>
        </w:rPr>
        <w:t>) así como el presupuesto total modificado asociado a dicho número de metas ($ 1,</w:t>
      </w:r>
      <w:r w:rsidR="0027737E">
        <w:rPr>
          <w:sz w:val="26"/>
          <w:szCs w:val="26"/>
        </w:rPr>
        <w:t>734</w:t>
      </w:r>
      <w:r w:rsidRPr="0027357B">
        <w:rPr>
          <w:sz w:val="26"/>
          <w:szCs w:val="26"/>
        </w:rPr>
        <w:t>,</w:t>
      </w:r>
      <w:r w:rsidR="0027737E">
        <w:rPr>
          <w:sz w:val="26"/>
          <w:szCs w:val="26"/>
        </w:rPr>
        <w:t>875</w:t>
      </w:r>
      <w:r w:rsidRPr="0027357B">
        <w:rPr>
          <w:sz w:val="26"/>
          <w:szCs w:val="26"/>
        </w:rPr>
        <w:t>,</w:t>
      </w:r>
      <w:r w:rsidR="0027737E">
        <w:rPr>
          <w:sz w:val="26"/>
          <w:szCs w:val="26"/>
        </w:rPr>
        <w:t>280</w:t>
      </w:r>
      <w:r w:rsidRPr="0027357B">
        <w:rPr>
          <w:sz w:val="26"/>
          <w:szCs w:val="26"/>
        </w:rPr>
        <w:t>.</w:t>
      </w:r>
      <w:r w:rsidR="0027737E">
        <w:rPr>
          <w:sz w:val="26"/>
          <w:szCs w:val="26"/>
        </w:rPr>
        <w:t>2</w:t>
      </w:r>
      <w:r w:rsidRPr="0027357B">
        <w:rPr>
          <w:sz w:val="26"/>
          <w:szCs w:val="26"/>
        </w:rPr>
        <w:t>2).</w:t>
      </w:r>
    </w:p>
    <w:p w14:paraId="0990A3E4" w14:textId="77777777" w:rsidR="001D0B52" w:rsidRPr="0027357B" w:rsidRDefault="001D0B52" w:rsidP="00816FE2">
      <w:pPr>
        <w:spacing w:after="0" w:line="240" w:lineRule="auto"/>
        <w:jc w:val="both"/>
        <w:rPr>
          <w:sz w:val="26"/>
          <w:szCs w:val="26"/>
        </w:rPr>
      </w:pPr>
    </w:p>
    <w:p w14:paraId="0CEC299D" w14:textId="70BB6CD8" w:rsidR="00126FDB" w:rsidRPr="0027357B" w:rsidRDefault="00EF6A9D" w:rsidP="00EF6A9D">
      <w:pPr>
        <w:spacing w:after="0" w:line="240" w:lineRule="auto"/>
        <w:jc w:val="center"/>
        <w:rPr>
          <w:sz w:val="26"/>
          <w:szCs w:val="26"/>
        </w:rPr>
      </w:pPr>
      <w:r w:rsidRPr="00EF6A9D">
        <w:rPr>
          <w:noProof/>
          <w:lang w:eastAsia="es-MX"/>
        </w:rPr>
        <w:drawing>
          <wp:inline distT="0" distB="0" distL="0" distR="0" wp14:anchorId="476299CC" wp14:editId="74E3B349">
            <wp:extent cx="6122823" cy="8155305"/>
            <wp:effectExtent l="0" t="0" r="0" b="0"/>
            <wp:docPr id="1652558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9" cy="81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1FF6" w14:textId="77777777" w:rsidR="00F2652A" w:rsidRPr="0027357B" w:rsidRDefault="00F2652A" w:rsidP="004508BC">
      <w:pPr>
        <w:spacing w:after="0" w:line="240" w:lineRule="auto"/>
        <w:jc w:val="both"/>
        <w:rPr>
          <w:sz w:val="26"/>
          <w:szCs w:val="26"/>
        </w:rPr>
      </w:pPr>
    </w:p>
    <w:p w14:paraId="6EA7F57C" w14:textId="5887E555" w:rsidR="004269A3" w:rsidRPr="001809BE" w:rsidRDefault="00F10575" w:rsidP="004508BC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 la tabla anterior podemos ver que</w:t>
      </w:r>
      <w:r w:rsidR="004135C7">
        <w:rPr>
          <w:sz w:val="26"/>
          <w:szCs w:val="26"/>
        </w:rPr>
        <w:t>,</w:t>
      </w:r>
      <w:r>
        <w:rPr>
          <w:sz w:val="26"/>
          <w:szCs w:val="26"/>
        </w:rPr>
        <w:t xml:space="preserve"> d</w:t>
      </w:r>
      <w:r w:rsidR="00621E9D" w:rsidRPr="001809BE">
        <w:rPr>
          <w:sz w:val="26"/>
          <w:szCs w:val="26"/>
        </w:rPr>
        <w:t>el total de</w:t>
      </w:r>
      <w:r>
        <w:rPr>
          <w:sz w:val="26"/>
          <w:szCs w:val="26"/>
        </w:rPr>
        <w:t>l</w:t>
      </w:r>
      <w:r w:rsidR="00621E9D" w:rsidRPr="001809BE">
        <w:rPr>
          <w:sz w:val="26"/>
          <w:szCs w:val="26"/>
        </w:rPr>
        <w:t xml:space="preserve"> presupuesto asignado</w:t>
      </w:r>
      <w:r w:rsidR="00B54B2B" w:rsidRPr="001809BE">
        <w:rPr>
          <w:sz w:val="26"/>
          <w:szCs w:val="26"/>
        </w:rPr>
        <w:t>,</w:t>
      </w:r>
      <w:r w:rsidR="00621E9D" w:rsidRPr="001809BE">
        <w:rPr>
          <w:sz w:val="26"/>
          <w:szCs w:val="26"/>
        </w:rPr>
        <w:t xml:space="preserve"> el 8</w:t>
      </w:r>
      <w:r w:rsidR="00396C54" w:rsidRPr="001809BE">
        <w:rPr>
          <w:sz w:val="26"/>
          <w:szCs w:val="26"/>
        </w:rPr>
        <w:t>7.</w:t>
      </w:r>
      <w:r w:rsidR="005822AF">
        <w:rPr>
          <w:sz w:val="26"/>
          <w:szCs w:val="26"/>
        </w:rPr>
        <w:t>1</w:t>
      </w:r>
      <w:r w:rsidR="00621E9D" w:rsidRPr="001809BE">
        <w:rPr>
          <w:sz w:val="26"/>
          <w:szCs w:val="26"/>
        </w:rPr>
        <w:t>% corresponde a un s</w:t>
      </w:r>
      <w:r w:rsidR="00AC62E1">
        <w:rPr>
          <w:sz w:val="26"/>
          <w:szCs w:val="26"/>
        </w:rPr>
        <w:t>ó</w:t>
      </w:r>
      <w:r w:rsidR="00621E9D" w:rsidRPr="001809BE">
        <w:rPr>
          <w:sz w:val="26"/>
          <w:szCs w:val="26"/>
        </w:rPr>
        <w:t xml:space="preserve">lo programa: </w:t>
      </w:r>
      <w:r w:rsidR="00C143C8" w:rsidRPr="001809BE">
        <w:rPr>
          <w:sz w:val="26"/>
          <w:szCs w:val="26"/>
        </w:rPr>
        <w:t>“</w:t>
      </w:r>
      <w:r w:rsidR="00621E9D" w:rsidRPr="001809BE">
        <w:rPr>
          <w:sz w:val="26"/>
          <w:szCs w:val="26"/>
        </w:rPr>
        <w:t>Gestión del recurso humano, material y de servicios</w:t>
      </w:r>
      <w:r w:rsidR="00C143C8" w:rsidRPr="001809BE">
        <w:rPr>
          <w:sz w:val="26"/>
          <w:szCs w:val="26"/>
        </w:rPr>
        <w:t>”</w:t>
      </w:r>
      <w:r w:rsidR="00621E9D" w:rsidRPr="001809BE">
        <w:rPr>
          <w:sz w:val="26"/>
          <w:szCs w:val="26"/>
        </w:rPr>
        <w:t>,</w:t>
      </w:r>
      <w:r w:rsidR="004508BC" w:rsidRPr="001809BE">
        <w:rPr>
          <w:sz w:val="26"/>
          <w:szCs w:val="26"/>
        </w:rPr>
        <w:t xml:space="preserve"> </w:t>
      </w:r>
      <w:r w:rsidR="00621E9D" w:rsidRPr="001809BE">
        <w:rPr>
          <w:sz w:val="26"/>
          <w:szCs w:val="26"/>
        </w:rPr>
        <w:t>perteneciente a la Coordinación de Servicios Administrativos</w:t>
      </w:r>
      <w:r w:rsidR="004269A3" w:rsidRPr="001809BE">
        <w:rPr>
          <w:sz w:val="26"/>
          <w:szCs w:val="26"/>
        </w:rPr>
        <w:t>,</w:t>
      </w:r>
      <w:r w:rsidR="00FF5659" w:rsidRPr="001809BE">
        <w:rPr>
          <w:sz w:val="26"/>
          <w:szCs w:val="26"/>
        </w:rPr>
        <w:t xml:space="preserve"> y que está integrado por </w:t>
      </w:r>
      <w:r w:rsidR="00AC62E1">
        <w:rPr>
          <w:sz w:val="26"/>
          <w:szCs w:val="26"/>
        </w:rPr>
        <w:t>17</w:t>
      </w:r>
      <w:r w:rsidR="00FF5659" w:rsidRPr="001809BE">
        <w:rPr>
          <w:sz w:val="26"/>
          <w:szCs w:val="26"/>
        </w:rPr>
        <w:t xml:space="preserve"> metas</w:t>
      </w:r>
      <w:r w:rsidR="00621E9D" w:rsidRPr="001809BE">
        <w:rPr>
          <w:sz w:val="26"/>
          <w:szCs w:val="26"/>
        </w:rPr>
        <w:t>.</w:t>
      </w:r>
      <w:r w:rsidR="00C143C8" w:rsidRPr="001809BE">
        <w:rPr>
          <w:sz w:val="26"/>
          <w:szCs w:val="26"/>
        </w:rPr>
        <w:t xml:space="preserve"> </w:t>
      </w:r>
    </w:p>
    <w:p w14:paraId="3C817D13" w14:textId="77777777" w:rsidR="004269A3" w:rsidRPr="001809BE" w:rsidRDefault="004269A3" w:rsidP="004508BC">
      <w:pPr>
        <w:spacing w:after="0" w:line="240" w:lineRule="auto"/>
        <w:jc w:val="both"/>
        <w:rPr>
          <w:sz w:val="26"/>
          <w:szCs w:val="26"/>
        </w:rPr>
      </w:pPr>
    </w:p>
    <w:p w14:paraId="4EA81273" w14:textId="18E399CF" w:rsidR="002F5D90" w:rsidRPr="0027357B" w:rsidRDefault="00C143C8" w:rsidP="004508BC">
      <w:pPr>
        <w:spacing w:after="0" w:line="240" w:lineRule="auto"/>
        <w:jc w:val="both"/>
        <w:rPr>
          <w:sz w:val="26"/>
          <w:szCs w:val="26"/>
        </w:rPr>
      </w:pPr>
      <w:r w:rsidRPr="001809BE">
        <w:rPr>
          <w:sz w:val="26"/>
          <w:szCs w:val="26"/>
        </w:rPr>
        <w:t>Resalta, por otra parte, que el programa que contiene más metas (2</w:t>
      </w:r>
      <w:r w:rsidR="004135C7">
        <w:rPr>
          <w:sz w:val="26"/>
          <w:szCs w:val="26"/>
        </w:rPr>
        <w:t>0</w:t>
      </w:r>
      <w:r w:rsidRPr="001809BE">
        <w:rPr>
          <w:sz w:val="26"/>
          <w:szCs w:val="26"/>
        </w:rPr>
        <w:t>) es el de “Evaluación y fortalecimiento de los programas de becas y apoyos estudiantiles”</w:t>
      </w:r>
      <w:r w:rsidR="002B7C83" w:rsidRPr="001809BE">
        <w:rPr>
          <w:sz w:val="26"/>
          <w:szCs w:val="26"/>
        </w:rPr>
        <w:t>, de la Coordinación de Servicios Estudiantiles,</w:t>
      </w:r>
      <w:r w:rsidRPr="001809BE">
        <w:rPr>
          <w:sz w:val="26"/>
          <w:szCs w:val="26"/>
        </w:rPr>
        <w:t xml:space="preserve"> con un presupuesto asignado equivalente al 3.</w:t>
      </w:r>
      <w:r w:rsidR="0041176F">
        <w:rPr>
          <w:sz w:val="26"/>
          <w:szCs w:val="26"/>
        </w:rPr>
        <w:t>2</w:t>
      </w:r>
      <w:r w:rsidRPr="001809BE">
        <w:rPr>
          <w:sz w:val="26"/>
          <w:szCs w:val="26"/>
        </w:rPr>
        <w:t>% del presupuesto total.</w:t>
      </w:r>
      <w:r w:rsidR="00F90F87">
        <w:rPr>
          <w:sz w:val="26"/>
          <w:szCs w:val="26"/>
        </w:rPr>
        <w:t xml:space="preserve">  </w:t>
      </w:r>
      <w:r w:rsidR="00B83449">
        <w:rPr>
          <w:sz w:val="26"/>
          <w:szCs w:val="26"/>
        </w:rPr>
        <w:t>En el r</w:t>
      </w:r>
      <w:r w:rsidR="002F5D90" w:rsidRPr="001809BE">
        <w:rPr>
          <w:sz w:val="26"/>
          <w:szCs w:val="26"/>
        </w:rPr>
        <w:t xml:space="preserve">esto de los programas </w:t>
      </w:r>
      <w:r w:rsidR="00B83449">
        <w:rPr>
          <w:sz w:val="26"/>
          <w:szCs w:val="26"/>
        </w:rPr>
        <w:t>se distribuye</w:t>
      </w:r>
      <w:r w:rsidR="002F5D90" w:rsidRPr="001809BE">
        <w:rPr>
          <w:sz w:val="26"/>
          <w:szCs w:val="26"/>
        </w:rPr>
        <w:t xml:space="preserve"> el </w:t>
      </w:r>
      <w:r w:rsidR="00BD716F">
        <w:rPr>
          <w:sz w:val="26"/>
          <w:szCs w:val="26"/>
        </w:rPr>
        <w:t>9</w:t>
      </w:r>
      <w:r w:rsidR="002F5D90" w:rsidRPr="001809BE">
        <w:rPr>
          <w:sz w:val="26"/>
          <w:szCs w:val="26"/>
        </w:rPr>
        <w:t>.</w:t>
      </w:r>
      <w:r w:rsidR="00BD716F">
        <w:rPr>
          <w:sz w:val="26"/>
          <w:szCs w:val="26"/>
        </w:rPr>
        <w:t>7</w:t>
      </w:r>
      <w:r w:rsidR="002F5D90" w:rsidRPr="001809BE">
        <w:rPr>
          <w:sz w:val="26"/>
          <w:szCs w:val="26"/>
        </w:rPr>
        <w:t>% del presupuesto total.</w:t>
      </w:r>
    </w:p>
    <w:p w14:paraId="20D8A9BC" w14:textId="77777777" w:rsidR="00B70C33" w:rsidRDefault="00B70C33" w:rsidP="004508BC">
      <w:pPr>
        <w:spacing w:after="0" w:line="240" w:lineRule="auto"/>
        <w:jc w:val="both"/>
        <w:rPr>
          <w:sz w:val="26"/>
          <w:szCs w:val="26"/>
        </w:rPr>
      </w:pPr>
    </w:p>
    <w:p w14:paraId="4CE36F10" w14:textId="77777777" w:rsidR="003C65DE" w:rsidRPr="0027357B" w:rsidRDefault="003C65DE" w:rsidP="004508BC">
      <w:pPr>
        <w:spacing w:after="0" w:line="240" w:lineRule="auto"/>
        <w:jc w:val="both"/>
        <w:rPr>
          <w:sz w:val="26"/>
          <w:szCs w:val="26"/>
        </w:rPr>
      </w:pPr>
    </w:p>
    <w:p w14:paraId="32F4509D" w14:textId="1D781C06" w:rsidR="00A33CF4" w:rsidRPr="0027357B" w:rsidRDefault="00A33CF4" w:rsidP="004508BC">
      <w:pPr>
        <w:spacing w:after="0" w:line="240" w:lineRule="auto"/>
        <w:jc w:val="both"/>
        <w:rPr>
          <w:b/>
          <w:i/>
          <w:sz w:val="26"/>
          <w:szCs w:val="26"/>
        </w:rPr>
      </w:pPr>
      <w:r w:rsidRPr="0027357B">
        <w:rPr>
          <w:b/>
          <w:i/>
          <w:sz w:val="26"/>
          <w:szCs w:val="26"/>
        </w:rPr>
        <w:t>Valoración de riesgos para el alcance las metas de las URs, del año 202</w:t>
      </w:r>
      <w:r w:rsidR="009B1730">
        <w:rPr>
          <w:b/>
          <w:i/>
          <w:sz w:val="26"/>
          <w:szCs w:val="26"/>
        </w:rPr>
        <w:t>3</w:t>
      </w:r>
      <w:r w:rsidRPr="0027357B">
        <w:rPr>
          <w:b/>
          <w:i/>
          <w:sz w:val="26"/>
          <w:szCs w:val="26"/>
        </w:rPr>
        <w:t>.</w:t>
      </w:r>
    </w:p>
    <w:p w14:paraId="61C55D2B" w14:textId="77777777" w:rsidR="00A33CF4" w:rsidRPr="0027357B" w:rsidRDefault="00A33CF4" w:rsidP="004508BC">
      <w:pPr>
        <w:spacing w:after="0" w:line="240" w:lineRule="auto"/>
        <w:jc w:val="both"/>
        <w:rPr>
          <w:sz w:val="26"/>
          <w:szCs w:val="26"/>
        </w:rPr>
      </w:pPr>
    </w:p>
    <w:p w14:paraId="6B94150F" w14:textId="77777777" w:rsidR="00155439" w:rsidRDefault="00A33CF4" w:rsidP="004508BC">
      <w:pPr>
        <w:spacing w:after="0" w:line="240" w:lineRule="auto"/>
        <w:jc w:val="both"/>
        <w:rPr>
          <w:sz w:val="26"/>
          <w:szCs w:val="26"/>
        </w:rPr>
      </w:pPr>
      <w:r w:rsidRPr="0027357B">
        <w:rPr>
          <w:sz w:val="26"/>
          <w:szCs w:val="26"/>
        </w:rPr>
        <w:t xml:space="preserve">Con respecto a </w:t>
      </w:r>
      <w:r w:rsidR="00406901" w:rsidRPr="0027357B">
        <w:rPr>
          <w:sz w:val="26"/>
          <w:szCs w:val="26"/>
        </w:rPr>
        <w:t xml:space="preserve">la valoración de riesgos de las URs para el </w:t>
      </w:r>
      <w:r w:rsidR="000D3C28" w:rsidRPr="0027357B">
        <w:rPr>
          <w:sz w:val="26"/>
          <w:szCs w:val="26"/>
        </w:rPr>
        <w:t>logro</w:t>
      </w:r>
      <w:r w:rsidR="00406901" w:rsidRPr="0027357B">
        <w:rPr>
          <w:sz w:val="26"/>
          <w:szCs w:val="26"/>
        </w:rPr>
        <w:t xml:space="preserve"> de sus metas</w:t>
      </w:r>
      <w:r w:rsidR="006450C8" w:rsidRPr="0027357B">
        <w:rPr>
          <w:sz w:val="26"/>
          <w:szCs w:val="26"/>
        </w:rPr>
        <w:t>,</w:t>
      </w:r>
      <w:r w:rsidR="00406901" w:rsidRPr="0027357B">
        <w:rPr>
          <w:sz w:val="26"/>
          <w:szCs w:val="26"/>
        </w:rPr>
        <w:t xml:space="preserve"> se presenta </w:t>
      </w:r>
      <w:r w:rsidR="00DF759D" w:rsidRPr="0027357B">
        <w:rPr>
          <w:sz w:val="26"/>
          <w:szCs w:val="26"/>
        </w:rPr>
        <w:t xml:space="preserve">en </w:t>
      </w:r>
      <w:r w:rsidR="00406901" w:rsidRPr="0027357B">
        <w:rPr>
          <w:sz w:val="26"/>
          <w:szCs w:val="26"/>
        </w:rPr>
        <w:t>la siguiente tabla</w:t>
      </w:r>
      <w:r w:rsidR="006450C8" w:rsidRPr="0027357B">
        <w:rPr>
          <w:sz w:val="26"/>
          <w:szCs w:val="26"/>
        </w:rPr>
        <w:t xml:space="preserve"> la distribución porcentual del total de lo</w:t>
      </w:r>
      <w:r w:rsidR="00667C8E" w:rsidRPr="0027357B">
        <w:rPr>
          <w:sz w:val="26"/>
          <w:szCs w:val="26"/>
        </w:rPr>
        <w:t>s riesgos que enfrentan (100%), según el grado de éstos: del 1 (más alto) al 4 (más bajo).</w:t>
      </w:r>
    </w:p>
    <w:p w14:paraId="2AF8C382" w14:textId="77777777" w:rsidR="00F90F87" w:rsidRPr="0027357B" w:rsidRDefault="00F90F87" w:rsidP="004508BC">
      <w:pPr>
        <w:spacing w:after="0" w:line="240" w:lineRule="auto"/>
        <w:jc w:val="both"/>
        <w:rPr>
          <w:sz w:val="26"/>
          <w:szCs w:val="26"/>
        </w:rPr>
      </w:pPr>
    </w:p>
    <w:p w14:paraId="24710ACD" w14:textId="13AFA497" w:rsidR="00D2555C" w:rsidRPr="009B1730" w:rsidRDefault="006664E9" w:rsidP="007E76C8">
      <w:pPr>
        <w:spacing w:after="0" w:line="240" w:lineRule="auto"/>
        <w:jc w:val="center"/>
        <w:rPr>
          <w:color w:val="0D0D0D" w:themeColor="text1" w:themeTint="F2"/>
          <w:sz w:val="26"/>
          <w:szCs w:val="26"/>
        </w:rPr>
      </w:pPr>
      <w:r w:rsidRPr="009B1730">
        <w:rPr>
          <w:noProof/>
          <w:color w:val="0D0D0D" w:themeColor="text1" w:themeTint="F2"/>
          <w:lang w:eastAsia="es-MX"/>
        </w:rPr>
        <w:lastRenderedPageBreak/>
        <w:drawing>
          <wp:inline distT="0" distB="0" distL="0" distR="0" wp14:anchorId="76AEFE59" wp14:editId="5082232F">
            <wp:extent cx="6188710" cy="5724940"/>
            <wp:effectExtent l="0" t="0" r="2540" b="9525"/>
            <wp:docPr id="15386600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007" cy="57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1345" w14:textId="77777777" w:rsidR="00D2555C" w:rsidRDefault="00D2555C" w:rsidP="00F2652A">
      <w:pPr>
        <w:spacing w:after="0" w:line="240" w:lineRule="auto"/>
        <w:rPr>
          <w:sz w:val="26"/>
          <w:szCs w:val="26"/>
        </w:rPr>
      </w:pPr>
    </w:p>
    <w:p w14:paraId="2CC9C0A0" w14:textId="77777777" w:rsidR="003C65DE" w:rsidRDefault="003C65DE" w:rsidP="00F2652A">
      <w:pPr>
        <w:spacing w:after="0" w:line="240" w:lineRule="auto"/>
        <w:rPr>
          <w:sz w:val="26"/>
          <w:szCs w:val="26"/>
        </w:rPr>
      </w:pPr>
    </w:p>
    <w:p w14:paraId="73C80BC4" w14:textId="2DF4FF3A" w:rsidR="002447CC" w:rsidRDefault="002447CC" w:rsidP="00E00166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Interpretando </w:t>
      </w:r>
      <w:r w:rsidR="00D33E15">
        <w:rPr>
          <w:sz w:val="26"/>
          <w:szCs w:val="26"/>
        </w:rPr>
        <w:t xml:space="preserve">los valores de </w:t>
      </w:r>
      <w:r>
        <w:rPr>
          <w:sz w:val="26"/>
          <w:szCs w:val="26"/>
        </w:rPr>
        <w:t xml:space="preserve">la tabla anterior podemos </w:t>
      </w:r>
      <w:r w:rsidR="00D33E15">
        <w:rPr>
          <w:sz w:val="26"/>
          <w:szCs w:val="26"/>
        </w:rPr>
        <w:t>ver</w:t>
      </w:r>
      <w:r>
        <w:rPr>
          <w:sz w:val="26"/>
          <w:szCs w:val="26"/>
        </w:rPr>
        <w:t>,</w:t>
      </w:r>
      <w:r w:rsidR="00057E32">
        <w:rPr>
          <w:sz w:val="26"/>
          <w:szCs w:val="26"/>
        </w:rPr>
        <w:t xml:space="preserve"> por ejemplo, </w:t>
      </w:r>
      <w:r w:rsidR="00DE54BA">
        <w:rPr>
          <w:sz w:val="26"/>
          <w:szCs w:val="26"/>
        </w:rPr>
        <w:t xml:space="preserve">que del total de riesgos que enfrenta la Contraloría General para el logro de sus metas, el </w:t>
      </w:r>
      <w:r w:rsidR="0094217A">
        <w:rPr>
          <w:sz w:val="26"/>
          <w:szCs w:val="26"/>
        </w:rPr>
        <w:t>37</w:t>
      </w:r>
      <w:r w:rsidR="00DE54BA">
        <w:rPr>
          <w:sz w:val="26"/>
          <w:szCs w:val="26"/>
        </w:rPr>
        <w:t>.</w:t>
      </w:r>
      <w:r w:rsidR="0094217A">
        <w:rPr>
          <w:sz w:val="26"/>
          <w:szCs w:val="26"/>
        </w:rPr>
        <w:t>5</w:t>
      </w:r>
      <w:r w:rsidR="00DE54BA">
        <w:rPr>
          <w:sz w:val="26"/>
          <w:szCs w:val="26"/>
        </w:rPr>
        <w:t xml:space="preserve">% es de </w:t>
      </w:r>
      <w:r w:rsidR="001F7E21">
        <w:rPr>
          <w:sz w:val="26"/>
          <w:szCs w:val="26"/>
        </w:rPr>
        <w:t xml:space="preserve">riesgo alto (1), el </w:t>
      </w:r>
      <w:r w:rsidR="0094217A">
        <w:rPr>
          <w:sz w:val="26"/>
          <w:szCs w:val="26"/>
        </w:rPr>
        <w:t>25</w:t>
      </w:r>
      <w:r w:rsidR="001F7E21">
        <w:rPr>
          <w:sz w:val="26"/>
          <w:szCs w:val="26"/>
        </w:rPr>
        <w:t xml:space="preserve">% es de riesgo mediano (2), el </w:t>
      </w:r>
      <w:r w:rsidR="0094217A">
        <w:rPr>
          <w:sz w:val="26"/>
          <w:szCs w:val="26"/>
        </w:rPr>
        <w:t>37.5</w:t>
      </w:r>
      <w:r w:rsidR="001F7E21">
        <w:rPr>
          <w:sz w:val="26"/>
          <w:szCs w:val="26"/>
        </w:rPr>
        <w:t>% es de riesgo moderado</w:t>
      </w:r>
      <w:r w:rsidR="007C31EE">
        <w:rPr>
          <w:sz w:val="26"/>
          <w:szCs w:val="26"/>
        </w:rPr>
        <w:t xml:space="preserve"> (3)</w:t>
      </w:r>
      <w:r w:rsidR="001F7E21">
        <w:rPr>
          <w:sz w:val="26"/>
          <w:szCs w:val="26"/>
        </w:rPr>
        <w:t xml:space="preserve"> y no tiene metas con riesgo bajo (4).</w:t>
      </w:r>
      <w:r>
        <w:rPr>
          <w:sz w:val="26"/>
          <w:szCs w:val="26"/>
        </w:rPr>
        <w:t xml:space="preserve"> Referente al total de riesgos de toda la Universidad para el logro de sus metas, </w:t>
      </w:r>
      <w:r w:rsidR="0094217A">
        <w:rPr>
          <w:sz w:val="26"/>
          <w:szCs w:val="26"/>
        </w:rPr>
        <w:t>el</w:t>
      </w:r>
      <w:r w:rsidR="00450C70">
        <w:rPr>
          <w:sz w:val="26"/>
          <w:szCs w:val="26"/>
        </w:rPr>
        <w:t xml:space="preserve"> </w:t>
      </w:r>
      <w:r w:rsidR="0094217A">
        <w:rPr>
          <w:sz w:val="26"/>
          <w:szCs w:val="26"/>
        </w:rPr>
        <w:t>41.3</w:t>
      </w:r>
      <w:r w:rsidR="00450C70">
        <w:rPr>
          <w:sz w:val="26"/>
          <w:szCs w:val="26"/>
        </w:rPr>
        <w:t xml:space="preserve">% son </w:t>
      </w:r>
      <w:r w:rsidR="006A3C28">
        <w:rPr>
          <w:sz w:val="26"/>
          <w:szCs w:val="26"/>
        </w:rPr>
        <w:t xml:space="preserve">considerados de alto </w:t>
      </w:r>
      <w:r w:rsidR="0094217A">
        <w:rPr>
          <w:sz w:val="26"/>
          <w:szCs w:val="26"/>
        </w:rPr>
        <w:t>riesgo</w:t>
      </w:r>
      <w:r w:rsidR="006A3C28">
        <w:rPr>
          <w:sz w:val="26"/>
          <w:szCs w:val="26"/>
        </w:rPr>
        <w:t>,</w:t>
      </w:r>
      <w:r w:rsidR="00450C70">
        <w:rPr>
          <w:sz w:val="26"/>
          <w:szCs w:val="26"/>
        </w:rPr>
        <w:t xml:space="preserve"> </w:t>
      </w:r>
      <w:r w:rsidR="0094217A">
        <w:rPr>
          <w:sz w:val="26"/>
          <w:szCs w:val="26"/>
        </w:rPr>
        <w:t>el</w:t>
      </w:r>
      <w:r w:rsidR="00450C70">
        <w:rPr>
          <w:sz w:val="26"/>
          <w:szCs w:val="26"/>
        </w:rPr>
        <w:t xml:space="preserve"> 2</w:t>
      </w:r>
      <w:r w:rsidR="0094217A">
        <w:rPr>
          <w:sz w:val="26"/>
          <w:szCs w:val="26"/>
        </w:rPr>
        <w:t>2.7</w:t>
      </w:r>
      <w:r w:rsidR="00450C70">
        <w:rPr>
          <w:sz w:val="26"/>
          <w:szCs w:val="26"/>
        </w:rPr>
        <w:t xml:space="preserve">% son </w:t>
      </w:r>
      <w:r w:rsidR="00CD0C0D">
        <w:rPr>
          <w:sz w:val="26"/>
          <w:szCs w:val="26"/>
        </w:rPr>
        <w:t xml:space="preserve">considerados </w:t>
      </w:r>
      <w:r w:rsidR="00450C70">
        <w:rPr>
          <w:sz w:val="26"/>
          <w:szCs w:val="26"/>
        </w:rPr>
        <w:t xml:space="preserve">de </w:t>
      </w:r>
      <w:r w:rsidR="0094217A">
        <w:rPr>
          <w:sz w:val="26"/>
          <w:szCs w:val="26"/>
        </w:rPr>
        <w:t>riesgo</w:t>
      </w:r>
      <w:r w:rsidR="00450C70">
        <w:rPr>
          <w:sz w:val="26"/>
          <w:szCs w:val="26"/>
        </w:rPr>
        <w:t xml:space="preserve"> mediano y el restante </w:t>
      </w:r>
      <w:r w:rsidR="0094217A">
        <w:rPr>
          <w:sz w:val="26"/>
          <w:szCs w:val="26"/>
        </w:rPr>
        <w:t>3</w:t>
      </w:r>
      <w:r w:rsidR="00B157B9">
        <w:rPr>
          <w:sz w:val="26"/>
          <w:szCs w:val="26"/>
        </w:rPr>
        <w:t xml:space="preserve">6% son </w:t>
      </w:r>
      <w:r w:rsidR="0094217A">
        <w:rPr>
          <w:sz w:val="26"/>
          <w:szCs w:val="26"/>
        </w:rPr>
        <w:t xml:space="preserve">considerados </w:t>
      </w:r>
      <w:r w:rsidR="00B157B9">
        <w:rPr>
          <w:sz w:val="26"/>
          <w:szCs w:val="26"/>
        </w:rPr>
        <w:t xml:space="preserve">de </w:t>
      </w:r>
      <w:r w:rsidR="0094217A">
        <w:rPr>
          <w:sz w:val="26"/>
          <w:szCs w:val="26"/>
        </w:rPr>
        <w:t xml:space="preserve">riesgo moderado </w:t>
      </w:r>
      <w:r w:rsidR="001A31AB">
        <w:rPr>
          <w:sz w:val="26"/>
          <w:szCs w:val="26"/>
        </w:rPr>
        <w:t>o</w:t>
      </w:r>
      <w:r w:rsidR="00B157B9">
        <w:rPr>
          <w:sz w:val="26"/>
          <w:szCs w:val="26"/>
        </w:rPr>
        <w:t xml:space="preserve"> bajo.</w:t>
      </w:r>
    </w:p>
    <w:p w14:paraId="5C7845E7" w14:textId="77777777" w:rsidR="00057E32" w:rsidRDefault="00057E32" w:rsidP="00E00166">
      <w:pPr>
        <w:spacing w:after="0" w:line="240" w:lineRule="auto"/>
        <w:jc w:val="both"/>
        <w:rPr>
          <w:sz w:val="26"/>
          <w:szCs w:val="26"/>
        </w:rPr>
      </w:pPr>
    </w:p>
    <w:p w14:paraId="0D1E97BF" w14:textId="77777777" w:rsidR="00665676" w:rsidRDefault="00582ABA" w:rsidP="00E00166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la siguiente gráfica se muestra la misma información del cuadro anterior pero mediante barras (que equivalen al 100% del total de riesgos</w:t>
      </w:r>
      <w:r w:rsidR="00493E18">
        <w:rPr>
          <w:sz w:val="26"/>
          <w:szCs w:val="26"/>
        </w:rPr>
        <w:t xml:space="preserve"> de cada UR</w:t>
      </w:r>
      <w:r>
        <w:rPr>
          <w:sz w:val="26"/>
          <w:szCs w:val="26"/>
        </w:rPr>
        <w:t>), conformadas por la distribución porcentual de</w:t>
      </w:r>
      <w:r w:rsidR="00493E18">
        <w:rPr>
          <w:sz w:val="26"/>
          <w:szCs w:val="26"/>
        </w:rPr>
        <w:t xml:space="preserve"> los distintos grados </w:t>
      </w:r>
      <w:r w:rsidR="007539CA">
        <w:rPr>
          <w:sz w:val="26"/>
          <w:szCs w:val="26"/>
        </w:rPr>
        <w:t>de</w:t>
      </w:r>
      <w:r w:rsidR="00493E18">
        <w:rPr>
          <w:sz w:val="26"/>
          <w:szCs w:val="26"/>
        </w:rPr>
        <w:t xml:space="preserve"> riesgo.</w:t>
      </w:r>
    </w:p>
    <w:p w14:paraId="69B03248" w14:textId="77777777" w:rsidR="00665676" w:rsidRDefault="00665676" w:rsidP="00F2652A">
      <w:pPr>
        <w:spacing w:after="0" w:line="240" w:lineRule="auto"/>
        <w:rPr>
          <w:sz w:val="26"/>
          <w:szCs w:val="26"/>
        </w:rPr>
      </w:pPr>
    </w:p>
    <w:p w14:paraId="2785E154" w14:textId="76751BE5" w:rsidR="006F0D69" w:rsidRDefault="00493F06" w:rsidP="00493F06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s-MX"/>
        </w:rPr>
        <w:lastRenderedPageBreak/>
        <w:drawing>
          <wp:inline distT="0" distB="0" distL="0" distR="0" wp14:anchorId="50875947" wp14:editId="642C2A96">
            <wp:extent cx="6144768" cy="4008120"/>
            <wp:effectExtent l="0" t="0" r="8890" b="0"/>
            <wp:docPr id="1149961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30" cy="4029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21FF1" w14:textId="77777777" w:rsidR="00B207AD" w:rsidRDefault="00B207AD" w:rsidP="00F2652A">
      <w:pPr>
        <w:spacing w:after="0" w:line="240" w:lineRule="auto"/>
        <w:rPr>
          <w:sz w:val="26"/>
          <w:szCs w:val="26"/>
        </w:rPr>
      </w:pPr>
    </w:p>
    <w:p w14:paraId="763044E0" w14:textId="1E5DC594" w:rsidR="000340E6" w:rsidRDefault="00B83CD1" w:rsidP="00B83CD1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 la anterior gráfica podemos ver que</w:t>
      </w:r>
      <w:r w:rsidR="00220056">
        <w:rPr>
          <w:sz w:val="26"/>
          <w:szCs w:val="26"/>
        </w:rPr>
        <w:t>,</w:t>
      </w:r>
      <w:r>
        <w:rPr>
          <w:sz w:val="26"/>
          <w:szCs w:val="26"/>
        </w:rPr>
        <w:t xml:space="preserve"> para el Plantel Cuautepec, La Coordinación de Informática y Telecomunicaciones</w:t>
      </w:r>
      <w:r w:rsidR="001130F3">
        <w:rPr>
          <w:sz w:val="26"/>
          <w:szCs w:val="26"/>
        </w:rPr>
        <w:t>, Planeación</w:t>
      </w:r>
      <w:r>
        <w:rPr>
          <w:sz w:val="26"/>
          <w:szCs w:val="26"/>
        </w:rPr>
        <w:t xml:space="preserve"> y la Tesorería</w:t>
      </w:r>
      <w:r w:rsidR="005A1B15">
        <w:rPr>
          <w:sz w:val="26"/>
          <w:szCs w:val="26"/>
        </w:rPr>
        <w:t>, el</w:t>
      </w:r>
      <w:r>
        <w:rPr>
          <w:sz w:val="26"/>
          <w:szCs w:val="26"/>
        </w:rPr>
        <w:t xml:space="preserve"> 100% de sus riesgos para el logro de sus respectivas metas</w:t>
      </w:r>
      <w:r w:rsidR="005A1B15">
        <w:rPr>
          <w:sz w:val="26"/>
          <w:szCs w:val="26"/>
        </w:rPr>
        <w:t xml:space="preserve"> son del grado más alto, en contraste con l</w:t>
      </w:r>
      <w:r w:rsidR="001130F3">
        <w:rPr>
          <w:sz w:val="26"/>
          <w:szCs w:val="26"/>
        </w:rPr>
        <w:t>a</w:t>
      </w:r>
      <w:r w:rsidR="005A1B15">
        <w:rPr>
          <w:sz w:val="26"/>
          <w:szCs w:val="26"/>
        </w:rPr>
        <w:t xml:space="preserve"> </w:t>
      </w:r>
      <w:r w:rsidR="001130F3">
        <w:rPr>
          <w:sz w:val="26"/>
          <w:szCs w:val="26"/>
        </w:rPr>
        <w:t>Rectoría</w:t>
      </w:r>
      <w:r w:rsidR="005A1B15">
        <w:rPr>
          <w:sz w:val="26"/>
          <w:szCs w:val="26"/>
        </w:rPr>
        <w:t xml:space="preserve"> que considera que la totalidad de sus riesgos son del grado más bajo.</w:t>
      </w:r>
    </w:p>
    <w:p w14:paraId="34CF4DE5" w14:textId="77777777" w:rsidR="00B83CD1" w:rsidRDefault="00B83CD1" w:rsidP="00B83CD1">
      <w:pPr>
        <w:spacing w:after="0" w:line="240" w:lineRule="auto"/>
        <w:jc w:val="both"/>
        <w:rPr>
          <w:sz w:val="26"/>
          <w:szCs w:val="26"/>
        </w:rPr>
      </w:pPr>
    </w:p>
    <w:p w14:paraId="52E22C47" w14:textId="77777777" w:rsidR="00770C4A" w:rsidRPr="000340E6" w:rsidRDefault="00770C4A" w:rsidP="00B83CD1">
      <w:pPr>
        <w:spacing w:after="0" w:line="240" w:lineRule="auto"/>
        <w:jc w:val="both"/>
        <w:rPr>
          <w:sz w:val="26"/>
          <w:szCs w:val="26"/>
        </w:rPr>
      </w:pPr>
    </w:p>
    <w:p w14:paraId="0FEC223C" w14:textId="77777777" w:rsidR="00D2555C" w:rsidRPr="0027357B" w:rsidRDefault="006F0D69" w:rsidP="00F2652A">
      <w:pPr>
        <w:spacing w:after="0" w:line="240" w:lineRule="auto"/>
        <w:rPr>
          <w:b/>
          <w:i/>
          <w:sz w:val="26"/>
          <w:szCs w:val="26"/>
        </w:rPr>
      </w:pPr>
      <w:r w:rsidRPr="0027357B">
        <w:rPr>
          <w:b/>
          <w:i/>
          <w:sz w:val="26"/>
          <w:szCs w:val="26"/>
        </w:rPr>
        <w:t>Avance de Metas</w:t>
      </w:r>
    </w:p>
    <w:p w14:paraId="70EA1BAE" w14:textId="77777777" w:rsidR="005E5E33" w:rsidRDefault="005E5E33" w:rsidP="00F2652A">
      <w:pPr>
        <w:spacing w:after="0" w:line="240" w:lineRule="auto"/>
        <w:rPr>
          <w:sz w:val="26"/>
          <w:szCs w:val="26"/>
        </w:rPr>
      </w:pPr>
    </w:p>
    <w:p w14:paraId="6034D1C7" w14:textId="06059C28" w:rsidR="00472FF8" w:rsidRDefault="00975617" w:rsidP="00975617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la </w:t>
      </w:r>
      <w:r w:rsidRPr="00170331">
        <w:rPr>
          <w:sz w:val="24"/>
          <w:szCs w:val="24"/>
        </w:rPr>
        <w:t xml:space="preserve">Cédula de </w:t>
      </w:r>
      <w:r w:rsidR="00316909">
        <w:rPr>
          <w:sz w:val="24"/>
          <w:szCs w:val="24"/>
        </w:rPr>
        <w:t xml:space="preserve">Seguimiento, </w:t>
      </w:r>
      <w:r w:rsidRPr="00170331">
        <w:rPr>
          <w:sz w:val="24"/>
          <w:szCs w:val="24"/>
        </w:rPr>
        <w:t>Evaluación y Gestión de Riesgos</w:t>
      </w: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 xml:space="preserve">se les pidió a las UR que anotaran el porcentaje de avance, al final del año 2020, de cada una de sus metas. Lo hicieron a través de rangos </w:t>
      </w:r>
      <w:r w:rsidR="00316909">
        <w:rPr>
          <w:sz w:val="26"/>
          <w:szCs w:val="26"/>
        </w:rPr>
        <w:t>de 5%</w:t>
      </w:r>
      <w:r>
        <w:rPr>
          <w:sz w:val="26"/>
          <w:szCs w:val="26"/>
        </w:rPr>
        <w:t xml:space="preserve"> (de 0% a </w:t>
      </w:r>
      <w:r w:rsidR="00316909">
        <w:rPr>
          <w:sz w:val="26"/>
          <w:szCs w:val="26"/>
        </w:rPr>
        <w:t>5</w:t>
      </w:r>
      <w:r>
        <w:rPr>
          <w:sz w:val="26"/>
          <w:szCs w:val="26"/>
        </w:rPr>
        <w:t xml:space="preserve">% / de </w:t>
      </w:r>
      <w:r w:rsidR="00316909">
        <w:rPr>
          <w:sz w:val="26"/>
          <w:szCs w:val="26"/>
        </w:rPr>
        <w:t>6</w:t>
      </w:r>
      <w:r>
        <w:rPr>
          <w:sz w:val="26"/>
          <w:szCs w:val="26"/>
        </w:rPr>
        <w:t xml:space="preserve">% a </w:t>
      </w:r>
      <w:r w:rsidR="00316909">
        <w:rPr>
          <w:sz w:val="26"/>
          <w:szCs w:val="26"/>
        </w:rPr>
        <w:t>1</w:t>
      </w:r>
      <w:r>
        <w:rPr>
          <w:sz w:val="26"/>
          <w:szCs w:val="26"/>
        </w:rPr>
        <w:t>0% /</w:t>
      </w:r>
      <w:r w:rsidR="00BE684C">
        <w:rPr>
          <w:sz w:val="26"/>
          <w:szCs w:val="26"/>
        </w:rPr>
        <w:t xml:space="preserve"> de </w:t>
      </w:r>
      <w:r w:rsidR="00316909">
        <w:rPr>
          <w:sz w:val="26"/>
          <w:szCs w:val="26"/>
        </w:rPr>
        <w:t>1</w:t>
      </w:r>
      <w:r w:rsidR="00BE684C">
        <w:rPr>
          <w:sz w:val="26"/>
          <w:szCs w:val="26"/>
        </w:rPr>
        <w:t xml:space="preserve">1% a </w:t>
      </w:r>
      <w:r w:rsidR="00316909">
        <w:rPr>
          <w:sz w:val="26"/>
          <w:szCs w:val="26"/>
        </w:rPr>
        <w:t>15</w:t>
      </w:r>
      <w:r w:rsidR="00BE684C">
        <w:rPr>
          <w:sz w:val="26"/>
          <w:szCs w:val="26"/>
        </w:rPr>
        <w:t>% /</w:t>
      </w:r>
      <w:r>
        <w:rPr>
          <w:sz w:val="26"/>
          <w:szCs w:val="26"/>
        </w:rPr>
        <w:t>…</w:t>
      </w:r>
      <w:r w:rsidR="00F3423E">
        <w:rPr>
          <w:sz w:val="26"/>
          <w:szCs w:val="26"/>
        </w:rPr>
        <w:t xml:space="preserve"> </w:t>
      </w:r>
      <w:r>
        <w:rPr>
          <w:sz w:val="26"/>
          <w:szCs w:val="26"/>
        </w:rPr>
        <w:t>/</w:t>
      </w:r>
      <w:r w:rsidR="0097443E">
        <w:rPr>
          <w:sz w:val="26"/>
          <w:szCs w:val="26"/>
        </w:rPr>
        <w:t xml:space="preserve"> </w:t>
      </w:r>
      <w:r>
        <w:rPr>
          <w:sz w:val="26"/>
          <w:szCs w:val="26"/>
        </w:rPr>
        <w:t>de 9</w:t>
      </w:r>
      <w:r w:rsidR="00316909">
        <w:rPr>
          <w:sz w:val="26"/>
          <w:szCs w:val="26"/>
        </w:rPr>
        <w:t>6</w:t>
      </w:r>
      <w:r>
        <w:rPr>
          <w:sz w:val="26"/>
          <w:szCs w:val="26"/>
        </w:rPr>
        <w:t xml:space="preserve">% a 100%) que se les presentó como opciones de llenado. Con base en esta información se calculó el </w:t>
      </w:r>
      <w:r w:rsidR="006579C9">
        <w:rPr>
          <w:sz w:val="26"/>
          <w:szCs w:val="26"/>
        </w:rPr>
        <w:t xml:space="preserve">porcentaje de avance </w:t>
      </w:r>
      <w:r>
        <w:rPr>
          <w:sz w:val="26"/>
          <w:szCs w:val="26"/>
        </w:rPr>
        <w:t xml:space="preserve">promedio </w:t>
      </w:r>
      <w:r w:rsidR="006579C9">
        <w:rPr>
          <w:sz w:val="26"/>
          <w:szCs w:val="26"/>
        </w:rPr>
        <w:t>de las metas de cada UR</w:t>
      </w:r>
      <w:r w:rsidR="00663A9B">
        <w:rPr>
          <w:sz w:val="26"/>
          <w:szCs w:val="26"/>
        </w:rPr>
        <w:t xml:space="preserve">, asignando </w:t>
      </w:r>
      <w:r w:rsidR="0097443E">
        <w:rPr>
          <w:sz w:val="26"/>
          <w:szCs w:val="26"/>
        </w:rPr>
        <w:t xml:space="preserve">el valor </w:t>
      </w:r>
      <w:r w:rsidR="00F3423E">
        <w:rPr>
          <w:sz w:val="26"/>
          <w:szCs w:val="26"/>
        </w:rPr>
        <w:t>m</w:t>
      </w:r>
      <w:r w:rsidR="00220056">
        <w:rPr>
          <w:sz w:val="26"/>
          <w:szCs w:val="26"/>
        </w:rPr>
        <w:t>ayo</w:t>
      </w:r>
      <w:r w:rsidR="00F3423E">
        <w:rPr>
          <w:sz w:val="26"/>
          <w:szCs w:val="26"/>
        </w:rPr>
        <w:t>r</w:t>
      </w:r>
      <w:r w:rsidR="0097443E">
        <w:rPr>
          <w:sz w:val="26"/>
          <w:szCs w:val="26"/>
        </w:rPr>
        <w:t xml:space="preserve"> del </w:t>
      </w:r>
      <w:r w:rsidR="0006259E">
        <w:rPr>
          <w:sz w:val="26"/>
          <w:szCs w:val="26"/>
        </w:rPr>
        <w:t>correspondiente rango registrado (5%, 1</w:t>
      </w:r>
      <w:r w:rsidR="00F3423E">
        <w:rPr>
          <w:sz w:val="26"/>
          <w:szCs w:val="26"/>
        </w:rPr>
        <w:t>0</w:t>
      </w:r>
      <w:r w:rsidR="0006259E">
        <w:rPr>
          <w:sz w:val="26"/>
          <w:szCs w:val="26"/>
        </w:rPr>
        <w:t xml:space="preserve">%, </w:t>
      </w:r>
      <w:r w:rsidR="00F3423E">
        <w:rPr>
          <w:sz w:val="26"/>
          <w:szCs w:val="26"/>
        </w:rPr>
        <w:t>1</w:t>
      </w:r>
      <w:r w:rsidR="0006259E">
        <w:rPr>
          <w:sz w:val="26"/>
          <w:szCs w:val="26"/>
        </w:rPr>
        <w:t>5%</w:t>
      </w:r>
      <w:r w:rsidR="0051179A">
        <w:rPr>
          <w:sz w:val="26"/>
          <w:szCs w:val="26"/>
        </w:rPr>
        <w:t>,</w:t>
      </w:r>
      <w:r w:rsidR="00A369C0">
        <w:rPr>
          <w:sz w:val="26"/>
          <w:szCs w:val="26"/>
        </w:rPr>
        <w:t xml:space="preserve"> </w:t>
      </w:r>
      <w:r w:rsidR="0006259E">
        <w:rPr>
          <w:sz w:val="26"/>
          <w:szCs w:val="26"/>
        </w:rPr>
        <w:t xml:space="preserve">…, </w:t>
      </w:r>
      <w:r w:rsidR="00F3423E">
        <w:rPr>
          <w:sz w:val="26"/>
          <w:szCs w:val="26"/>
        </w:rPr>
        <w:t>100</w:t>
      </w:r>
      <w:r w:rsidR="0006259E">
        <w:rPr>
          <w:sz w:val="26"/>
          <w:szCs w:val="26"/>
        </w:rPr>
        <w:t xml:space="preserve">%). </w:t>
      </w:r>
      <w:r w:rsidR="00EB700C">
        <w:rPr>
          <w:sz w:val="26"/>
          <w:szCs w:val="26"/>
        </w:rPr>
        <w:t>Los promedios resultantes se presentan en la siguiente tabla</w:t>
      </w:r>
      <w:r w:rsidR="00306EFE">
        <w:rPr>
          <w:sz w:val="26"/>
          <w:szCs w:val="26"/>
        </w:rPr>
        <w:t xml:space="preserve"> a la cual se le </w:t>
      </w:r>
      <w:r w:rsidR="00E468C9">
        <w:rPr>
          <w:sz w:val="26"/>
          <w:szCs w:val="26"/>
        </w:rPr>
        <w:t>agregó</w:t>
      </w:r>
      <w:r w:rsidR="00306EFE">
        <w:rPr>
          <w:sz w:val="26"/>
          <w:szCs w:val="26"/>
        </w:rPr>
        <w:t xml:space="preserve"> el porcentaje del presupuesto ejercido por las UR en el año 202</w:t>
      </w:r>
      <w:r w:rsidR="00A475A9">
        <w:rPr>
          <w:sz w:val="26"/>
          <w:szCs w:val="26"/>
        </w:rPr>
        <w:t>3</w:t>
      </w:r>
      <w:r w:rsidR="00E468C9">
        <w:rPr>
          <w:sz w:val="26"/>
          <w:szCs w:val="26"/>
        </w:rPr>
        <w:t xml:space="preserve"> como un dato importante de referencia</w:t>
      </w:r>
      <w:r w:rsidR="00EB700C">
        <w:rPr>
          <w:sz w:val="26"/>
          <w:szCs w:val="26"/>
        </w:rPr>
        <w:t>.</w:t>
      </w:r>
    </w:p>
    <w:p w14:paraId="6560AAF7" w14:textId="77777777" w:rsidR="003E2124" w:rsidRPr="00472FF8" w:rsidRDefault="003E2124" w:rsidP="00975617">
      <w:pPr>
        <w:spacing w:after="0" w:line="240" w:lineRule="auto"/>
        <w:jc w:val="both"/>
        <w:rPr>
          <w:sz w:val="26"/>
          <w:szCs w:val="26"/>
        </w:rPr>
      </w:pPr>
    </w:p>
    <w:p w14:paraId="488BA03E" w14:textId="7F275B09" w:rsidR="006F0D69" w:rsidRDefault="009A783A" w:rsidP="009A783A">
      <w:pPr>
        <w:spacing w:after="0" w:line="240" w:lineRule="auto"/>
        <w:jc w:val="center"/>
        <w:rPr>
          <w:sz w:val="26"/>
          <w:szCs w:val="26"/>
        </w:rPr>
      </w:pPr>
      <w:r w:rsidRPr="009A783A">
        <w:rPr>
          <w:noProof/>
          <w:lang w:eastAsia="es-MX"/>
        </w:rPr>
        <w:lastRenderedPageBreak/>
        <w:drawing>
          <wp:inline distT="0" distB="0" distL="0" distR="0" wp14:anchorId="3E2BDC7D" wp14:editId="5B13204B">
            <wp:extent cx="5033010" cy="5804453"/>
            <wp:effectExtent l="0" t="0" r="0" b="6350"/>
            <wp:docPr id="592835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46" cy="58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548C" w14:textId="77777777" w:rsidR="00FB2FF5" w:rsidRDefault="00FB2FF5" w:rsidP="00770C4A">
      <w:pPr>
        <w:spacing w:after="0" w:line="240" w:lineRule="auto"/>
        <w:jc w:val="both"/>
        <w:rPr>
          <w:noProof/>
          <w:sz w:val="26"/>
          <w:szCs w:val="26"/>
          <w:lang w:eastAsia="es-MX"/>
        </w:rPr>
      </w:pPr>
    </w:p>
    <w:p w14:paraId="5257617F" w14:textId="77777777" w:rsidR="00770C4A" w:rsidRPr="00704439" w:rsidRDefault="00770C4A" w:rsidP="00770C4A">
      <w:pPr>
        <w:spacing w:after="0" w:line="240" w:lineRule="auto"/>
        <w:jc w:val="both"/>
        <w:rPr>
          <w:noProof/>
          <w:sz w:val="26"/>
          <w:szCs w:val="26"/>
          <w:lang w:eastAsia="es-MX"/>
        </w:rPr>
      </w:pPr>
    </w:p>
    <w:p w14:paraId="50963B47" w14:textId="77777777" w:rsidR="00472FF8" w:rsidRDefault="00704439" w:rsidP="00025EF9">
      <w:pPr>
        <w:spacing w:after="0" w:line="240" w:lineRule="auto"/>
        <w:jc w:val="both"/>
        <w:rPr>
          <w:noProof/>
          <w:sz w:val="26"/>
          <w:szCs w:val="26"/>
          <w:lang w:eastAsia="es-MX"/>
        </w:rPr>
      </w:pPr>
      <w:r w:rsidRPr="00704439">
        <w:rPr>
          <w:noProof/>
          <w:sz w:val="26"/>
          <w:szCs w:val="26"/>
          <w:lang w:eastAsia="es-MX"/>
        </w:rPr>
        <w:t xml:space="preserve">Con base en </w:t>
      </w:r>
      <w:r w:rsidR="00E91F04">
        <w:rPr>
          <w:noProof/>
          <w:sz w:val="26"/>
          <w:szCs w:val="26"/>
          <w:lang w:eastAsia="es-MX"/>
        </w:rPr>
        <w:t>los datos anteriores se diseño la siguiente gráfica que muestra</w:t>
      </w:r>
      <w:r w:rsidR="00DE001A">
        <w:rPr>
          <w:noProof/>
          <w:sz w:val="26"/>
          <w:szCs w:val="26"/>
          <w:lang w:eastAsia="es-MX"/>
        </w:rPr>
        <w:t>,</w:t>
      </w:r>
      <w:r w:rsidR="00E91F04">
        <w:rPr>
          <w:noProof/>
          <w:sz w:val="26"/>
          <w:szCs w:val="26"/>
          <w:lang w:eastAsia="es-MX"/>
        </w:rPr>
        <w:t xml:space="preserve"> </w:t>
      </w:r>
      <w:r w:rsidR="00731DB7">
        <w:rPr>
          <w:noProof/>
          <w:sz w:val="26"/>
          <w:szCs w:val="26"/>
          <w:lang w:eastAsia="es-MX"/>
        </w:rPr>
        <w:t>en forma de barras desc</w:t>
      </w:r>
      <w:r w:rsidR="005619EC">
        <w:rPr>
          <w:noProof/>
          <w:sz w:val="26"/>
          <w:szCs w:val="26"/>
          <w:lang w:eastAsia="es-MX"/>
        </w:rPr>
        <w:t>r</w:t>
      </w:r>
      <w:r w:rsidR="00731DB7">
        <w:rPr>
          <w:noProof/>
          <w:sz w:val="26"/>
          <w:szCs w:val="26"/>
          <w:lang w:eastAsia="es-MX"/>
        </w:rPr>
        <w:t>iptivas</w:t>
      </w:r>
      <w:r w:rsidR="00DE001A">
        <w:rPr>
          <w:noProof/>
          <w:sz w:val="26"/>
          <w:szCs w:val="26"/>
          <w:lang w:eastAsia="es-MX"/>
        </w:rPr>
        <w:t>,</w:t>
      </w:r>
      <w:r w:rsidR="00731DB7">
        <w:rPr>
          <w:noProof/>
          <w:sz w:val="26"/>
          <w:szCs w:val="26"/>
          <w:lang w:eastAsia="es-MX"/>
        </w:rPr>
        <w:t xml:space="preserve"> </w:t>
      </w:r>
      <w:r w:rsidR="00C91545">
        <w:rPr>
          <w:noProof/>
          <w:sz w:val="26"/>
          <w:szCs w:val="26"/>
          <w:lang w:eastAsia="es-MX"/>
        </w:rPr>
        <w:t xml:space="preserve">el porcentaje promedio de avance </w:t>
      </w:r>
      <w:r w:rsidR="0060131B">
        <w:rPr>
          <w:noProof/>
          <w:sz w:val="26"/>
          <w:szCs w:val="26"/>
          <w:lang w:eastAsia="es-MX"/>
        </w:rPr>
        <w:t xml:space="preserve">de las metas de cada UR, así como su número total de metas y el número de metas </w:t>
      </w:r>
      <w:r w:rsidR="000562BB">
        <w:rPr>
          <w:noProof/>
          <w:sz w:val="26"/>
          <w:szCs w:val="26"/>
          <w:lang w:eastAsia="es-MX"/>
        </w:rPr>
        <w:t>para las cuales se proporcionaron</w:t>
      </w:r>
      <w:r w:rsidR="0060131B">
        <w:rPr>
          <w:noProof/>
          <w:sz w:val="26"/>
          <w:szCs w:val="26"/>
          <w:lang w:eastAsia="es-MX"/>
        </w:rPr>
        <w:t xml:space="preserve"> datos de </w:t>
      </w:r>
      <w:r w:rsidR="000562BB">
        <w:rPr>
          <w:noProof/>
          <w:sz w:val="26"/>
          <w:szCs w:val="26"/>
          <w:lang w:eastAsia="es-MX"/>
        </w:rPr>
        <w:t xml:space="preserve">su </w:t>
      </w:r>
      <w:r w:rsidR="0060131B">
        <w:rPr>
          <w:noProof/>
          <w:sz w:val="26"/>
          <w:szCs w:val="26"/>
          <w:lang w:eastAsia="es-MX"/>
        </w:rPr>
        <w:t>avance.</w:t>
      </w:r>
    </w:p>
    <w:p w14:paraId="2E6CE537" w14:textId="77777777" w:rsidR="0060131B" w:rsidRDefault="0060131B" w:rsidP="00025EF9">
      <w:pPr>
        <w:spacing w:after="0" w:line="240" w:lineRule="auto"/>
        <w:jc w:val="both"/>
        <w:rPr>
          <w:noProof/>
          <w:sz w:val="26"/>
          <w:szCs w:val="26"/>
          <w:lang w:eastAsia="es-MX"/>
        </w:rPr>
      </w:pPr>
    </w:p>
    <w:p w14:paraId="22A24154" w14:textId="77777777" w:rsidR="0060131B" w:rsidRPr="00704439" w:rsidRDefault="0060131B" w:rsidP="00025EF9">
      <w:pPr>
        <w:spacing w:after="0" w:line="240" w:lineRule="auto"/>
        <w:jc w:val="both"/>
        <w:rPr>
          <w:noProof/>
          <w:sz w:val="26"/>
          <w:szCs w:val="26"/>
          <w:lang w:eastAsia="es-MX"/>
        </w:rPr>
      </w:pPr>
    </w:p>
    <w:p w14:paraId="45B0FEE5" w14:textId="0A56086F" w:rsidR="00472FF8" w:rsidRDefault="003D43BF" w:rsidP="000951C3">
      <w:pPr>
        <w:spacing w:after="0" w:line="240" w:lineRule="auto"/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DCA3093" wp14:editId="2E5140B4">
            <wp:extent cx="6159398" cy="3061970"/>
            <wp:effectExtent l="0" t="0" r="0" b="5080"/>
            <wp:docPr id="6236091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31" cy="307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F66B1" w14:textId="77777777" w:rsidR="00472FF8" w:rsidRDefault="00472FF8" w:rsidP="00DF6FEE">
      <w:pPr>
        <w:spacing w:after="0" w:line="240" w:lineRule="auto"/>
        <w:jc w:val="both"/>
        <w:rPr>
          <w:sz w:val="26"/>
          <w:szCs w:val="26"/>
        </w:rPr>
      </w:pPr>
    </w:p>
    <w:p w14:paraId="5F83636C" w14:textId="74BEA925" w:rsidR="00DF6FEE" w:rsidRDefault="00DF6FEE" w:rsidP="00DF6FEE">
      <w:pPr>
        <w:spacing w:after="0" w:line="240" w:lineRule="auto"/>
        <w:jc w:val="both"/>
        <w:rPr>
          <w:sz w:val="26"/>
          <w:szCs w:val="26"/>
        </w:rPr>
      </w:pPr>
      <w:r w:rsidRPr="00885EC0">
        <w:rPr>
          <w:sz w:val="26"/>
          <w:szCs w:val="26"/>
        </w:rPr>
        <w:t xml:space="preserve">De la tabla anterior observamos que el </w:t>
      </w:r>
      <w:r w:rsidR="002640C8" w:rsidRPr="00885EC0">
        <w:rPr>
          <w:sz w:val="26"/>
          <w:szCs w:val="26"/>
        </w:rPr>
        <w:t xml:space="preserve">Plantel Centro Histórico, </w:t>
      </w:r>
      <w:r w:rsidR="00C00D4F" w:rsidRPr="00885EC0">
        <w:rPr>
          <w:sz w:val="26"/>
          <w:szCs w:val="26"/>
        </w:rPr>
        <w:t xml:space="preserve">el Plantel San Lorenzo Tezonco, </w:t>
      </w:r>
      <w:r w:rsidR="002640C8" w:rsidRPr="00885EC0">
        <w:rPr>
          <w:sz w:val="26"/>
          <w:szCs w:val="26"/>
        </w:rPr>
        <w:t>la Coordinación de Planeación y</w:t>
      </w:r>
      <w:r w:rsidRPr="00885EC0">
        <w:rPr>
          <w:sz w:val="26"/>
          <w:szCs w:val="26"/>
        </w:rPr>
        <w:t xml:space="preserve"> </w:t>
      </w:r>
      <w:r w:rsidR="00C00D4F" w:rsidRPr="00885EC0">
        <w:rPr>
          <w:sz w:val="26"/>
          <w:szCs w:val="26"/>
        </w:rPr>
        <w:t xml:space="preserve">el Consejo Universitario </w:t>
      </w:r>
      <w:r w:rsidR="00B721FA" w:rsidRPr="00885EC0">
        <w:rPr>
          <w:sz w:val="26"/>
          <w:szCs w:val="26"/>
        </w:rPr>
        <w:t>tuvieron</w:t>
      </w:r>
      <w:r w:rsidRPr="00885EC0">
        <w:rPr>
          <w:sz w:val="26"/>
          <w:szCs w:val="26"/>
        </w:rPr>
        <w:t xml:space="preserve"> porcentajes promedio de avance</w:t>
      </w:r>
      <w:r w:rsidR="00147A00" w:rsidRPr="00885EC0">
        <w:rPr>
          <w:sz w:val="26"/>
          <w:szCs w:val="26"/>
        </w:rPr>
        <w:t xml:space="preserve"> de metas</w:t>
      </w:r>
      <w:r w:rsidRPr="00885EC0">
        <w:rPr>
          <w:sz w:val="26"/>
          <w:szCs w:val="26"/>
        </w:rPr>
        <w:t xml:space="preserve"> meno</w:t>
      </w:r>
      <w:r w:rsidR="00E42AFF" w:rsidRPr="00885EC0">
        <w:rPr>
          <w:sz w:val="26"/>
          <w:szCs w:val="26"/>
        </w:rPr>
        <w:t>r</w:t>
      </w:r>
      <w:r w:rsidRPr="00885EC0">
        <w:rPr>
          <w:sz w:val="26"/>
          <w:szCs w:val="26"/>
        </w:rPr>
        <w:t xml:space="preserve"> al </w:t>
      </w:r>
      <w:r w:rsidR="00C00D4F" w:rsidRPr="00885EC0">
        <w:rPr>
          <w:sz w:val="26"/>
          <w:szCs w:val="26"/>
        </w:rPr>
        <w:t>75</w:t>
      </w:r>
      <w:r w:rsidRPr="00885EC0">
        <w:rPr>
          <w:sz w:val="26"/>
          <w:szCs w:val="26"/>
        </w:rPr>
        <w:t>%</w:t>
      </w:r>
      <w:r w:rsidR="00B721FA" w:rsidRPr="00885EC0">
        <w:rPr>
          <w:sz w:val="26"/>
          <w:szCs w:val="26"/>
        </w:rPr>
        <w:t xml:space="preserve"> en el 202</w:t>
      </w:r>
      <w:r w:rsidR="00E56F0F" w:rsidRPr="00885EC0">
        <w:rPr>
          <w:sz w:val="26"/>
          <w:szCs w:val="26"/>
        </w:rPr>
        <w:t>3</w:t>
      </w:r>
      <w:r w:rsidR="00761DA2" w:rsidRPr="00885EC0">
        <w:rPr>
          <w:sz w:val="26"/>
          <w:szCs w:val="26"/>
        </w:rPr>
        <w:t xml:space="preserve">, teniendo </w:t>
      </w:r>
      <w:r w:rsidR="002343B4" w:rsidRPr="00885EC0">
        <w:rPr>
          <w:sz w:val="26"/>
          <w:szCs w:val="26"/>
        </w:rPr>
        <w:t xml:space="preserve">el </w:t>
      </w:r>
      <w:r w:rsidR="00C00D4F" w:rsidRPr="00885EC0">
        <w:rPr>
          <w:sz w:val="26"/>
          <w:szCs w:val="26"/>
        </w:rPr>
        <w:t>este último</w:t>
      </w:r>
      <w:r w:rsidR="002343B4" w:rsidRPr="00885EC0">
        <w:rPr>
          <w:sz w:val="26"/>
          <w:szCs w:val="26"/>
        </w:rPr>
        <w:t xml:space="preserve"> </w:t>
      </w:r>
      <w:r w:rsidR="00761DA2" w:rsidRPr="00885EC0">
        <w:rPr>
          <w:sz w:val="26"/>
          <w:szCs w:val="26"/>
        </w:rPr>
        <w:t>el porcentaje más bajo (</w:t>
      </w:r>
      <w:r w:rsidR="002343B4" w:rsidRPr="00885EC0">
        <w:rPr>
          <w:sz w:val="26"/>
          <w:szCs w:val="26"/>
        </w:rPr>
        <w:t>2</w:t>
      </w:r>
      <w:r w:rsidR="008A6475" w:rsidRPr="00885EC0">
        <w:rPr>
          <w:sz w:val="26"/>
          <w:szCs w:val="26"/>
        </w:rPr>
        <w:t>2.5</w:t>
      </w:r>
      <w:r w:rsidR="00761DA2" w:rsidRPr="00885EC0">
        <w:rPr>
          <w:sz w:val="26"/>
          <w:szCs w:val="26"/>
        </w:rPr>
        <w:t>%)</w:t>
      </w:r>
      <w:r w:rsidRPr="00885EC0">
        <w:rPr>
          <w:sz w:val="26"/>
          <w:szCs w:val="26"/>
        </w:rPr>
        <w:t>.</w:t>
      </w:r>
    </w:p>
    <w:p w14:paraId="4E8A1F3E" w14:textId="77777777" w:rsidR="002A67D0" w:rsidRDefault="002A67D0" w:rsidP="00DF6FEE">
      <w:pPr>
        <w:spacing w:after="0" w:line="240" w:lineRule="auto"/>
        <w:jc w:val="both"/>
        <w:rPr>
          <w:sz w:val="26"/>
          <w:szCs w:val="26"/>
        </w:rPr>
      </w:pPr>
    </w:p>
    <w:p w14:paraId="636E4E28" w14:textId="77777777" w:rsidR="004D0562" w:rsidRDefault="004D0562" w:rsidP="00DF6FEE">
      <w:pPr>
        <w:spacing w:after="0" w:line="240" w:lineRule="auto"/>
        <w:jc w:val="both"/>
        <w:rPr>
          <w:sz w:val="26"/>
          <w:szCs w:val="26"/>
        </w:rPr>
      </w:pPr>
    </w:p>
    <w:p w14:paraId="23DD74C7" w14:textId="77777777" w:rsidR="00D2555C" w:rsidRDefault="002A67D0" w:rsidP="00F2652A">
      <w:pPr>
        <w:spacing w:after="0" w:line="240" w:lineRule="auto"/>
        <w:rPr>
          <w:b/>
          <w:i/>
          <w:sz w:val="26"/>
          <w:szCs w:val="26"/>
        </w:rPr>
      </w:pPr>
      <w:r w:rsidRPr="0027357B">
        <w:rPr>
          <w:b/>
          <w:i/>
          <w:sz w:val="26"/>
          <w:szCs w:val="26"/>
        </w:rPr>
        <w:t>Tipos de Riesgo</w:t>
      </w:r>
    </w:p>
    <w:p w14:paraId="01D5B550" w14:textId="77777777" w:rsidR="00AC750A" w:rsidRPr="00AC750A" w:rsidRDefault="00AC750A" w:rsidP="00F2652A">
      <w:pPr>
        <w:spacing w:after="0" w:line="240" w:lineRule="auto"/>
        <w:rPr>
          <w:sz w:val="26"/>
          <w:szCs w:val="26"/>
        </w:rPr>
      </w:pPr>
    </w:p>
    <w:p w14:paraId="7E996852" w14:textId="77777777" w:rsidR="00AC750A" w:rsidRDefault="00C83638" w:rsidP="00766D3A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Adicionalmente a la valoración</w:t>
      </w:r>
      <w:r w:rsidR="00BA45A7">
        <w:rPr>
          <w:sz w:val="26"/>
          <w:szCs w:val="26"/>
        </w:rPr>
        <w:t xml:space="preserve"> del riesgo</w:t>
      </w:r>
      <w:r w:rsidR="00F92AB9">
        <w:rPr>
          <w:sz w:val="26"/>
          <w:szCs w:val="26"/>
        </w:rPr>
        <w:t>,</w:t>
      </w:r>
      <w:r w:rsidR="00BA45A7">
        <w:rPr>
          <w:sz w:val="26"/>
          <w:szCs w:val="26"/>
        </w:rPr>
        <w:t xml:space="preserve"> en cuatro categorías graduadas</w:t>
      </w:r>
      <w:r w:rsidR="00F92AB9">
        <w:rPr>
          <w:sz w:val="26"/>
          <w:szCs w:val="26"/>
        </w:rPr>
        <w:t>,</w:t>
      </w:r>
      <w:r w:rsidR="00BA45A7">
        <w:rPr>
          <w:sz w:val="26"/>
          <w:szCs w:val="26"/>
        </w:rPr>
        <w:t xml:space="preserve"> que</w:t>
      </w:r>
      <w:r w:rsidR="00F92AB9">
        <w:rPr>
          <w:sz w:val="26"/>
          <w:szCs w:val="26"/>
        </w:rPr>
        <w:t xml:space="preserve"> las UR</w:t>
      </w:r>
      <w:r w:rsidR="00BA45A7">
        <w:rPr>
          <w:sz w:val="26"/>
          <w:szCs w:val="26"/>
        </w:rPr>
        <w:t xml:space="preserve"> hicieron de sus metas</w:t>
      </w:r>
      <w:r w:rsidR="000C1385">
        <w:rPr>
          <w:sz w:val="26"/>
          <w:szCs w:val="26"/>
        </w:rPr>
        <w:t xml:space="preserve">, </w:t>
      </w:r>
      <w:r w:rsidR="00766D3A">
        <w:rPr>
          <w:sz w:val="26"/>
          <w:szCs w:val="26"/>
        </w:rPr>
        <w:t>se les pidió también que les asignaran</w:t>
      </w:r>
      <w:r w:rsidR="00F92AB9">
        <w:rPr>
          <w:sz w:val="26"/>
          <w:szCs w:val="26"/>
        </w:rPr>
        <w:t xml:space="preserve"> el tipo de riesgo</w:t>
      </w:r>
      <w:r w:rsidR="00766D3A">
        <w:rPr>
          <w:sz w:val="26"/>
          <w:szCs w:val="26"/>
        </w:rPr>
        <w:t xml:space="preserve"> </w:t>
      </w:r>
      <w:r w:rsidR="00F92AB9">
        <w:rPr>
          <w:sz w:val="26"/>
          <w:szCs w:val="26"/>
        </w:rPr>
        <w:t>al que pertenecían</w:t>
      </w:r>
      <w:r w:rsidR="00677DF7">
        <w:rPr>
          <w:sz w:val="26"/>
          <w:szCs w:val="26"/>
        </w:rPr>
        <w:t>,</w:t>
      </w:r>
      <w:r w:rsidR="00F92AB9">
        <w:rPr>
          <w:sz w:val="26"/>
          <w:szCs w:val="26"/>
        </w:rPr>
        <w:t xml:space="preserve"> de acuerdo una clasificación establecida</w:t>
      </w:r>
      <w:r w:rsidR="00776366">
        <w:rPr>
          <w:sz w:val="26"/>
          <w:szCs w:val="26"/>
        </w:rPr>
        <w:t>:</w:t>
      </w:r>
    </w:p>
    <w:p w14:paraId="5E43FCB6" w14:textId="77777777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Académico</w:t>
      </w:r>
    </w:p>
    <w:p w14:paraId="7142CAAD" w14:textId="77777777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Administrativo</w:t>
      </w:r>
    </w:p>
    <w:p w14:paraId="2A6632A7" w14:textId="77777777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Capacitación</w:t>
      </w:r>
    </w:p>
    <w:p w14:paraId="69D75615" w14:textId="4C9DF4F1" w:rsidR="001930E7" w:rsidRDefault="001930E7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>
        <w:rPr>
          <w:rFonts w:eastAsia="Times New Roman" w:cstheme="minorHAnsi"/>
          <w:color w:val="000000"/>
          <w:sz w:val="26"/>
          <w:szCs w:val="26"/>
          <w:lang w:eastAsia="es-MX"/>
        </w:rPr>
        <w:t>Estructura organizacional</w:t>
      </w:r>
    </w:p>
    <w:p w14:paraId="2DB20869" w14:textId="589511C3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Falta de personal</w:t>
      </w:r>
    </w:p>
    <w:p w14:paraId="112B4357" w14:textId="25A6AB7F" w:rsidR="001930E7" w:rsidRPr="001930E7" w:rsidRDefault="001930E7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val="pt-BR" w:eastAsia="es-MX"/>
        </w:rPr>
      </w:pPr>
      <w:r w:rsidRPr="001930E7">
        <w:rPr>
          <w:rFonts w:eastAsia="Times New Roman" w:cstheme="minorHAnsi"/>
          <w:color w:val="000000"/>
          <w:sz w:val="26"/>
          <w:szCs w:val="26"/>
          <w:lang w:val="pt-BR" w:eastAsia="es-MX"/>
        </w:rPr>
        <w:t>Falta o insuficiencia de ti</w:t>
      </w:r>
      <w:r>
        <w:rPr>
          <w:rFonts w:eastAsia="Times New Roman" w:cstheme="minorHAnsi"/>
          <w:color w:val="000000"/>
          <w:sz w:val="26"/>
          <w:szCs w:val="26"/>
          <w:lang w:val="pt-BR" w:eastAsia="es-MX"/>
        </w:rPr>
        <w:t>empo</w:t>
      </w:r>
    </w:p>
    <w:p w14:paraId="79AB3201" w14:textId="77777777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Infraestructura</w:t>
      </w:r>
    </w:p>
    <w:p w14:paraId="37AA3A76" w14:textId="77777777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Normatividad</w:t>
      </w:r>
    </w:p>
    <w:p w14:paraId="61F4EC3E" w14:textId="58619937" w:rsidR="001930E7" w:rsidRDefault="001930E7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>
        <w:rPr>
          <w:rFonts w:eastAsia="Times New Roman" w:cstheme="minorHAnsi"/>
          <w:color w:val="000000"/>
          <w:sz w:val="26"/>
          <w:szCs w:val="26"/>
          <w:lang w:eastAsia="es-MX"/>
        </w:rPr>
        <w:t>Procedimientos administrativos</w:t>
      </w:r>
    </w:p>
    <w:p w14:paraId="2D4BA0A9" w14:textId="2E76C86E" w:rsidR="001930E7" w:rsidRDefault="001930E7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>
        <w:rPr>
          <w:rFonts w:eastAsia="Times New Roman" w:cstheme="minorHAnsi"/>
          <w:color w:val="000000"/>
          <w:sz w:val="26"/>
          <w:szCs w:val="26"/>
          <w:lang w:eastAsia="es-MX"/>
        </w:rPr>
        <w:t>Recursos financieros</w:t>
      </w:r>
    </w:p>
    <w:p w14:paraId="1891A280" w14:textId="060DFECF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Recursos informáticos</w:t>
      </w:r>
    </w:p>
    <w:p w14:paraId="2613D5FA" w14:textId="77777777" w:rsidR="00FD2CDF" w:rsidRPr="00DD2D13" w:rsidRDefault="00FD2CDF" w:rsidP="00677DF7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s-MX"/>
        </w:rPr>
      </w:pPr>
      <w:r w:rsidRPr="00DD2D13">
        <w:rPr>
          <w:rFonts w:eastAsia="Times New Roman" w:cstheme="minorHAnsi"/>
          <w:color w:val="000000"/>
          <w:sz w:val="26"/>
          <w:szCs w:val="26"/>
          <w:lang w:eastAsia="es-MX"/>
        </w:rPr>
        <w:t>Recursos materiales</w:t>
      </w:r>
    </w:p>
    <w:p w14:paraId="6204AA9D" w14:textId="77777777" w:rsidR="00FD2CDF" w:rsidRPr="00AC02B2" w:rsidRDefault="00FD2CDF" w:rsidP="00196D9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6"/>
          <w:szCs w:val="26"/>
        </w:rPr>
      </w:pPr>
      <w:r w:rsidRPr="0071426E">
        <w:rPr>
          <w:rFonts w:eastAsia="Times New Roman" w:cstheme="minorHAnsi"/>
          <w:color w:val="000000"/>
          <w:sz w:val="26"/>
          <w:szCs w:val="26"/>
          <w:lang w:eastAsia="es-MX"/>
        </w:rPr>
        <w:t>Otro</w:t>
      </w:r>
    </w:p>
    <w:p w14:paraId="68123E39" w14:textId="77777777" w:rsidR="00AC02B2" w:rsidRPr="00AC02B2" w:rsidRDefault="00AC02B2" w:rsidP="00AC02B2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1EE9EDD8" w14:textId="77777777" w:rsidR="00AC750A" w:rsidRPr="00DD2D13" w:rsidRDefault="0090745A" w:rsidP="008D0675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La tabla siguiente </w:t>
      </w:r>
      <w:r w:rsidR="001A2846">
        <w:rPr>
          <w:rFonts w:cstheme="minorHAnsi"/>
          <w:sz w:val="26"/>
          <w:szCs w:val="26"/>
        </w:rPr>
        <w:t xml:space="preserve">muestra </w:t>
      </w:r>
      <w:r w:rsidR="001A2846" w:rsidRPr="0027357B">
        <w:rPr>
          <w:sz w:val="26"/>
          <w:szCs w:val="26"/>
        </w:rPr>
        <w:t xml:space="preserve">la distribución porcentual del total de los riesgos </w:t>
      </w:r>
      <w:r w:rsidR="00475462">
        <w:rPr>
          <w:sz w:val="26"/>
          <w:szCs w:val="26"/>
        </w:rPr>
        <w:t xml:space="preserve">(100%) </w:t>
      </w:r>
      <w:r w:rsidR="001A2846" w:rsidRPr="0027357B">
        <w:rPr>
          <w:sz w:val="26"/>
          <w:szCs w:val="26"/>
        </w:rPr>
        <w:t xml:space="preserve">que enfrentan </w:t>
      </w:r>
      <w:r w:rsidR="00475462">
        <w:rPr>
          <w:sz w:val="26"/>
          <w:szCs w:val="26"/>
        </w:rPr>
        <w:t>las UR</w:t>
      </w:r>
      <w:r w:rsidR="001A2846" w:rsidRPr="0027357B">
        <w:rPr>
          <w:sz w:val="26"/>
          <w:szCs w:val="26"/>
        </w:rPr>
        <w:t xml:space="preserve">, según el </w:t>
      </w:r>
      <w:r w:rsidR="001A2846">
        <w:rPr>
          <w:sz w:val="26"/>
          <w:szCs w:val="26"/>
        </w:rPr>
        <w:t>tipo</w:t>
      </w:r>
      <w:r w:rsidR="00836274">
        <w:rPr>
          <w:sz w:val="26"/>
          <w:szCs w:val="26"/>
        </w:rPr>
        <w:t xml:space="preserve"> de riesgo</w:t>
      </w:r>
      <w:r w:rsidR="001A2846">
        <w:rPr>
          <w:sz w:val="26"/>
          <w:szCs w:val="26"/>
        </w:rPr>
        <w:t xml:space="preserve">, de acuerdo </w:t>
      </w:r>
      <w:r w:rsidR="00FD3757">
        <w:rPr>
          <w:sz w:val="26"/>
          <w:szCs w:val="26"/>
        </w:rPr>
        <w:t>con</w:t>
      </w:r>
      <w:r w:rsidR="001A2846">
        <w:rPr>
          <w:sz w:val="26"/>
          <w:szCs w:val="26"/>
        </w:rPr>
        <w:t xml:space="preserve"> la lista anterior.</w:t>
      </w:r>
    </w:p>
    <w:p w14:paraId="0F5648D8" w14:textId="534899D6" w:rsidR="00E47FFB" w:rsidRDefault="00E47FFB" w:rsidP="00F2652A">
      <w:pPr>
        <w:spacing w:after="0" w:line="240" w:lineRule="auto"/>
        <w:rPr>
          <w:noProof/>
          <w:lang w:eastAsia="es-MX"/>
        </w:rPr>
      </w:pPr>
    </w:p>
    <w:p w14:paraId="49402651" w14:textId="221CBEE8" w:rsidR="00803E40" w:rsidRDefault="00284A27" w:rsidP="00803E40">
      <w:pPr>
        <w:spacing w:after="0" w:line="240" w:lineRule="auto"/>
        <w:jc w:val="center"/>
        <w:rPr>
          <w:sz w:val="26"/>
          <w:szCs w:val="26"/>
        </w:rPr>
      </w:pPr>
      <w:r w:rsidRPr="00284A27">
        <w:rPr>
          <w:noProof/>
          <w:lang w:eastAsia="es-MX"/>
        </w:rPr>
        <w:drawing>
          <wp:inline distT="0" distB="0" distL="0" distR="0" wp14:anchorId="6B2B8B6C" wp14:editId="7438C79C">
            <wp:extent cx="6188710" cy="3178810"/>
            <wp:effectExtent l="0" t="0" r="2540" b="2540"/>
            <wp:docPr id="17701934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43FB" w14:textId="77777777" w:rsidR="00E47FFB" w:rsidRDefault="00E47FFB" w:rsidP="00F2652A">
      <w:pPr>
        <w:spacing w:after="0" w:line="240" w:lineRule="auto"/>
        <w:rPr>
          <w:sz w:val="26"/>
          <w:szCs w:val="26"/>
        </w:rPr>
      </w:pPr>
    </w:p>
    <w:p w14:paraId="227DF942" w14:textId="1FD5C52B" w:rsidR="00DB5144" w:rsidRDefault="003728E6" w:rsidP="001947DD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DB5144">
        <w:rPr>
          <w:sz w:val="26"/>
          <w:szCs w:val="26"/>
        </w:rPr>
        <w:t>nterpreta</w:t>
      </w:r>
      <w:r>
        <w:rPr>
          <w:sz w:val="26"/>
          <w:szCs w:val="26"/>
        </w:rPr>
        <w:t>ndo</w:t>
      </w:r>
      <w:r w:rsidR="00DB5144">
        <w:rPr>
          <w:sz w:val="26"/>
          <w:szCs w:val="26"/>
        </w:rPr>
        <w:t xml:space="preserve"> los valores de la tabla anterior</w:t>
      </w:r>
      <w:r>
        <w:rPr>
          <w:sz w:val="26"/>
          <w:szCs w:val="26"/>
        </w:rPr>
        <w:t xml:space="preserve"> podemos apreciar</w:t>
      </w:r>
      <w:r w:rsidR="00DB5144">
        <w:rPr>
          <w:sz w:val="26"/>
          <w:szCs w:val="26"/>
        </w:rPr>
        <w:t xml:space="preserve"> que, por ejemplo, del total de riesgos que enfrenta la Coordinación Académica para el logro de sus metas el </w:t>
      </w:r>
      <w:r w:rsidR="00457003">
        <w:rPr>
          <w:sz w:val="26"/>
          <w:szCs w:val="26"/>
        </w:rPr>
        <w:t xml:space="preserve">15.4% es de tipo académico, porcentaje igual al que se refiere a recursos financieros; el </w:t>
      </w:r>
      <w:r w:rsidR="00DB5144">
        <w:rPr>
          <w:sz w:val="26"/>
          <w:szCs w:val="26"/>
        </w:rPr>
        <w:t>3.</w:t>
      </w:r>
      <w:r w:rsidR="00D366B0">
        <w:rPr>
          <w:sz w:val="26"/>
          <w:szCs w:val="26"/>
        </w:rPr>
        <w:t>8</w:t>
      </w:r>
      <w:r w:rsidR="00DB5144">
        <w:rPr>
          <w:sz w:val="26"/>
          <w:szCs w:val="26"/>
        </w:rPr>
        <w:t>% es de tipo administrativo</w:t>
      </w:r>
      <w:r w:rsidR="00CE6ECF">
        <w:rPr>
          <w:sz w:val="26"/>
          <w:szCs w:val="26"/>
        </w:rPr>
        <w:t xml:space="preserve"> lo mismo que los del tipo de procedimientos administrativos;</w:t>
      </w:r>
      <w:r w:rsidR="00DB5144">
        <w:rPr>
          <w:sz w:val="26"/>
          <w:szCs w:val="26"/>
        </w:rPr>
        <w:t xml:space="preserve"> el 2</w:t>
      </w:r>
      <w:r w:rsidR="00D366B0">
        <w:rPr>
          <w:sz w:val="26"/>
          <w:szCs w:val="26"/>
        </w:rPr>
        <w:t>6</w:t>
      </w:r>
      <w:r w:rsidR="00DB5144">
        <w:rPr>
          <w:sz w:val="26"/>
          <w:szCs w:val="26"/>
        </w:rPr>
        <w:t>.</w:t>
      </w:r>
      <w:r w:rsidR="00D366B0">
        <w:rPr>
          <w:sz w:val="26"/>
          <w:szCs w:val="26"/>
        </w:rPr>
        <w:t>9</w:t>
      </w:r>
      <w:r w:rsidR="00DB5144">
        <w:rPr>
          <w:sz w:val="26"/>
          <w:szCs w:val="26"/>
        </w:rPr>
        <w:t>% es por falta de personal</w:t>
      </w:r>
      <w:r w:rsidR="00536529">
        <w:rPr>
          <w:sz w:val="26"/>
          <w:szCs w:val="26"/>
        </w:rPr>
        <w:t>; el 7.7% es por infraestructura al igual que por normatividad;</w:t>
      </w:r>
      <w:r w:rsidR="00CE6ECF">
        <w:rPr>
          <w:sz w:val="26"/>
          <w:szCs w:val="26"/>
        </w:rPr>
        <w:t xml:space="preserve"> </w:t>
      </w:r>
      <w:r w:rsidR="00DB5144">
        <w:rPr>
          <w:sz w:val="26"/>
          <w:szCs w:val="26"/>
        </w:rPr>
        <w:t>el 1</w:t>
      </w:r>
      <w:r w:rsidR="00CE6ECF">
        <w:rPr>
          <w:sz w:val="26"/>
          <w:szCs w:val="26"/>
        </w:rPr>
        <w:t>1</w:t>
      </w:r>
      <w:r w:rsidR="00DB5144">
        <w:rPr>
          <w:sz w:val="26"/>
          <w:szCs w:val="26"/>
        </w:rPr>
        <w:t>.</w:t>
      </w:r>
      <w:r w:rsidR="00CE6ECF">
        <w:rPr>
          <w:sz w:val="26"/>
          <w:szCs w:val="26"/>
        </w:rPr>
        <w:t>5</w:t>
      </w:r>
      <w:r w:rsidR="00DB5144">
        <w:rPr>
          <w:sz w:val="26"/>
          <w:szCs w:val="26"/>
        </w:rPr>
        <w:t xml:space="preserve">% es </w:t>
      </w:r>
      <w:r w:rsidR="00120CB0">
        <w:rPr>
          <w:sz w:val="26"/>
          <w:szCs w:val="26"/>
        </w:rPr>
        <w:t>debido a</w:t>
      </w:r>
      <w:r w:rsidR="00DB5144">
        <w:rPr>
          <w:sz w:val="26"/>
          <w:szCs w:val="26"/>
        </w:rPr>
        <w:t xml:space="preserve"> recursos informáticos y el restante </w:t>
      </w:r>
      <w:r w:rsidR="00CE6ECF">
        <w:rPr>
          <w:sz w:val="26"/>
          <w:szCs w:val="26"/>
        </w:rPr>
        <w:t>7</w:t>
      </w:r>
      <w:r w:rsidR="00DB5144">
        <w:rPr>
          <w:sz w:val="26"/>
          <w:szCs w:val="26"/>
        </w:rPr>
        <w:t>.7</w:t>
      </w:r>
      <w:r w:rsidR="00CE6ECF">
        <w:rPr>
          <w:sz w:val="26"/>
          <w:szCs w:val="26"/>
        </w:rPr>
        <w:t>%</w:t>
      </w:r>
      <w:r w:rsidR="00DB5144">
        <w:rPr>
          <w:sz w:val="26"/>
          <w:szCs w:val="26"/>
        </w:rPr>
        <w:t xml:space="preserve"> es de otro tipo.</w:t>
      </w:r>
    </w:p>
    <w:p w14:paraId="55D0233B" w14:textId="77777777" w:rsidR="001947DD" w:rsidRDefault="001947DD" w:rsidP="001947DD">
      <w:pPr>
        <w:spacing w:after="0" w:line="240" w:lineRule="auto"/>
        <w:jc w:val="both"/>
        <w:rPr>
          <w:sz w:val="26"/>
          <w:szCs w:val="26"/>
        </w:rPr>
      </w:pPr>
    </w:p>
    <w:p w14:paraId="2CE46880" w14:textId="47BC027A" w:rsidR="001947DD" w:rsidRDefault="001947DD" w:rsidP="001947DD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Otro</w:t>
      </w:r>
      <w:r w:rsidR="00BB0A63">
        <w:rPr>
          <w:sz w:val="26"/>
          <w:szCs w:val="26"/>
        </w:rPr>
        <w:t>s</w:t>
      </w:r>
      <w:r>
        <w:rPr>
          <w:sz w:val="26"/>
          <w:szCs w:val="26"/>
        </w:rPr>
        <w:t xml:space="preserve"> ejemplo</w:t>
      </w:r>
      <w:r w:rsidR="00BB0A63">
        <w:rPr>
          <w:sz w:val="26"/>
          <w:szCs w:val="26"/>
        </w:rPr>
        <w:t>s</w:t>
      </w:r>
      <w:r w:rsidR="003728E6">
        <w:rPr>
          <w:sz w:val="26"/>
          <w:szCs w:val="26"/>
        </w:rPr>
        <w:t>,</w:t>
      </w:r>
      <w:r>
        <w:rPr>
          <w:sz w:val="26"/>
          <w:szCs w:val="26"/>
        </w:rPr>
        <w:t xml:space="preserve"> muy diferente</w:t>
      </w:r>
      <w:r w:rsidR="00BB0A63">
        <w:rPr>
          <w:sz w:val="26"/>
          <w:szCs w:val="26"/>
        </w:rPr>
        <w:t>s</w:t>
      </w:r>
      <w:r>
        <w:rPr>
          <w:sz w:val="26"/>
          <w:szCs w:val="26"/>
        </w:rPr>
        <w:t xml:space="preserve"> en su comportamiento, </w:t>
      </w:r>
      <w:r w:rsidR="00BB0A63">
        <w:rPr>
          <w:sz w:val="26"/>
          <w:szCs w:val="26"/>
        </w:rPr>
        <w:t xml:space="preserve">son los del plantel Del Valle, la Coordinación de Difusión Cultural y Extensión Universitaria y </w:t>
      </w:r>
      <w:r>
        <w:rPr>
          <w:sz w:val="26"/>
          <w:szCs w:val="26"/>
        </w:rPr>
        <w:t xml:space="preserve">la Coordinación de Informática y Telecomunicaciones cuyo total de riesgos para el cumplimiento de sus metas son </w:t>
      </w:r>
      <w:r w:rsidR="003728E6">
        <w:rPr>
          <w:sz w:val="26"/>
          <w:szCs w:val="26"/>
        </w:rPr>
        <w:t>solamente</w:t>
      </w:r>
      <w:r w:rsidR="002B109C">
        <w:rPr>
          <w:sz w:val="26"/>
          <w:szCs w:val="26"/>
        </w:rPr>
        <w:t xml:space="preserve"> </w:t>
      </w:r>
      <w:r>
        <w:rPr>
          <w:sz w:val="26"/>
          <w:szCs w:val="26"/>
        </w:rPr>
        <w:t>de tipo administrativo.</w:t>
      </w:r>
    </w:p>
    <w:p w14:paraId="5189B6B6" w14:textId="77777777" w:rsidR="00167751" w:rsidRDefault="00167751" w:rsidP="001947DD">
      <w:pPr>
        <w:spacing w:after="0" w:line="240" w:lineRule="auto"/>
        <w:jc w:val="both"/>
        <w:rPr>
          <w:sz w:val="26"/>
          <w:szCs w:val="26"/>
        </w:rPr>
      </w:pPr>
    </w:p>
    <w:p w14:paraId="731782F2" w14:textId="77777777" w:rsidR="004D0562" w:rsidRDefault="004D0562" w:rsidP="001947DD">
      <w:pPr>
        <w:spacing w:after="0" w:line="240" w:lineRule="auto"/>
        <w:jc w:val="both"/>
        <w:rPr>
          <w:sz w:val="26"/>
          <w:szCs w:val="26"/>
        </w:rPr>
      </w:pPr>
    </w:p>
    <w:p w14:paraId="2B335782" w14:textId="77777777" w:rsidR="00E47FFB" w:rsidRPr="0027357B" w:rsidRDefault="000A1035" w:rsidP="001947DD">
      <w:pPr>
        <w:spacing w:after="0" w:line="240" w:lineRule="auto"/>
        <w:jc w:val="both"/>
        <w:rPr>
          <w:b/>
          <w:i/>
          <w:sz w:val="26"/>
          <w:szCs w:val="26"/>
        </w:rPr>
      </w:pPr>
      <w:r w:rsidRPr="0027357B">
        <w:rPr>
          <w:b/>
          <w:i/>
          <w:sz w:val="26"/>
          <w:szCs w:val="26"/>
        </w:rPr>
        <w:t>Gráficas descriptivas, por UR</w:t>
      </w:r>
    </w:p>
    <w:p w14:paraId="6BB0E593" w14:textId="77777777" w:rsidR="00D2555C" w:rsidRDefault="00D2555C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7C641FF3" w14:textId="7B3A12F5" w:rsidR="001B12A1" w:rsidRPr="00724054" w:rsidRDefault="00A60A0C" w:rsidP="008565F0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fin de facilitar </w:t>
      </w:r>
      <w:r w:rsidR="00E00061">
        <w:rPr>
          <w:rFonts w:cstheme="minorHAnsi"/>
          <w:sz w:val="26"/>
          <w:szCs w:val="26"/>
        </w:rPr>
        <w:t>las</w:t>
      </w:r>
      <w:r>
        <w:rPr>
          <w:rFonts w:cstheme="minorHAnsi"/>
          <w:sz w:val="26"/>
          <w:szCs w:val="26"/>
        </w:rPr>
        <w:t xml:space="preserve"> comparaciones </w:t>
      </w:r>
      <w:r w:rsidR="00E00061">
        <w:rPr>
          <w:rFonts w:cstheme="minorHAnsi"/>
          <w:sz w:val="26"/>
          <w:szCs w:val="26"/>
        </w:rPr>
        <w:t xml:space="preserve">entre las distintas UR </w:t>
      </w:r>
      <w:r w:rsidR="00757917">
        <w:rPr>
          <w:rFonts w:cstheme="minorHAnsi"/>
          <w:sz w:val="26"/>
          <w:szCs w:val="26"/>
        </w:rPr>
        <w:t>respecto de la importancia</w:t>
      </w:r>
      <w:r>
        <w:rPr>
          <w:rFonts w:cstheme="minorHAnsi"/>
          <w:sz w:val="26"/>
          <w:szCs w:val="26"/>
        </w:rPr>
        <w:t xml:space="preserve"> </w:t>
      </w:r>
      <w:r w:rsidR="00E00061">
        <w:rPr>
          <w:rFonts w:cstheme="minorHAnsi"/>
          <w:sz w:val="26"/>
          <w:szCs w:val="26"/>
        </w:rPr>
        <w:t>d</w:t>
      </w:r>
      <w:r>
        <w:rPr>
          <w:rFonts w:cstheme="minorHAnsi"/>
          <w:sz w:val="26"/>
          <w:szCs w:val="26"/>
        </w:rPr>
        <w:t>e</w:t>
      </w:r>
      <w:r w:rsidR="0075791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l</w:t>
      </w:r>
      <w:r w:rsidR="00757917">
        <w:rPr>
          <w:rFonts w:cstheme="minorHAnsi"/>
          <w:sz w:val="26"/>
          <w:szCs w:val="26"/>
        </w:rPr>
        <w:t>os</w:t>
      </w:r>
      <w:r>
        <w:rPr>
          <w:rFonts w:cstheme="minorHAnsi"/>
          <w:sz w:val="26"/>
          <w:szCs w:val="26"/>
        </w:rPr>
        <w:t xml:space="preserve"> tipo</w:t>
      </w:r>
      <w:r w:rsidR="0017573E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de riesgo</w:t>
      </w:r>
      <w:r w:rsidR="00E00061">
        <w:rPr>
          <w:rFonts w:cstheme="minorHAnsi"/>
          <w:sz w:val="26"/>
          <w:szCs w:val="26"/>
        </w:rPr>
        <w:t xml:space="preserve"> que afrontan en el cumplimiento de sus metas </w:t>
      </w:r>
      <w:r>
        <w:rPr>
          <w:rFonts w:cstheme="minorHAnsi"/>
          <w:sz w:val="26"/>
          <w:szCs w:val="26"/>
        </w:rPr>
        <w:t xml:space="preserve">y su peso </w:t>
      </w:r>
      <w:r w:rsidR="00757917">
        <w:rPr>
          <w:rFonts w:cstheme="minorHAnsi"/>
          <w:sz w:val="26"/>
          <w:szCs w:val="26"/>
        </w:rPr>
        <w:t xml:space="preserve">relativo, </w:t>
      </w:r>
      <w:r w:rsidR="008565F0">
        <w:rPr>
          <w:rFonts w:cstheme="minorHAnsi"/>
          <w:sz w:val="26"/>
          <w:szCs w:val="26"/>
        </w:rPr>
        <w:t xml:space="preserve">se presentan </w:t>
      </w:r>
      <w:r w:rsidR="008870E7">
        <w:rPr>
          <w:rFonts w:cstheme="minorHAnsi"/>
          <w:sz w:val="26"/>
          <w:szCs w:val="26"/>
        </w:rPr>
        <w:t>a continuación</w:t>
      </w:r>
      <w:r w:rsidR="008565F0">
        <w:rPr>
          <w:rFonts w:cstheme="minorHAnsi"/>
          <w:sz w:val="26"/>
          <w:szCs w:val="26"/>
        </w:rPr>
        <w:t xml:space="preserve"> las gráficas</w:t>
      </w:r>
      <w:r w:rsidR="008467FE">
        <w:rPr>
          <w:rFonts w:cstheme="minorHAnsi"/>
          <w:sz w:val="26"/>
          <w:szCs w:val="26"/>
        </w:rPr>
        <w:t xml:space="preserve"> </w:t>
      </w:r>
      <w:r w:rsidR="00333B07">
        <w:rPr>
          <w:rFonts w:cstheme="minorHAnsi"/>
          <w:sz w:val="26"/>
          <w:szCs w:val="26"/>
        </w:rPr>
        <w:t xml:space="preserve">individuales </w:t>
      </w:r>
      <w:r w:rsidR="00A32151">
        <w:rPr>
          <w:rFonts w:cstheme="minorHAnsi"/>
          <w:sz w:val="26"/>
          <w:szCs w:val="26"/>
        </w:rPr>
        <w:t xml:space="preserve">de barras </w:t>
      </w:r>
      <w:r w:rsidR="008467FE">
        <w:rPr>
          <w:rFonts w:cstheme="minorHAnsi"/>
          <w:sz w:val="26"/>
          <w:szCs w:val="26"/>
        </w:rPr>
        <w:t xml:space="preserve">de </w:t>
      </w:r>
      <w:r w:rsidR="00A32151">
        <w:rPr>
          <w:rFonts w:cstheme="minorHAnsi"/>
          <w:sz w:val="26"/>
          <w:szCs w:val="26"/>
        </w:rPr>
        <w:t>todas</w:t>
      </w:r>
      <w:r w:rsidR="008467FE">
        <w:rPr>
          <w:rFonts w:cstheme="minorHAnsi"/>
          <w:sz w:val="26"/>
          <w:szCs w:val="26"/>
        </w:rPr>
        <w:t xml:space="preserve"> </w:t>
      </w:r>
      <w:r w:rsidR="00A32151">
        <w:rPr>
          <w:rFonts w:cstheme="minorHAnsi"/>
          <w:sz w:val="26"/>
          <w:szCs w:val="26"/>
        </w:rPr>
        <w:t xml:space="preserve">las </w:t>
      </w:r>
      <w:r w:rsidR="008467FE">
        <w:rPr>
          <w:rFonts w:cstheme="minorHAnsi"/>
          <w:sz w:val="26"/>
          <w:szCs w:val="26"/>
        </w:rPr>
        <w:t>UR</w:t>
      </w:r>
      <w:r w:rsidR="00375FA8">
        <w:rPr>
          <w:rFonts w:cstheme="minorHAnsi"/>
          <w:sz w:val="26"/>
          <w:szCs w:val="26"/>
        </w:rPr>
        <w:t>,</w:t>
      </w:r>
      <w:r w:rsidR="00333B07">
        <w:rPr>
          <w:rFonts w:cstheme="minorHAnsi"/>
          <w:sz w:val="26"/>
          <w:szCs w:val="26"/>
        </w:rPr>
        <w:t xml:space="preserve"> </w:t>
      </w:r>
      <w:r w:rsidR="000D3A55">
        <w:rPr>
          <w:rFonts w:cstheme="minorHAnsi"/>
          <w:sz w:val="26"/>
          <w:szCs w:val="26"/>
        </w:rPr>
        <w:t xml:space="preserve">donde </w:t>
      </w:r>
      <w:r w:rsidR="008A2A47">
        <w:rPr>
          <w:rFonts w:cstheme="minorHAnsi"/>
          <w:sz w:val="26"/>
          <w:szCs w:val="26"/>
        </w:rPr>
        <w:t>el eje horizontal</w:t>
      </w:r>
      <w:r w:rsidR="000D3A55">
        <w:rPr>
          <w:rFonts w:cstheme="minorHAnsi"/>
          <w:sz w:val="26"/>
          <w:szCs w:val="26"/>
        </w:rPr>
        <w:t xml:space="preserve">, correspondiente a </w:t>
      </w:r>
      <w:r w:rsidR="008870E7">
        <w:rPr>
          <w:rFonts w:cstheme="minorHAnsi"/>
          <w:sz w:val="26"/>
          <w:szCs w:val="26"/>
        </w:rPr>
        <w:t>los</w:t>
      </w:r>
      <w:r w:rsidR="00333B07">
        <w:rPr>
          <w:rFonts w:cstheme="minorHAnsi"/>
          <w:sz w:val="26"/>
          <w:szCs w:val="26"/>
        </w:rPr>
        <w:t xml:space="preserve"> tipo</w:t>
      </w:r>
      <w:r w:rsidR="008870E7">
        <w:rPr>
          <w:rFonts w:cstheme="minorHAnsi"/>
          <w:sz w:val="26"/>
          <w:szCs w:val="26"/>
        </w:rPr>
        <w:t>s</w:t>
      </w:r>
      <w:r w:rsidR="00333B07">
        <w:rPr>
          <w:rFonts w:cstheme="minorHAnsi"/>
          <w:sz w:val="26"/>
          <w:szCs w:val="26"/>
        </w:rPr>
        <w:t xml:space="preserve"> de riesgo</w:t>
      </w:r>
      <w:r w:rsidR="000D3A55">
        <w:rPr>
          <w:rFonts w:cstheme="minorHAnsi"/>
          <w:sz w:val="26"/>
          <w:szCs w:val="26"/>
        </w:rPr>
        <w:t>,</w:t>
      </w:r>
      <w:r w:rsidR="00333B07">
        <w:rPr>
          <w:rFonts w:cstheme="minorHAnsi"/>
          <w:sz w:val="26"/>
          <w:szCs w:val="26"/>
        </w:rPr>
        <w:t xml:space="preserve"> </w:t>
      </w:r>
      <w:r w:rsidR="000D3A55">
        <w:rPr>
          <w:rFonts w:cstheme="minorHAnsi"/>
          <w:sz w:val="26"/>
          <w:szCs w:val="26"/>
        </w:rPr>
        <w:t>está</w:t>
      </w:r>
      <w:r w:rsidR="00333B07">
        <w:rPr>
          <w:rFonts w:cstheme="minorHAnsi"/>
          <w:sz w:val="26"/>
          <w:szCs w:val="26"/>
        </w:rPr>
        <w:t xml:space="preserve"> en el mismo orden</w:t>
      </w:r>
      <w:r w:rsidR="000D3A55">
        <w:rPr>
          <w:rFonts w:cstheme="minorHAnsi"/>
          <w:sz w:val="26"/>
          <w:szCs w:val="26"/>
        </w:rPr>
        <w:t xml:space="preserve"> en todas las gráficas</w:t>
      </w:r>
      <w:r w:rsidR="008870E7">
        <w:rPr>
          <w:rFonts w:cstheme="minorHAnsi"/>
          <w:sz w:val="26"/>
          <w:szCs w:val="26"/>
        </w:rPr>
        <w:t>,</w:t>
      </w:r>
      <w:r w:rsidR="00333B07">
        <w:rPr>
          <w:rFonts w:cstheme="minorHAnsi"/>
          <w:sz w:val="26"/>
          <w:szCs w:val="26"/>
        </w:rPr>
        <w:t xml:space="preserve"> facilitando así la comparación entr</w:t>
      </w:r>
      <w:r w:rsidR="000D3A55">
        <w:rPr>
          <w:rFonts w:cstheme="minorHAnsi"/>
          <w:sz w:val="26"/>
          <w:szCs w:val="26"/>
        </w:rPr>
        <w:t>e</w:t>
      </w:r>
      <w:r w:rsidR="00333B07">
        <w:rPr>
          <w:rFonts w:cstheme="minorHAnsi"/>
          <w:sz w:val="26"/>
          <w:szCs w:val="26"/>
        </w:rPr>
        <w:t xml:space="preserve"> las UR. </w:t>
      </w:r>
      <w:r w:rsidR="008870E7">
        <w:rPr>
          <w:rFonts w:cstheme="minorHAnsi"/>
          <w:sz w:val="26"/>
          <w:szCs w:val="26"/>
        </w:rPr>
        <w:t>Este ordenamiento</w:t>
      </w:r>
      <w:r w:rsidR="00333B07">
        <w:rPr>
          <w:rFonts w:cstheme="minorHAnsi"/>
          <w:sz w:val="26"/>
          <w:szCs w:val="26"/>
        </w:rPr>
        <w:t xml:space="preserve"> </w:t>
      </w:r>
      <w:r w:rsidR="002F5ADE">
        <w:rPr>
          <w:rFonts w:cstheme="minorHAnsi"/>
          <w:sz w:val="26"/>
          <w:szCs w:val="26"/>
        </w:rPr>
        <w:t>corresponde al presentado en la tabla referencial anterior</w:t>
      </w:r>
      <w:r w:rsidR="008870E7">
        <w:rPr>
          <w:rFonts w:cstheme="minorHAnsi"/>
          <w:sz w:val="26"/>
          <w:szCs w:val="26"/>
        </w:rPr>
        <w:t>.</w:t>
      </w:r>
      <w:r w:rsidR="008A2A47">
        <w:rPr>
          <w:rFonts w:cstheme="minorHAnsi"/>
          <w:sz w:val="26"/>
          <w:szCs w:val="26"/>
        </w:rPr>
        <w:t xml:space="preserve"> </w:t>
      </w:r>
    </w:p>
    <w:p w14:paraId="282AAEAE" w14:textId="4ABF07C2" w:rsidR="00187765" w:rsidRDefault="00187765" w:rsidP="00187765">
      <w:pPr>
        <w:spacing w:after="0" w:line="240" w:lineRule="auto"/>
        <w:jc w:val="center"/>
        <w:rPr>
          <w:rFonts w:cstheme="minorHAnsi"/>
          <w:noProof/>
          <w:sz w:val="26"/>
          <w:szCs w:val="26"/>
          <w:lang w:eastAsia="es-MX"/>
        </w:rPr>
      </w:pPr>
    </w:p>
    <w:p w14:paraId="2594184E" w14:textId="0D06547A" w:rsidR="00332961" w:rsidRPr="00724054" w:rsidRDefault="00332961" w:rsidP="00187765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46E37AED" wp14:editId="11AAD577">
            <wp:extent cx="5340096" cy="3079699"/>
            <wp:effectExtent l="0" t="0" r="13335" b="6985"/>
            <wp:docPr id="182014809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1AC96E-FD35-4D64-9F7C-BD237DC45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7C175D" w14:textId="77777777" w:rsidR="00187765" w:rsidRPr="00724054" w:rsidRDefault="00187765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60DA302C" w14:textId="77777777" w:rsidR="003C6ABF" w:rsidRDefault="003C6ABF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1B990F92" w14:textId="4C227473" w:rsidR="00F46482" w:rsidRDefault="00F46482" w:rsidP="00F2652A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Similarmente, las gráficas </w:t>
      </w:r>
      <w:r w:rsidR="00DA437C">
        <w:rPr>
          <w:rFonts w:cstheme="minorHAnsi"/>
          <w:sz w:val="26"/>
          <w:szCs w:val="26"/>
        </w:rPr>
        <w:t xml:space="preserve">individuales </w:t>
      </w:r>
      <w:r>
        <w:rPr>
          <w:rFonts w:cstheme="minorHAnsi"/>
          <w:sz w:val="26"/>
          <w:szCs w:val="26"/>
        </w:rPr>
        <w:t>siguientes corresponden a cada uno de los renglones secuenciales de la tabla anterior.</w:t>
      </w:r>
    </w:p>
    <w:p w14:paraId="49EF51B4" w14:textId="77777777" w:rsidR="003C6ABF" w:rsidRDefault="003C6ABF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53994797" w14:textId="77777777" w:rsidR="003C6ABF" w:rsidRDefault="003C6ABF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042C29D6" w14:textId="11AD9F7C" w:rsidR="003C6ABF" w:rsidRDefault="003C6ABF" w:rsidP="003C6ABF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4CCC23CD" wp14:editId="7F2A9CB7">
            <wp:extent cx="5179060" cy="2640787"/>
            <wp:effectExtent l="0" t="0" r="2540" b="7620"/>
            <wp:docPr id="214257602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BF7DBD-D7E1-4DD9-9F21-EFB776F2F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69682E2" w14:textId="77777777" w:rsidR="003C6ABF" w:rsidRDefault="003C6ABF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59F72423" w14:textId="77777777" w:rsidR="00F46482" w:rsidRDefault="00F46482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0A2C608C" w14:textId="77777777" w:rsidR="001C0294" w:rsidRPr="00724054" w:rsidRDefault="001C0294" w:rsidP="00F2652A">
      <w:pPr>
        <w:spacing w:after="0" w:line="240" w:lineRule="auto"/>
        <w:rPr>
          <w:rFonts w:cstheme="minorHAnsi"/>
          <w:sz w:val="26"/>
          <w:szCs w:val="26"/>
        </w:rPr>
      </w:pPr>
    </w:p>
    <w:p w14:paraId="79323338" w14:textId="2BCFD13D" w:rsidR="00D2555C" w:rsidRPr="00724054" w:rsidRDefault="00AF6B70" w:rsidP="00C54FCC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5E9AD232" wp14:editId="349D03FD">
            <wp:extent cx="5412740" cy="2520564"/>
            <wp:effectExtent l="0" t="0" r="16510" b="13335"/>
            <wp:docPr id="137428538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99C0481-B8F1-41C7-8481-A045CFD4D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FBD91DA" w14:textId="77777777" w:rsidR="00E64AD0" w:rsidRPr="00724054" w:rsidRDefault="00E64AD0" w:rsidP="00C54FCC">
      <w:pPr>
        <w:spacing w:after="0" w:line="240" w:lineRule="auto"/>
        <w:jc w:val="center"/>
        <w:rPr>
          <w:rFonts w:cstheme="minorHAnsi"/>
          <w:sz w:val="26"/>
          <w:szCs w:val="26"/>
        </w:rPr>
      </w:pPr>
    </w:p>
    <w:p w14:paraId="26134C5F" w14:textId="75782257" w:rsidR="002B559C" w:rsidRDefault="00E64AD0" w:rsidP="00C54FCC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1CCA502E" wp14:editId="481B4678">
            <wp:extent cx="5448935" cy="2216505"/>
            <wp:effectExtent l="0" t="0" r="18415" b="12700"/>
            <wp:docPr id="14881392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4409386-0703-4555-A7B7-50471408D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20ACEA0" w14:textId="77777777" w:rsidR="00E679FB" w:rsidRDefault="00E679FB" w:rsidP="00C54FCC">
      <w:pPr>
        <w:spacing w:after="0" w:line="240" w:lineRule="auto"/>
        <w:jc w:val="center"/>
        <w:rPr>
          <w:rFonts w:cstheme="minorHAnsi"/>
          <w:sz w:val="26"/>
          <w:szCs w:val="26"/>
        </w:rPr>
      </w:pPr>
    </w:p>
    <w:p w14:paraId="4C4F5AE6" w14:textId="50F1BE81" w:rsidR="001C0294" w:rsidRDefault="001C0294" w:rsidP="00C54FCC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652635C0" wp14:editId="490C812A">
            <wp:extent cx="5456555" cy="2501799"/>
            <wp:effectExtent l="0" t="0" r="10795" b="13335"/>
            <wp:docPr id="93998382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8343D95-DF8D-4A27-B252-E458DC9324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1E0E5D2" w14:textId="77777777" w:rsidR="001C0294" w:rsidRDefault="001C0294" w:rsidP="00C54FCC">
      <w:pPr>
        <w:spacing w:after="0" w:line="240" w:lineRule="auto"/>
        <w:jc w:val="center"/>
        <w:rPr>
          <w:rFonts w:cstheme="minorHAnsi"/>
          <w:sz w:val="26"/>
          <w:szCs w:val="26"/>
        </w:rPr>
      </w:pPr>
    </w:p>
    <w:p w14:paraId="1A4F6BDC" w14:textId="77777777" w:rsidR="005C1D9E" w:rsidRPr="00724054" w:rsidRDefault="005C1D9E" w:rsidP="00C54FCC">
      <w:pPr>
        <w:spacing w:after="0" w:line="240" w:lineRule="auto"/>
        <w:jc w:val="center"/>
        <w:rPr>
          <w:rFonts w:cstheme="minorHAnsi"/>
          <w:sz w:val="26"/>
          <w:szCs w:val="26"/>
        </w:rPr>
      </w:pPr>
    </w:p>
    <w:p w14:paraId="619265E7" w14:textId="5FF95B9E" w:rsidR="005C1D9E" w:rsidRDefault="005C1D9E" w:rsidP="005C1D9E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7C3C9569" wp14:editId="3A5680AE">
            <wp:extent cx="5412740" cy="2538374"/>
            <wp:effectExtent l="0" t="0" r="16510" b="14605"/>
            <wp:docPr id="8793773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6B2C68-5E7D-4A8E-B705-1A25F51DF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32D0711" w14:textId="77777777" w:rsidR="0061270B" w:rsidRDefault="0061270B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130641D0" w14:textId="23B5B689" w:rsidR="0061270B" w:rsidRDefault="0061270B" w:rsidP="0061270B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0D2867DC" wp14:editId="5E66FC71">
            <wp:extent cx="5412740" cy="2677364"/>
            <wp:effectExtent l="0" t="0" r="16510" b="8890"/>
            <wp:docPr id="41271496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441ABE2-6EA9-4B0B-A28F-6E822ED58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F7307C3" w14:textId="77777777" w:rsidR="003E235B" w:rsidRDefault="003E235B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40B075B3" w14:textId="395EFEC1" w:rsidR="003E235B" w:rsidRDefault="00EC670F" w:rsidP="00EC670F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0C600703" wp14:editId="00828748">
            <wp:extent cx="5412740" cy="2355494"/>
            <wp:effectExtent l="0" t="0" r="16510" b="6985"/>
            <wp:docPr id="928051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04225C-A65C-4A63-ACB3-50B994D9E8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4F812CC" w14:textId="2FC7D953" w:rsidR="00183E7E" w:rsidRDefault="00183E7E" w:rsidP="00183E7E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20E90C90" wp14:editId="6AC7C44D">
            <wp:extent cx="5361940" cy="2615980"/>
            <wp:effectExtent l="0" t="0" r="10160" b="13335"/>
            <wp:docPr id="3573557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45FB3B9-8AAE-46CC-9D9B-C27B1CE25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1A891E5" w14:textId="77777777" w:rsidR="00183E7E" w:rsidRDefault="00183E7E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615FF2F0" w14:textId="57DF840D" w:rsidR="00183E7E" w:rsidRDefault="00591A7C" w:rsidP="00591A7C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34D9C309" wp14:editId="5381A481">
            <wp:extent cx="5354320" cy="2728570"/>
            <wp:effectExtent l="0" t="0" r="17780" b="15240"/>
            <wp:docPr id="34724710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245AAD-E9D2-466C-AC46-A0A84AE12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2789119" w14:textId="77777777" w:rsidR="00183E7E" w:rsidRDefault="00183E7E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43493627" w14:textId="3FB1A2F9" w:rsidR="00BA2A67" w:rsidRDefault="00125871" w:rsidP="00125871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1CC5FEFB" wp14:editId="0C65A2BF">
            <wp:extent cx="5347335" cy="2392070"/>
            <wp:effectExtent l="0" t="0" r="5715" b="8255"/>
            <wp:docPr id="71260617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69F5869-9554-4F6D-BDB5-60892DBD6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0DFA271" w14:textId="77777777" w:rsidR="00BA2A67" w:rsidRDefault="00BA2A67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6DDEDC4D" w14:textId="7492380D" w:rsidR="00BA2A67" w:rsidRDefault="00CA46BD" w:rsidP="00CA46BD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287D4036" wp14:editId="32996B7A">
            <wp:extent cx="5391150" cy="2618842"/>
            <wp:effectExtent l="0" t="0" r="0" b="10160"/>
            <wp:docPr id="15516456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E5ADCA4-AFE5-4D9A-BBEB-240431A60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7F9ADD4" w14:textId="77777777" w:rsidR="009D2FB7" w:rsidRDefault="009D2FB7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158C9DFA" w14:textId="513758BF" w:rsidR="00CA3955" w:rsidRDefault="00CA3955" w:rsidP="00CA3955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53546EFA" wp14:editId="29FC882F">
            <wp:extent cx="5368925" cy="2596896"/>
            <wp:effectExtent l="0" t="0" r="3175" b="13335"/>
            <wp:docPr id="20756361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1C5C8C-6A4E-48E1-998B-D8C6B0F77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1D3674A" w14:textId="77777777" w:rsidR="00183E7E" w:rsidRDefault="00183E7E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0BAC5F9C" w14:textId="33A48DF1" w:rsidR="00BD4C60" w:rsidRDefault="00BD4C60" w:rsidP="00BD4C60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4AE61B69" wp14:editId="419368D9">
            <wp:extent cx="5405755" cy="2392070"/>
            <wp:effectExtent l="0" t="0" r="4445" b="8255"/>
            <wp:docPr id="179620386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A7F5795-FCEE-4017-903F-3385B0B585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0940DA0" w14:textId="77777777" w:rsidR="00302F8E" w:rsidRDefault="00302F8E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4A29826E" w14:textId="77777777" w:rsidR="00CA3955" w:rsidRDefault="00CA3955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302D18AD" w14:textId="327A4AE6" w:rsidR="00CA3955" w:rsidRDefault="0019131D" w:rsidP="0019131D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18982EC0" wp14:editId="2E1BB5DD">
            <wp:extent cx="5347335" cy="2523744"/>
            <wp:effectExtent l="0" t="0" r="5715" b="10160"/>
            <wp:docPr id="163739076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D9A2FEA-1844-4E65-A154-0A71474FB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3305568" w14:textId="77777777" w:rsidR="00CA3955" w:rsidRDefault="00CA3955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6761B889" w14:textId="3B7D78E0" w:rsidR="00CA3955" w:rsidRDefault="000167C1" w:rsidP="000167C1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5793022A" wp14:editId="137EFB9D">
            <wp:extent cx="5412740" cy="2538375"/>
            <wp:effectExtent l="0" t="0" r="16510" b="14605"/>
            <wp:docPr id="1683691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B652F9-744A-4A6C-88D3-E9E4ED021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67D81D8" w14:textId="77777777" w:rsidR="00CA3955" w:rsidRDefault="00CA3955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02C39AF6" w14:textId="687CC271" w:rsidR="002F4F6E" w:rsidRDefault="002F4F6E" w:rsidP="002F4F6E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153C625D" wp14:editId="2BE1AD03">
            <wp:extent cx="5362042" cy="2479852"/>
            <wp:effectExtent l="0" t="0" r="10160" b="15875"/>
            <wp:docPr id="5944821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3E7411-9F54-4837-B360-B8C6908B29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9EC1673" w14:textId="77777777" w:rsidR="00CA3955" w:rsidRDefault="00CA3955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0CDCA54C" w14:textId="77777777" w:rsidR="00CA3955" w:rsidRDefault="00CA3955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614B88E6" w14:textId="055357C1" w:rsidR="00B93090" w:rsidRDefault="00B93090" w:rsidP="00B93090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695A2CBA" wp14:editId="0D8A8493">
            <wp:extent cx="5325110" cy="2545690"/>
            <wp:effectExtent l="0" t="0" r="8890" b="7620"/>
            <wp:docPr id="33372334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7948859-B70B-43FC-93C3-A03811333F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9CDB7B7" w14:textId="77777777" w:rsidR="00CA3955" w:rsidRDefault="00CA3955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5581E605" w14:textId="7CF2CBE9" w:rsidR="00EC59C1" w:rsidRDefault="00B33272" w:rsidP="00B33272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0985A0A2" wp14:editId="7A2BBB36">
            <wp:extent cx="5332730" cy="2545690"/>
            <wp:effectExtent l="0" t="0" r="1270" b="7620"/>
            <wp:docPr id="182513900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DB7177-D5D4-42EC-9A6C-15CF74B9A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FA35C30" w14:textId="77777777" w:rsidR="003D280C" w:rsidRDefault="003D280C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7D5F736F" w14:textId="63BA7E3A" w:rsidR="003D280C" w:rsidRDefault="003D280C" w:rsidP="003D280C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04895F86" wp14:editId="762351B6">
            <wp:extent cx="5361940" cy="2509114"/>
            <wp:effectExtent l="0" t="0" r="10160" b="5715"/>
            <wp:docPr id="195677904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145F25F-FD97-4604-BDBC-170348362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104BDF04" w14:textId="77777777" w:rsidR="00EC59C1" w:rsidRDefault="00EC59C1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11B6E2B0" w14:textId="77777777" w:rsidR="00B33272" w:rsidRDefault="00B33272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10A91370" w14:textId="1D670DDD" w:rsidR="00C17E9D" w:rsidRDefault="00C17E9D" w:rsidP="00C17E9D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158BA37D" wp14:editId="7C4F1DC9">
            <wp:extent cx="5354727" cy="2516428"/>
            <wp:effectExtent l="0" t="0" r="17780" b="17780"/>
            <wp:docPr id="12852197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A767845-63C1-425E-B42C-D5C336DB7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7F845ECE" w14:textId="77777777" w:rsidR="00C17E9D" w:rsidRDefault="00C17E9D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2A6F2E0C" w14:textId="164E3508" w:rsidR="00C17E9D" w:rsidRDefault="00C17E9D" w:rsidP="00C17E9D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515532D8" wp14:editId="0C724876">
            <wp:extent cx="5376545" cy="2639833"/>
            <wp:effectExtent l="0" t="0" r="14605" b="8255"/>
            <wp:docPr id="35872975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09C3B2-3CEA-4135-93BA-7C8A97D2B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183D323D" w14:textId="77777777" w:rsidR="00EC59C1" w:rsidRDefault="00EC59C1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6BFD2A40" w14:textId="064A7F5D" w:rsidR="0012632D" w:rsidRDefault="0012632D" w:rsidP="0012632D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7304C283" wp14:editId="0386D97A">
            <wp:extent cx="5332730" cy="2523744"/>
            <wp:effectExtent l="0" t="0" r="1270" b="10160"/>
            <wp:docPr id="17659769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A62DB2D-A5B2-4C47-B246-AEE742BE2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065D3BDC" w14:textId="77777777" w:rsidR="0012632D" w:rsidRDefault="0012632D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0B1F0C19" w14:textId="7AD4785F" w:rsidR="00807A56" w:rsidRDefault="00807A56" w:rsidP="00807A56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441AD34A" wp14:editId="77D9F431">
            <wp:extent cx="5347335" cy="2600077"/>
            <wp:effectExtent l="0" t="0" r="5715" b="10160"/>
            <wp:docPr id="2228321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A189BC-B4A3-4B88-967A-C250FD6FF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0964158" w14:textId="77777777" w:rsidR="0012632D" w:rsidRDefault="0012632D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5109F772" w14:textId="77777777" w:rsidR="00BA4D7B" w:rsidRDefault="00BA4D7B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6B560242" w14:textId="153A7B61" w:rsidR="004A4A67" w:rsidRDefault="00F40B38" w:rsidP="00F40B38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7F9BF7A0" wp14:editId="16BC64F9">
            <wp:extent cx="5310505" cy="2611527"/>
            <wp:effectExtent l="0" t="0" r="4445" b="17780"/>
            <wp:docPr id="58925477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87AFD6E-970D-4614-BB83-C51A93324F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198C3B80" w14:textId="77777777" w:rsidR="004A4A67" w:rsidRDefault="004A4A67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0037B01B" w14:textId="77777777" w:rsidR="005C1D9E" w:rsidRPr="00724054" w:rsidRDefault="005C1D9E" w:rsidP="0072405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70E58E88" w14:textId="77777777" w:rsidR="002D31DD" w:rsidRDefault="002D31DD" w:rsidP="002D31DD">
      <w:pPr>
        <w:spacing w:after="0" w:line="240" w:lineRule="auto"/>
        <w:rPr>
          <w:b/>
          <w:i/>
          <w:sz w:val="26"/>
          <w:szCs w:val="26"/>
        </w:rPr>
      </w:pPr>
      <w:r w:rsidRPr="0027357B">
        <w:rPr>
          <w:b/>
          <w:i/>
          <w:sz w:val="26"/>
          <w:szCs w:val="26"/>
        </w:rPr>
        <w:t>Gráficas descriptivas, por Tipo de Riesgo</w:t>
      </w:r>
    </w:p>
    <w:p w14:paraId="3199FA62" w14:textId="77777777" w:rsidR="003449DC" w:rsidRDefault="003449DC" w:rsidP="003449DC">
      <w:pPr>
        <w:spacing w:after="0" w:line="240" w:lineRule="auto"/>
        <w:jc w:val="both"/>
        <w:rPr>
          <w:sz w:val="26"/>
          <w:szCs w:val="26"/>
        </w:rPr>
      </w:pPr>
    </w:p>
    <w:p w14:paraId="7B27488E" w14:textId="77777777" w:rsidR="000523F5" w:rsidRDefault="000523F5" w:rsidP="003449DC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forma similar al conjunto anterior de gráficas descriptivas por UR, ahora se presentan </w:t>
      </w:r>
      <w:r w:rsidR="00CF7149">
        <w:rPr>
          <w:sz w:val="26"/>
          <w:szCs w:val="26"/>
        </w:rPr>
        <w:t xml:space="preserve">las gráficas descriptivas individuales por tipo de riesgo. Los datos con los que se construyen estas gráficas corresponden </w:t>
      </w:r>
      <w:r w:rsidR="007A439B">
        <w:rPr>
          <w:sz w:val="26"/>
          <w:szCs w:val="26"/>
        </w:rPr>
        <w:t xml:space="preserve">ahora </w:t>
      </w:r>
      <w:r w:rsidR="00CF7149">
        <w:rPr>
          <w:sz w:val="26"/>
          <w:szCs w:val="26"/>
        </w:rPr>
        <w:t>a las columnas de la tabla anteriormente mencionada</w:t>
      </w:r>
      <w:r w:rsidR="002027B4">
        <w:rPr>
          <w:sz w:val="26"/>
          <w:szCs w:val="26"/>
        </w:rPr>
        <w:t xml:space="preserve"> (distribución porcentual del total de riesgos</w:t>
      </w:r>
      <w:r w:rsidR="005154E6">
        <w:rPr>
          <w:sz w:val="26"/>
          <w:szCs w:val="26"/>
        </w:rPr>
        <w:t xml:space="preserve"> que enfrentan las UR para lograr sus metas, según tipo de riesgo)</w:t>
      </w:r>
      <w:r w:rsidR="00CF7149">
        <w:rPr>
          <w:sz w:val="26"/>
          <w:szCs w:val="26"/>
        </w:rPr>
        <w:t>.</w:t>
      </w:r>
    </w:p>
    <w:p w14:paraId="2D177050" w14:textId="77777777" w:rsidR="00D9233C" w:rsidRDefault="00D9233C" w:rsidP="003449DC">
      <w:pPr>
        <w:spacing w:after="0" w:line="240" w:lineRule="auto"/>
        <w:jc w:val="both"/>
        <w:rPr>
          <w:sz w:val="26"/>
          <w:szCs w:val="26"/>
        </w:rPr>
      </w:pPr>
    </w:p>
    <w:p w14:paraId="773C894C" w14:textId="07E42E9C" w:rsidR="00D9233C" w:rsidRPr="003449DC" w:rsidRDefault="00D9233C" w:rsidP="003449DC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 forma de interpretar este conjunto de gráficas es ahora de </w:t>
      </w:r>
      <w:r w:rsidR="006675F1">
        <w:rPr>
          <w:sz w:val="26"/>
          <w:szCs w:val="26"/>
        </w:rPr>
        <w:t>la siguiente</w:t>
      </w:r>
      <w:r w:rsidR="002C11DC">
        <w:rPr>
          <w:sz w:val="26"/>
          <w:szCs w:val="26"/>
        </w:rPr>
        <w:t xml:space="preserve"> forma:</w:t>
      </w:r>
      <w:r>
        <w:rPr>
          <w:sz w:val="26"/>
          <w:szCs w:val="26"/>
        </w:rPr>
        <w:t xml:space="preserve"> </w:t>
      </w:r>
      <w:r w:rsidR="002C11DC">
        <w:rPr>
          <w:sz w:val="26"/>
          <w:szCs w:val="26"/>
        </w:rPr>
        <w:t>p</w:t>
      </w:r>
      <w:r>
        <w:rPr>
          <w:sz w:val="26"/>
          <w:szCs w:val="26"/>
        </w:rPr>
        <w:t xml:space="preserve">ara </w:t>
      </w:r>
      <w:r w:rsidR="00E04D70">
        <w:rPr>
          <w:sz w:val="26"/>
          <w:szCs w:val="26"/>
        </w:rPr>
        <w:t>el</w:t>
      </w:r>
      <w:r>
        <w:rPr>
          <w:sz w:val="26"/>
          <w:szCs w:val="26"/>
        </w:rPr>
        <w:t xml:space="preserve"> tipo de riesgo </w:t>
      </w:r>
      <w:r w:rsidR="00FC4A99">
        <w:rPr>
          <w:sz w:val="26"/>
          <w:szCs w:val="26"/>
        </w:rPr>
        <w:t>“</w:t>
      </w:r>
      <w:r w:rsidR="00942AA1">
        <w:rPr>
          <w:sz w:val="26"/>
          <w:szCs w:val="26"/>
        </w:rPr>
        <w:t>A</w:t>
      </w:r>
      <w:r>
        <w:rPr>
          <w:sz w:val="26"/>
          <w:szCs w:val="26"/>
        </w:rPr>
        <w:t>dministrativo</w:t>
      </w:r>
      <w:r w:rsidR="00FC4A99">
        <w:rPr>
          <w:sz w:val="26"/>
          <w:szCs w:val="26"/>
        </w:rPr>
        <w:t>”</w:t>
      </w:r>
      <w:r w:rsidR="00F30FD2">
        <w:rPr>
          <w:sz w:val="26"/>
          <w:szCs w:val="26"/>
        </w:rPr>
        <w:t xml:space="preserve"> que se muestra en</w:t>
      </w:r>
      <w:r w:rsidR="00E04D70">
        <w:rPr>
          <w:sz w:val="26"/>
          <w:szCs w:val="26"/>
        </w:rPr>
        <w:t xml:space="preserve"> la segunda gráfica siguiente</w:t>
      </w:r>
      <w:r>
        <w:rPr>
          <w:sz w:val="26"/>
          <w:szCs w:val="26"/>
        </w:rPr>
        <w:t xml:space="preserve"> se diría que, por ejemplo, de la totalidad del riesgo enfrentado por la Coordinación Académica</w:t>
      </w:r>
      <w:r w:rsidR="00953931">
        <w:rPr>
          <w:sz w:val="26"/>
          <w:szCs w:val="26"/>
        </w:rPr>
        <w:t xml:space="preserve"> para el logro de sus metas, sólo el 3.</w:t>
      </w:r>
      <w:r w:rsidR="00FC4A99">
        <w:rPr>
          <w:sz w:val="26"/>
          <w:szCs w:val="26"/>
        </w:rPr>
        <w:t>8</w:t>
      </w:r>
      <w:r w:rsidR="00953931">
        <w:rPr>
          <w:sz w:val="26"/>
          <w:szCs w:val="26"/>
        </w:rPr>
        <w:t xml:space="preserve">% corresponde al riesgo administrativo, a diferencia de la Contraloría </w:t>
      </w:r>
      <w:r w:rsidR="00953931">
        <w:rPr>
          <w:sz w:val="26"/>
          <w:szCs w:val="26"/>
        </w:rPr>
        <w:lastRenderedPageBreak/>
        <w:t xml:space="preserve">General </w:t>
      </w:r>
      <w:r w:rsidR="000924FD">
        <w:rPr>
          <w:sz w:val="26"/>
          <w:szCs w:val="26"/>
        </w:rPr>
        <w:t>cuyo riesgo administrativo representa el</w:t>
      </w:r>
      <w:r w:rsidR="00FE5BFF">
        <w:rPr>
          <w:sz w:val="26"/>
          <w:szCs w:val="26"/>
        </w:rPr>
        <w:t xml:space="preserve"> 50</w:t>
      </w:r>
      <w:r w:rsidR="000924FD">
        <w:rPr>
          <w:sz w:val="26"/>
          <w:szCs w:val="26"/>
        </w:rPr>
        <w:t>% de la totalidad de sus riesgos</w:t>
      </w:r>
      <w:r w:rsidR="00DD6ACA">
        <w:rPr>
          <w:sz w:val="26"/>
          <w:szCs w:val="26"/>
        </w:rPr>
        <w:t>,</w:t>
      </w:r>
      <w:r w:rsidR="000924FD">
        <w:rPr>
          <w:sz w:val="26"/>
          <w:szCs w:val="26"/>
        </w:rPr>
        <w:t xml:space="preserve"> y de la Coordinación de Informática y Telecomunicaciones cuyo riesgo administrativo corresponde a la totalidad </w:t>
      </w:r>
      <w:r w:rsidR="002821FA">
        <w:rPr>
          <w:sz w:val="26"/>
          <w:szCs w:val="26"/>
        </w:rPr>
        <w:t xml:space="preserve">(100%) </w:t>
      </w:r>
      <w:r w:rsidR="000924FD">
        <w:rPr>
          <w:sz w:val="26"/>
          <w:szCs w:val="26"/>
        </w:rPr>
        <w:t>de sus riesgos para el cumplimiento de sus metas</w:t>
      </w:r>
      <w:r w:rsidR="000924FD" w:rsidRPr="008025EB">
        <w:rPr>
          <w:sz w:val="26"/>
          <w:szCs w:val="26"/>
        </w:rPr>
        <w:t>.</w:t>
      </w:r>
      <w:r w:rsidR="004E1DCB" w:rsidRPr="008025EB">
        <w:rPr>
          <w:sz w:val="26"/>
          <w:szCs w:val="26"/>
        </w:rPr>
        <w:t xml:space="preserve"> Nótese que, a diferencia de las gráficas de la sección anterior, los totales de cada gráfica no deben sumar 100%.</w:t>
      </w:r>
    </w:p>
    <w:p w14:paraId="3006BE1F" w14:textId="77777777" w:rsidR="007000C9" w:rsidRDefault="007000C9" w:rsidP="003449DC">
      <w:pPr>
        <w:spacing w:after="0" w:line="240" w:lineRule="auto"/>
        <w:jc w:val="both"/>
        <w:rPr>
          <w:sz w:val="26"/>
          <w:szCs w:val="26"/>
        </w:rPr>
      </w:pPr>
    </w:p>
    <w:p w14:paraId="2744BB42" w14:textId="77777777" w:rsidR="007000C9" w:rsidRDefault="007000C9" w:rsidP="003449DC">
      <w:pPr>
        <w:spacing w:after="0" w:line="240" w:lineRule="auto"/>
        <w:jc w:val="both"/>
        <w:rPr>
          <w:sz w:val="26"/>
          <w:szCs w:val="26"/>
        </w:rPr>
      </w:pPr>
    </w:p>
    <w:p w14:paraId="6713072B" w14:textId="50A08E24" w:rsidR="007000C9" w:rsidRPr="003449DC" w:rsidRDefault="007000C9" w:rsidP="007000C9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3A79CF60" wp14:editId="39D45590">
            <wp:extent cx="6188710" cy="2381885"/>
            <wp:effectExtent l="0" t="0" r="2540" b="18415"/>
            <wp:docPr id="10898171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85D3E83-7190-4F24-94A7-F10107B22F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16193FE6" w14:textId="52409D17" w:rsidR="00C573CC" w:rsidRPr="00EA7001" w:rsidRDefault="00C573CC" w:rsidP="00C54FCC">
      <w:pPr>
        <w:spacing w:after="0" w:line="240" w:lineRule="auto"/>
        <w:jc w:val="center"/>
        <w:rPr>
          <w:sz w:val="26"/>
          <w:szCs w:val="26"/>
        </w:rPr>
      </w:pPr>
    </w:p>
    <w:p w14:paraId="61B51C57" w14:textId="77777777" w:rsidR="00C573CC" w:rsidRDefault="00C573CC" w:rsidP="00C54FCC">
      <w:pPr>
        <w:spacing w:after="0" w:line="240" w:lineRule="auto"/>
        <w:jc w:val="center"/>
        <w:rPr>
          <w:sz w:val="26"/>
          <w:szCs w:val="26"/>
        </w:rPr>
      </w:pPr>
    </w:p>
    <w:p w14:paraId="79884B18" w14:textId="5A2700CB" w:rsidR="0071219B" w:rsidRDefault="0071219B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25564D61" wp14:editId="00C51AC6">
            <wp:extent cx="6188710" cy="2727297"/>
            <wp:effectExtent l="0" t="0" r="2540" b="16510"/>
            <wp:docPr id="14192079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DC9FCA-8859-4469-9326-62D0426235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20E0BE0B" w14:textId="77777777" w:rsidR="000C1072" w:rsidRDefault="000C1072" w:rsidP="00C54FCC">
      <w:pPr>
        <w:spacing w:after="0" w:line="240" w:lineRule="auto"/>
        <w:jc w:val="center"/>
        <w:rPr>
          <w:sz w:val="26"/>
          <w:szCs w:val="26"/>
        </w:rPr>
      </w:pPr>
    </w:p>
    <w:p w14:paraId="3CD01447" w14:textId="77777777" w:rsidR="000C1072" w:rsidRDefault="000C1072" w:rsidP="00C54FCC">
      <w:pPr>
        <w:spacing w:after="0" w:line="240" w:lineRule="auto"/>
        <w:jc w:val="center"/>
        <w:rPr>
          <w:sz w:val="26"/>
          <w:szCs w:val="26"/>
        </w:rPr>
      </w:pPr>
    </w:p>
    <w:p w14:paraId="385C812A" w14:textId="066D0137" w:rsidR="000C1072" w:rsidRPr="00EA7001" w:rsidRDefault="000C1072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1ED45B7F" wp14:editId="33EE6B7B">
            <wp:extent cx="6188710" cy="2441051"/>
            <wp:effectExtent l="0" t="0" r="2540" b="16510"/>
            <wp:docPr id="140117525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994805-3FE2-4F9C-B742-524C997D7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7C0D21E0" w14:textId="13D7648F" w:rsidR="00C573CC" w:rsidRPr="00EA7001" w:rsidRDefault="00C573CC" w:rsidP="00C54FCC">
      <w:pPr>
        <w:spacing w:after="0" w:line="240" w:lineRule="auto"/>
        <w:jc w:val="center"/>
        <w:rPr>
          <w:sz w:val="26"/>
          <w:szCs w:val="26"/>
        </w:rPr>
      </w:pPr>
    </w:p>
    <w:p w14:paraId="1ED97A46" w14:textId="77777777" w:rsidR="002D31DD" w:rsidRDefault="002D31DD" w:rsidP="00C54FCC">
      <w:pPr>
        <w:spacing w:after="0" w:line="240" w:lineRule="auto"/>
        <w:jc w:val="center"/>
        <w:rPr>
          <w:sz w:val="26"/>
          <w:szCs w:val="26"/>
        </w:rPr>
      </w:pPr>
    </w:p>
    <w:p w14:paraId="1203D714" w14:textId="7EC36510" w:rsidR="000C1072" w:rsidRPr="00EA7001" w:rsidRDefault="000C1072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290913B8" wp14:editId="644678F3">
            <wp:extent cx="6188710" cy="2450592"/>
            <wp:effectExtent l="0" t="0" r="2540" b="6985"/>
            <wp:docPr id="20188791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0D337F-CB16-44D6-873C-FCD29F26B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1834987D" w14:textId="493981CA" w:rsidR="002D31DD" w:rsidRPr="00EA7001" w:rsidRDefault="002D31DD" w:rsidP="00C54FCC">
      <w:pPr>
        <w:spacing w:after="0" w:line="240" w:lineRule="auto"/>
        <w:jc w:val="center"/>
        <w:rPr>
          <w:sz w:val="26"/>
          <w:szCs w:val="26"/>
        </w:rPr>
      </w:pPr>
    </w:p>
    <w:p w14:paraId="34CAAAB5" w14:textId="77777777" w:rsidR="002D31DD" w:rsidRDefault="002D31DD" w:rsidP="00C54FCC">
      <w:pPr>
        <w:spacing w:after="0" w:line="240" w:lineRule="auto"/>
        <w:jc w:val="center"/>
        <w:rPr>
          <w:sz w:val="26"/>
          <w:szCs w:val="26"/>
        </w:rPr>
      </w:pPr>
    </w:p>
    <w:p w14:paraId="013320E5" w14:textId="34250FE9" w:rsidR="000C1072" w:rsidRDefault="000C1072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0CE02F52" wp14:editId="4BFA9D75">
            <wp:extent cx="6188710" cy="2465222"/>
            <wp:effectExtent l="0" t="0" r="2540" b="11430"/>
            <wp:docPr id="157260307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045D193-A8D9-4DB7-BFAF-7A63917E5F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079C6E85" w14:textId="77777777" w:rsidR="000C1072" w:rsidRPr="00EA7001" w:rsidRDefault="000C1072" w:rsidP="00C54FCC">
      <w:pPr>
        <w:spacing w:after="0" w:line="240" w:lineRule="auto"/>
        <w:jc w:val="center"/>
        <w:rPr>
          <w:sz w:val="26"/>
          <w:szCs w:val="26"/>
        </w:rPr>
      </w:pPr>
    </w:p>
    <w:p w14:paraId="508B4487" w14:textId="421E9AA1" w:rsidR="00C90430" w:rsidRDefault="000C1072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2B1EEAD5" wp14:editId="2114FE70">
            <wp:extent cx="6188710" cy="2428646"/>
            <wp:effectExtent l="0" t="0" r="2540" b="10160"/>
            <wp:docPr id="99220705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DB1F28-A4C9-45B8-98A4-DD0345D6F9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0644FD1C" w14:textId="77777777" w:rsidR="000C1072" w:rsidRDefault="000C1072" w:rsidP="00C54FCC">
      <w:pPr>
        <w:spacing w:after="0" w:line="240" w:lineRule="auto"/>
        <w:jc w:val="center"/>
        <w:rPr>
          <w:sz w:val="26"/>
          <w:szCs w:val="26"/>
        </w:rPr>
      </w:pPr>
    </w:p>
    <w:p w14:paraId="738AE00D" w14:textId="77777777" w:rsidR="00CF7BDF" w:rsidRPr="00EA7001" w:rsidRDefault="00CF7BDF" w:rsidP="00C54FCC">
      <w:pPr>
        <w:spacing w:after="0" w:line="240" w:lineRule="auto"/>
        <w:jc w:val="center"/>
        <w:rPr>
          <w:sz w:val="26"/>
          <w:szCs w:val="26"/>
        </w:rPr>
      </w:pPr>
    </w:p>
    <w:p w14:paraId="09D0D061" w14:textId="136867DC" w:rsidR="002D31DD" w:rsidRDefault="0050303B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27652DA1" wp14:editId="7832BA16">
            <wp:extent cx="6188710" cy="2501799"/>
            <wp:effectExtent l="0" t="0" r="2540" b="13335"/>
            <wp:docPr id="16250715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C0F251-4F9A-422F-8CE4-1EE36F131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4B32071C" w14:textId="77777777" w:rsidR="0050303B" w:rsidRPr="00EA7001" w:rsidRDefault="0050303B" w:rsidP="00C54FCC">
      <w:pPr>
        <w:spacing w:after="0" w:line="240" w:lineRule="auto"/>
        <w:jc w:val="center"/>
        <w:rPr>
          <w:sz w:val="26"/>
          <w:szCs w:val="26"/>
        </w:rPr>
      </w:pPr>
    </w:p>
    <w:p w14:paraId="0D307D64" w14:textId="1058786B" w:rsidR="002D31DD" w:rsidRDefault="002D31DD" w:rsidP="00C54FCC">
      <w:pPr>
        <w:spacing w:after="0" w:line="240" w:lineRule="auto"/>
        <w:jc w:val="center"/>
        <w:rPr>
          <w:sz w:val="26"/>
          <w:szCs w:val="26"/>
        </w:rPr>
      </w:pPr>
    </w:p>
    <w:p w14:paraId="058E54FE" w14:textId="4B15D677" w:rsidR="0050303B" w:rsidRPr="00EA7001" w:rsidRDefault="0050303B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1FD167AD" wp14:editId="25484260">
            <wp:extent cx="6188710" cy="2406701"/>
            <wp:effectExtent l="0" t="0" r="2540" b="12700"/>
            <wp:docPr id="4999573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6299773-77D9-4126-BEAB-FEA0A7E917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18470C4B" w14:textId="77777777" w:rsidR="002D31DD" w:rsidRPr="00EA7001" w:rsidRDefault="002D31DD" w:rsidP="00C54FCC">
      <w:pPr>
        <w:spacing w:after="0" w:line="240" w:lineRule="auto"/>
        <w:jc w:val="center"/>
        <w:rPr>
          <w:sz w:val="26"/>
          <w:szCs w:val="26"/>
        </w:rPr>
      </w:pPr>
    </w:p>
    <w:p w14:paraId="2D408D7C" w14:textId="6AC9171A" w:rsidR="00627ABB" w:rsidRDefault="00627ABB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3F884392" wp14:editId="2EBBF353">
            <wp:extent cx="6188710" cy="2441051"/>
            <wp:effectExtent l="0" t="0" r="2540" b="16510"/>
            <wp:docPr id="3642365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EBA5D2-FA46-4D87-BFAC-DA525C5C0A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00B8B808" w14:textId="77777777" w:rsidR="00627ABB" w:rsidRDefault="00627ABB" w:rsidP="00C54FCC">
      <w:pPr>
        <w:spacing w:after="0" w:line="240" w:lineRule="auto"/>
        <w:jc w:val="center"/>
        <w:rPr>
          <w:sz w:val="26"/>
          <w:szCs w:val="26"/>
        </w:rPr>
      </w:pPr>
    </w:p>
    <w:p w14:paraId="7D8104B0" w14:textId="77777777" w:rsidR="00EB47A4" w:rsidRDefault="00EB47A4" w:rsidP="00C54FCC">
      <w:pPr>
        <w:spacing w:after="0" w:line="240" w:lineRule="auto"/>
        <w:jc w:val="center"/>
        <w:rPr>
          <w:sz w:val="26"/>
          <w:szCs w:val="26"/>
        </w:rPr>
      </w:pPr>
    </w:p>
    <w:p w14:paraId="71EF959D" w14:textId="7CE386DA" w:rsidR="007A52F4" w:rsidRPr="00EA7001" w:rsidRDefault="007A52F4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3FB95474" wp14:editId="2C24A1C7">
            <wp:extent cx="6188710" cy="2509114"/>
            <wp:effectExtent l="0" t="0" r="2540" b="5715"/>
            <wp:docPr id="10209149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E89F7D1-D583-4C8A-98C1-D108EDF2C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7ABA08DF" w14:textId="2D106030" w:rsidR="00C573CC" w:rsidRPr="00EA7001" w:rsidRDefault="00C573CC" w:rsidP="00C54FCC">
      <w:pPr>
        <w:spacing w:after="0" w:line="240" w:lineRule="auto"/>
        <w:jc w:val="center"/>
        <w:rPr>
          <w:sz w:val="26"/>
          <w:szCs w:val="26"/>
        </w:rPr>
      </w:pPr>
    </w:p>
    <w:p w14:paraId="4DF355E9" w14:textId="77777777" w:rsidR="00C573CC" w:rsidRDefault="00C573CC" w:rsidP="00C54FCC">
      <w:pPr>
        <w:spacing w:after="0" w:line="240" w:lineRule="auto"/>
        <w:jc w:val="center"/>
        <w:rPr>
          <w:sz w:val="26"/>
          <w:szCs w:val="26"/>
        </w:rPr>
      </w:pPr>
    </w:p>
    <w:p w14:paraId="1EEB2F5B" w14:textId="21841497" w:rsidR="0029003C" w:rsidRPr="00EA7001" w:rsidRDefault="0029003C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6316B3DE" wp14:editId="376F5CD1">
            <wp:extent cx="6188710" cy="2450592"/>
            <wp:effectExtent l="0" t="0" r="2540" b="6985"/>
            <wp:docPr id="19653346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37DE19-6793-401C-8B9E-8D6A4C9D3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0B33B213" w14:textId="77777777" w:rsidR="00C90430" w:rsidRDefault="00C90430" w:rsidP="00C54FCC">
      <w:pPr>
        <w:spacing w:after="0" w:line="240" w:lineRule="auto"/>
        <w:jc w:val="center"/>
        <w:rPr>
          <w:sz w:val="26"/>
          <w:szCs w:val="26"/>
        </w:rPr>
      </w:pPr>
    </w:p>
    <w:p w14:paraId="594341FE" w14:textId="4D55D5AE" w:rsidR="00C90430" w:rsidRPr="00EA7001" w:rsidRDefault="00A31D4B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lastRenderedPageBreak/>
        <w:drawing>
          <wp:inline distT="0" distB="0" distL="0" distR="0" wp14:anchorId="70F35B29" wp14:editId="4394D755">
            <wp:extent cx="6188710" cy="2425148"/>
            <wp:effectExtent l="0" t="0" r="2540" b="13335"/>
            <wp:docPr id="12154788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2BA3539-3476-4BC2-A114-604C03BAF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044784DE" w14:textId="77777777" w:rsidR="00C573CC" w:rsidRDefault="00C573CC" w:rsidP="00C54FCC">
      <w:pPr>
        <w:spacing w:after="0" w:line="240" w:lineRule="auto"/>
        <w:jc w:val="center"/>
        <w:rPr>
          <w:sz w:val="26"/>
          <w:szCs w:val="26"/>
        </w:rPr>
      </w:pPr>
    </w:p>
    <w:p w14:paraId="02E1E8B5" w14:textId="77777777" w:rsidR="001F3E7E" w:rsidRDefault="001F3E7E" w:rsidP="00C54FCC">
      <w:pPr>
        <w:spacing w:after="0" w:line="240" w:lineRule="auto"/>
        <w:jc w:val="center"/>
        <w:rPr>
          <w:sz w:val="26"/>
          <w:szCs w:val="26"/>
        </w:rPr>
      </w:pPr>
    </w:p>
    <w:p w14:paraId="08077B46" w14:textId="187D88CB" w:rsidR="001F3E7E" w:rsidRDefault="001F3E7E" w:rsidP="00C54FCC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lang w:eastAsia="es-MX"/>
        </w:rPr>
        <w:drawing>
          <wp:inline distT="0" distB="0" distL="0" distR="0" wp14:anchorId="22F5A07A" wp14:editId="06CE66C7">
            <wp:extent cx="6188710" cy="2584174"/>
            <wp:effectExtent l="0" t="0" r="2540" b="6985"/>
            <wp:docPr id="15072808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6DF6534-D741-4A78-8B6F-F76771844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46C0F916" w14:textId="77777777" w:rsidR="00C90430" w:rsidRPr="00EA7001" w:rsidRDefault="00C90430" w:rsidP="004C2559">
      <w:pPr>
        <w:spacing w:after="0" w:line="240" w:lineRule="auto"/>
        <w:jc w:val="both"/>
        <w:rPr>
          <w:sz w:val="26"/>
          <w:szCs w:val="26"/>
        </w:rPr>
      </w:pPr>
    </w:p>
    <w:p w14:paraId="7F7F26C2" w14:textId="77777777" w:rsidR="00BB47EA" w:rsidRPr="00BB47EA" w:rsidRDefault="00BB47EA">
      <w:pPr>
        <w:rPr>
          <w:bCs/>
          <w:iCs/>
          <w:sz w:val="26"/>
          <w:szCs w:val="26"/>
        </w:rPr>
      </w:pPr>
      <w:r w:rsidRPr="00BB47EA">
        <w:rPr>
          <w:bCs/>
          <w:iCs/>
          <w:sz w:val="26"/>
          <w:szCs w:val="26"/>
        </w:rPr>
        <w:br w:type="page"/>
      </w:r>
    </w:p>
    <w:p w14:paraId="28B903DF" w14:textId="366FF10C" w:rsidR="00C573CC" w:rsidRPr="0027357B" w:rsidRDefault="00FA3091" w:rsidP="00FA3091">
      <w:pPr>
        <w:spacing w:after="0" w:line="240" w:lineRule="auto"/>
        <w:jc w:val="both"/>
        <w:rPr>
          <w:b/>
          <w:i/>
          <w:sz w:val="26"/>
          <w:szCs w:val="26"/>
        </w:rPr>
      </w:pPr>
      <w:r w:rsidRPr="0027357B">
        <w:rPr>
          <w:b/>
          <w:i/>
          <w:sz w:val="26"/>
          <w:szCs w:val="26"/>
        </w:rPr>
        <w:lastRenderedPageBreak/>
        <w:t>Conclusiones</w:t>
      </w:r>
      <w:r w:rsidR="002B43D1">
        <w:rPr>
          <w:b/>
          <w:i/>
          <w:sz w:val="26"/>
          <w:szCs w:val="26"/>
        </w:rPr>
        <w:t xml:space="preserve"> Generales</w:t>
      </w:r>
    </w:p>
    <w:p w14:paraId="30A84249" w14:textId="77777777" w:rsidR="00BB47EA" w:rsidRPr="00BB47EA" w:rsidRDefault="00BB47EA" w:rsidP="00BB47EA">
      <w:pPr>
        <w:spacing w:after="0" w:line="240" w:lineRule="auto"/>
        <w:jc w:val="both"/>
        <w:rPr>
          <w:sz w:val="26"/>
          <w:szCs w:val="26"/>
        </w:rPr>
      </w:pPr>
    </w:p>
    <w:p w14:paraId="32A1B2A4" w14:textId="3A143636" w:rsidR="00BB47EA" w:rsidRPr="00BB47EA" w:rsidRDefault="00BB47EA" w:rsidP="00BB47E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6"/>
          <w:szCs w:val="26"/>
        </w:rPr>
      </w:pPr>
      <w:r w:rsidRPr="00BB47EA">
        <w:rPr>
          <w:sz w:val="26"/>
          <w:szCs w:val="26"/>
        </w:rPr>
        <w:t xml:space="preserve">El documento de resultados aquí presentado </w:t>
      </w:r>
      <w:r>
        <w:rPr>
          <w:sz w:val="26"/>
          <w:szCs w:val="26"/>
        </w:rPr>
        <w:t>tiene</w:t>
      </w:r>
      <w:r w:rsidRPr="00BB47EA">
        <w:rPr>
          <w:sz w:val="26"/>
          <w:szCs w:val="26"/>
        </w:rPr>
        <w:t xml:space="preserve"> </w:t>
      </w:r>
      <w:r>
        <w:rPr>
          <w:sz w:val="26"/>
          <w:szCs w:val="26"/>
        </w:rPr>
        <w:t>por</w:t>
      </w:r>
      <w:r w:rsidRPr="00BB47EA">
        <w:rPr>
          <w:sz w:val="26"/>
          <w:szCs w:val="26"/>
        </w:rPr>
        <w:t xml:space="preserve"> objeto </w:t>
      </w:r>
      <w:r w:rsidR="00561FBE">
        <w:rPr>
          <w:sz w:val="26"/>
          <w:szCs w:val="26"/>
        </w:rPr>
        <w:t>mostrar</w:t>
      </w:r>
      <w:r w:rsidRPr="00BB47EA">
        <w:rPr>
          <w:sz w:val="26"/>
          <w:szCs w:val="26"/>
        </w:rPr>
        <w:t xml:space="preserve"> </w:t>
      </w:r>
      <w:r w:rsidR="00C86B74">
        <w:rPr>
          <w:sz w:val="26"/>
          <w:szCs w:val="26"/>
        </w:rPr>
        <w:t>un análisis de</w:t>
      </w:r>
      <w:r w:rsidRPr="00BB47EA">
        <w:rPr>
          <w:sz w:val="26"/>
          <w:szCs w:val="26"/>
        </w:rPr>
        <w:t xml:space="preserve"> los avances al final del año 2023</w:t>
      </w:r>
      <w:r>
        <w:rPr>
          <w:sz w:val="26"/>
          <w:szCs w:val="26"/>
        </w:rPr>
        <w:t xml:space="preserve"> de las </w:t>
      </w:r>
      <w:r w:rsidR="000710F4" w:rsidRPr="0027357B">
        <w:rPr>
          <w:sz w:val="26"/>
          <w:szCs w:val="26"/>
        </w:rPr>
        <w:t>Unidades Responsables de Gasto (URs) de la Universidad</w:t>
      </w:r>
      <w:r w:rsidRPr="00BB47EA">
        <w:rPr>
          <w:sz w:val="26"/>
          <w:szCs w:val="26"/>
        </w:rPr>
        <w:t xml:space="preserve">, </w:t>
      </w:r>
      <w:r w:rsidR="00C86B74">
        <w:rPr>
          <w:sz w:val="26"/>
          <w:szCs w:val="26"/>
        </w:rPr>
        <w:t>relativas a</w:t>
      </w:r>
      <w:r w:rsidRPr="00BB47EA">
        <w:rPr>
          <w:sz w:val="26"/>
          <w:szCs w:val="26"/>
        </w:rPr>
        <w:t xml:space="preserve"> las metas establecidas en sus programas presupuestales registrados en el Sistema Integral Administrativo (SIA). Adicionalmente, </w:t>
      </w:r>
      <w:r>
        <w:rPr>
          <w:sz w:val="26"/>
          <w:szCs w:val="26"/>
        </w:rPr>
        <w:t xml:space="preserve">se muestra </w:t>
      </w:r>
      <w:r w:rsidR="00C86B74">
        <w:rPr>
          <w:sz w:val="26"/>
          <w:szCs w:val="26"/>
        </w:rPr>
        <w:t xml:space="preserve">también </w:t>
      </w:r>
      <w:r>
        <w:rPr>
          <w:sz w:val="26"/>
          <w:szCs w:val="26"/>
        </w:rPr>
        <w:t>un análisis de</w:t>
      </w:r>
      <w:r w:rsidRPr="00BB47EA">
        <w:rPr>
          <w:sz w:val="26"/>
          <w:szCs w:val="26"/>
        </w:rPr>
        <w:t xml:space="preserve"> los riesgos que amenazaron el logro de sus objetivos</w:t>
      </w:r>
      <w:r w:rsidR="00561FBE">
        <w:rPr>
          <w:sz w:val="26"/>
          <w:szCs w:val="26"/>
        </w:rPr>
        <w:t>, clasificados según tipo y nivel</w:t>
      </w:r>
      <w:r w:rsidR="00E3438C">
        <w:rPr>
          <w:sz w:val="26"/>
          <w:szCs w:val="26"/>
        </w:rPr>
        <w:t xml:space="preserve"> de importancia</w:t>
      </w:r>
      <w:r w:rsidR="00561FBE">
        <w:rPr>
          <w:sz w:val="26"/>
          <w:szCs w:val="26"/>
        </w:rPr>
        <w:t>.</w:t>
      </w:r>
      <w:r w:rsidR="001719E9">
        <w:rPr>
          <w:sz w:val="26"/>
          <w:szCs w:val="26"/>
        </w:rPr>
        <w:t xml:space="preserve"> </w:t>
      </w:r>
    </w:p>
    <w:p w14:paraId="20D3C5AC" w14:textId="77777777" w:rsidR="00BB47EA" w:rsidRPr="00BB47EA" w:rsidRDefault="00BB47EA" w:rsidP="00BB47EA">
      <w:pPr>
        <w:spacing w:after="0" w:line="240" w:lineRule="auto"/>
        <w:jc w:val="both"/>
        <w:rPr>
          <w:sz w:val="26"/>
          <w:szCs w:val="26"/>
        </w:rPr>
      </w:pPr>
    </w:p>
    <w:p w14:paraId="254C9A5B" w14:textId="144BBC77" w:rsidR="00394612" w:rsidRDefault="00394612" w:rsidP="003946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Este esfuerzo de la Coordinación de Planeación para </w:t>
      </w:r>
      <w:r w:rsidR="00C21C73">
        <w:rPr>
          <w:sz w:val="26"/>
          <w:szCs w:val="26"/>
        </w:rPr>
        <w:t>recabar</w:t>
      </w:r>
      <w:r>
        <w:rPr>
          <w:sz w:val="26"/>
          <w:szCs w:val="26"/>
        </w:rPr>
        <w:t xml:space="preserve"> información de las UR de la Universidad </w:t>
      </w:r>
      <w:r w:rsidR="00990CE4">
        <w:rPr>
          <w:sz w:val="26"/>
          <w:szCs w:val="26"/>
        </w:rPr>
        <w:t>sobre</w:t>
      </w:r>
      <w:r w:rsidR="00990CE4" w:rsidRPr="0027357B">
        <w:rPr>
          <w:sz w:val="26"/>
          <w:szCs w:val="26"/>
        </w:rPr>
        <w:t xml:space="preserve"> los avances </w:t>
      </w:r>
      <w:r w:rsidR="00990CE4">
        <w:rPr>
          <w:sz w:val="26"/>
          <w:szCs w:val="26"/>
        </w:rPr>
        <w:t xml:space="preserve">logrados, </w:t>
      </w:r>
      <w:r w:rsidR="00990CE4" w:rsidRPr="0027357B">
        <w:rPr>
          <w:sz w:val="26"/>
          <w:szCs w:val="26"/>
        </w:rPr>
        <w:t>al</w:t>
      </w:r>
      <w:r w:rsidR="00990CE4">
        <w:rPr>
          <w:sz w:val="26"/>
          <w:szCs w:val="26"/>
        </w:rPr>
        <w:t xml:space="preserve"> </w:t>
      </w:r>
      <w:r w:rsidR="008B42F9">
        <w:rPr>
          <w:sz w:val="26"/>
          <w:szCs w:val="26"/>
        </w:rPr>
        <w:t>término</w:t>
      </w:r>
      <w:r w:rsidR="00990CE4">
        <w:rPr>
          <w:sz w:val="26"/>
          <w:szCs w:val="26"/>
        </w:rPr>
        <w:t xml:space="preserve"> del</w:t>
      </w:r>
      <w:r w:rsidR="00990CE4" w:rsidRPr="0027357B">
        <w:rPr>
          <w:sz w:val="26"/>
          <w:szCs w:val="26"/>
        </w:rPr>
        <w:t xml:space="preserve"> año 202</w:t>
      </w:r>
      <w:r w:rsidR="008B42F9">
        <w:rPr>
          <w:sz w:val="26"/>
          <w:szCs w:val="26"/>
        </w:rPr>
        <w:t>3</w:t>
      </w:r>
      <w:r w:rsidR="00990CE4">
        <w:rPr>
          <w:sz w:val="26"/>
          <w:szCs w:val="26"/>
        </w:rPr>
        <w:t>,</w:t>
      </w:r>
      <w:r w:rsidR="00990CE4" w:rsidRPr="0027357B">
        <w:rPr>
          <w:sz w:val="26"/>
          <w:szCs w:val="26"/>
        </w:rPr>
        <w:t xml:space="preserve"> de las metas establecidas en sus programas presupuestales </w:t>
      </w:r>
      <w:r w:rsidR="00C21C73">
        <w:rPr>
          <w:sz w:val="26"/>
          <w:szCs w:val="26"/>
        </w:rPr>
        <w:t>así como</w:t>
      </w:r>
      <w:r w:rsidR="002054C0">
        <w:rPr>
          <w:sz w:val="26"/>
          <w:szCs w:val="26"/>
        </w:rPr>
        <w:t xml:space="preserve"> sobre</w:t>
      </w:r>
      <w:r w:rsidR="00990CE4" w:rsidRPr="0027357B">
        <w:rPr>
          <w:sz w:val="26"/>
          <w:szCs w:val="26"/>
        </w:rPr>
        <w:t xml:space="preserve"> los riesgos que amenazaron el logro de sus objetivos</w:t>
      </w:r>
      <w:r w:rsidR="00C23467">
        <w:rPr>
          <w:sz w:val="26"/>
          <w:szCs w:val="26"/>
        </w:rPr>
        <w:t xml:space="preserve"> permite</w:t>
      </w:r>
      <w:r>
        <w:rPr>
          <w:sz w:val="26"/>
          <w:szCs w:val="26"/>
        </w:rPr>
        <w:t xml:space="preserve"> contar con elementos informativos </w:t>
      </w:r>
      <w:r w:rsidR="00304BA2">
        <w:rPr>
          <w:sz w:val="26"/>
          <w:szCs w:val="26"/>
        </w:rPr>
        <w:t xml:space="preserve">que servirán para </w:t>
      </w:r>
      <w:r>
        <w:rPr>
          <w:sz w:val="26"/>
          <w:szCs w:val="26"/>
        </w:rPr>
        <w:t xml:space="preserve">apoyar la toma de decisiones </w:t>
      </w:r>
      <w:r w:rsidR="00304BA2">
        <w:rPr>
          <w:sz w:val="26"/>
          <w:szCs w:val="26"/>
        </w:rPr>
        <w:t>en materia de avances</w:t>
      </w:r>
      <w:r>
        <w:rPr>
          <w:sz w:val="26"/>
          <w:szCs w:val="26"/>
        </w:rPr>
        <w:t xml:space="preserve"> </w:t>
      </w:r>
      <w:r w:rsidR="00304BA2">
        <w:rPr>
          <w:sz w:val="26"/>
          <w:szCs w:val="26"/>
        </w:rPr>
        <w:t xml:space="preserve">en </w:t>
      </w:r>
      <w:r>
        <w:rPr>
          <w:sz w:val="26"/>
          <w:szCs w:val="26"/>
        </w:rPr>
        <w:t xml:space="preserve">el logro de las metas de programas así como </w:t>
      </w:r>
      <w:r w:rsidR="00DD2707">
        <w:rPr>
          <w:sz w:val="26"/>
          <w:szCs w:val="26"/>
        </w:rPr>
        <w:t xml:space="preserve">de </w:t>
      </w:r>
      <w:r w:rsidR="00304BA2">
        <w:rPr>
          <w:sz w:val="26"/>
          <w:szCs w:val="26"/>
        </w:rPr>
        <w:t>los</w:t>
      </w:r>
      <w:r w:rsidR="00DD2707">
        <w:rPr>
          <w:sz w:val="26"/>
          <w:szCs w:val="26"/>
        </w:rPr>
        <w:t xml:space="preserve"> riesgo</w:t>
      </w:r>
      <w:r w:rsidR="00304BA2">
        <w:rPr>
          <w:sz w:val="26"/>
          <w:szCs w:val="26"/>
        </w:rPr>
        <w:t>s</w:t>
      </w:r>
      <w:r w:rsidR="00C23467">
        <w:rPr>
          <w:sz w:val="26"/>
          <w:szCs w:val="26"/>
        </w:rPr>
        <w:t xml:space="preserve"> enfrentados por las UR y su </w:t>
      </w:r>
      <w:r w:rsidR="00A173CD">
        <w:rPr>
          <w:sz w:val="26"/>
          <w:szCs w:val="26"/>
        </w:rPr>
        <w:t>nivel</w:t>
      </w:r>
      <w:r w:rsidR="00C23467">
        <w:rPr>
          <w:sz w:val="26"/>
          <w:szCs w:val="26"/>
        </w:rPr>
        <w:t xml:space="preserve"> de importancia</w:t>
      </w:r>
      <w:r w:rsidR="00DD2707">
        <w:rPr>
          <w:sz w:val="26"/>
          <w:szCs w:val="26"/>
        </w:rPr>
        <w:t>.</w:t>
      </w:r>
    </w:p>
    <w:p w14:paraId="06CA494A" w14:textId="77777777" w:rsidR="00B57649" w:rsidRDefault="00B57649" w:rsidP="00B57649">
      <w:pPr>
        <w:spacing w:after="0" w:line="240" w:lineRule="auto"/>
        <w:jc w:val="both"/>
        <w:rPr>
          <w:sz w:val="26"/>
          <w:szCs w:val="26"/>
        </w:rPr>
      </w:pPr>
    </w:p>
    <w:p w14:paraId="56B1D04D" w14:textId="4438F90D" w:rsidR="005A4A1D" w:rsidRDefault="005A4A1D" w:rsidP="005A4A1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</w:t>
      </w:r>
      <w:r w:rsidR="002D42D6">
        <w:rPr>
          <w:sz w:val="26"/>
          <w:szCs w:val="26"/>
        </w:rPr>
        <w:t>l</w:t>
      </w:r>
      <w:r>
        <w:rPr>
          <w:sz w:val="26"/>
          <w:szCs w:val="26"/>
        </w:rPr>
        <w:t xml:space="preserve"> ejercicio ha sido </w:t>
      </w:r>
      <w:r w:rsidR="002D42D6">
        <w:rPr>
          <w:sz w:val="26"/>
          <w:szCs w:val="26"/>
        </w:rPr>
        <w:t>de utilidad</w:t>
      </w:r>
      <w:r>
        <w:rPr>
          <w:sz w:val="26"/>
          <w:szCs w:val="26"/>
        </w:rPr>
        <w:t xml:space="preserve"> para las propias UR pues les permitió efectuar un análisis de sus metas y avances, así como de los riesgos enfrentados para su cumplimiento. </w:t>
      </w:r>
      <w:r w:rsidR="003B6264">
        <w:rPr>
          <w:sz w:val="26"/>
          <w:szCs w:val="26"/>
        </w:rPr>
        <w:t>Es</w:t>
      </w:r>
      <w:r>
        <w:rPr>
          <w:sz w:val="26"/>
          <w:szCs w:val="26"/>
        </w:rPr>
        <w:t xml:space="preserve">te este proceso de </w:t>
      </w:r>
      <w:r w:rsidR="003B6264">
        <w:rPr>
          <w:sz w:val="26"/>
          <w:szCs w:val="26"/>
        </w:rPr>
        <w:t xml:space="preserve">revisión y </w:t>
      </w:r>
      <w:r>
        <w:rPr>
          <w:sz w:val="26"/>
          <w:szCs w:val="26"/>
        </w:rPr>
        <w:t>análisis les permitió identificar algunas de las causas y posibles soluciones a los riesgos enfrentados para el cumplimiento de sus metas.</w:t>
      </w:r>
    </w:p>
    <w:p w14:paraId="7E910F3B" w14:textId="77777777" w:rsidR="005A4A1D" w:rsidRPr="00B57649" w:rsidRDefault="005A4A1D" w:rsidP="001144B4">
      <w:pPr>
        <w:spacing w:after="0" w:line="240" w:lineRule="auto"/>
        <w:jc w:val="both"/>
        <w:rPr>
          <w:sz w:val="26"/>
          <w:szCs w:val="26"/>
        </w:rPr>
      </w:pPr>
    </w:p>
    <w:p w14:paraId="1E0254E7" w14:textId="2512C7AB" w:rsidR="00B57649" w:rsidRPr="00B57649" w:rsidRDefault="00806BCD" w:rsidP="00EC10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B57649">
        <w:rPr>
          <w:sz w:val="26"/>
          <w:szCs w:val="26"/>
        </w:rPr>
        <w:t xml:space="preserve">Este trabajo </w:t>
      </w:r>
      <w:r w:rsidR="003B6264">
        <w:rPr>
          <w:sz w:val="26"/>
          <w:szCs w:val="26"/>
        </w:rPr>
        <w:t xml:space="preserve">es el segundo de su tipo en la Universidad pues el año pasado (2023) se presentó un estudio similar referente al ejercicio del año 2022. Lo anterior </w:t>
      </w:r>
      <w:r w:rsidR="00BA108F">
        <w:rPr>
          <w:sz w:val="26"/>
          <w:szCs w:val="26"/>
        </w:rPr>
        <w:t>hace posible</w:t>
      </w:r>
      <w:r w:rsidR="003B6264">
        <w:rPr>
          <w:sz w:val="26"/>
          <w:szCs w:val="26"/>
        </w:rPr>
        <w:t xml:space="preserve"> hacer análisis comparativos entre ambos estudios.</w:t>
      </w:r>
    </w:p>
    <w:p w14:paraId="5A7FEF2B" w14:textId="77777777" w:rsidR="00B57649" w:rsidRPr="00B57649" w:rsidRDefault="00B57649" w:rsidP="00B57649">
      <w:pPr>
        <w:spacing w:after="0" w:line="240" w:lineRule="auto"/>
        <w:jc w:val="both"/>
        <w:rPr>
          <w:sz w:val="26"/>
          <w:szCs w:val="26"/>
        </w:rPr>
      </w:pPr>
    </w:p>
    <w:p w14:paraId="790728DF" w14:textId="797CDE1E" w:rsidR="00CB2675" w:rsidRDefault="00CB2675" w:rsidP="00CB267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Del</w:t>
      </w:r>
      <w:r w:rsidRPr="00CB2675">
        <w:rPr>
          <w:sz w:val="26"/>
          <w:szCs w:val="26"/>
        </w:rPr>
        <w:t xml:space="preserve"> total de riesgos de toda la Universidad para el logro de sus metas, la</w:t>
      </w:r>
      <w:r>
        <w:rPr>
          <w:sz w:val="26"/>
          <w:szCs w:val="26"/>
        </w:rPr>
        <w:t xml:space="preserve"> mayoría </w:t>
      </w:r>
      <w:r w:rsidRPr="00CB2675">
        <w:rPr>
          <w:sz w:val="26"/>
          <w:szCs w:val="26"/>
        </w:rPr>
        <w:t>(</w:t>
      </w:r>
      <w:r w:rsidR="00BA108F">
        <w:rPr>
          <w:sz w:val="26"/>
          <w:szCs w:val="26"/>
        </w:rPr>
        <w:t>41</w:t>
      </w:r>
      <w:r w:rsidRPr="00CB2675">
        <w:rPr>
          <w:sz w:val="26"/>
          <w:szCs w:val="26"/>
        </w:rPr>
        <w:t xml:space="preserve">.3%) son </w:t>
      </w:r>
      <w:r w:rsidR="00D14BFE">
        <w:rPr>
          <w:sz w:val="26"/>
          <w:szCs w:val="26"/>
        </w:rPr>
        <w:t xml:space="preserve">considerados </w:t>
      </w:r>
      <w:r w:rsidRPr="00CB2675">
        <w:rPr>
          <w:sz w:val="26"/>
          <w:szCs w:val="26"/>
        </w:rPr>
        <w:t>de</w:t>
      </w:r>
      <w:r w:rsidR="00D14BFE">
        <w:rPr>
          <w:sz w:val="26"/>
          <w:szCs w:val="26"/>
        </w:rPr>
        <w:t xml:space="preserve"> alto</w:t>
      </w:r>
      <w:r w:rsidRPr="00CB2675">
        <w:rPr>
          <w:sz w:val="26"/>
          <w:szCs w:val="26"/>
        </w:rPr>
        <w:t xml:space="preserve"> grado, </w:t>
      </w:r>
      <w:r w:rsidR="00BA108F">
        <w:rPr>
          <w:sz w:val="26"/>
          <w:szCs w:val="26"/>
        </w:rPr>
        <w:t xml:space="preserve">el </w:t>
      </w:r>
      <w:r w:rsidRPr="00CB2675">
        <w:rPr>
          <w:sz w:val="26"/>
          <w:szCs w:val="26"/>
        </w:rPr>
        <w:t>2</w:t>
      </w:r>
      <w:r w:rsidR="00BA108F">
        <w:rPr>
          <w:sz w:val="26"/>
          <w:szCs w:val="26"/>
        </w:rPr>
        <w:t>2</w:t>
      </w:r>
      <w:r w:rsidRPr="00CB2675">
        <w:rPr>
          <w:sz w:val="26"/>
          <w:szCs w:val="26"/>
        </w:rPr>
        <w:t>.</w:t>
      </w:r>
      <w:r w:rsidR="00BA108F">
        <w:rPr>
          <w:sz w:val="26"/>
          <w:szCs w:val="26"/>
        </w:rPr>
        <w:t>7</w:t>
      </w:r>
      <w:r w:rsidRPr="00CB2675">
        <w:rPr>
          <w:sz w:val="26"/>
          <w:szCs w:val="26"/>
        </w:rPr>
        <w:t>% son</w:t>
      </w:r>
      <w:r w:rsidR="00D14BFE">
        <w:rPr>
          <w:sz w:val="26"/>
          <w:szCs w:val="26"/>
        </w:rPr>
        <w:t xml:space="preserve"> considerados</w:t>
      </w:r>
      <w:r w:rsidRPr="00CB2675">
        <w:rPr>
          <w:sz w:val="26"/>
          <w:szCs w:val="26"/>
        </w:rPr>
        <w:t xml:space="preserve"> de un grado mediano y el restante </w:t>
      </w:r>
      <w:r w:rsidR="00BA108F">
        <w:rPr>
          <w:sz w:val="26"/>
          <w:szCs w:val="26"/>
        </w:rPr>
        <w:t>36</w:t>
      </w:r>
      <w:r w:rsidRPr="00CB2675">
        <w:rPr>
          <w:sz w:val="26"/>
          <w:szCs w:val="26"/>
        </w:rPr>
        <w:t>% son</w:t>
      </w:r>
      <w:r w:rsidR="00BA108F">
        <w:rPr>
          <w:sz w:val="26"/>
          <w:szCs w:val="26"/>
        </w:rPr>
        <w:t xml:space="preserve"> considerados</w:t>
      </w:r>
      <w:r w:rsidRPr="00CB2675">
        <w:rPr>
          <w:sz w:val="26"/>
          <w:szCs w:val="26"/>
        </w:rPr>
        <w:t xml:space="preserve"> de un grado bajo.</w:t>
      </w:r>
    </w:p>
    <w:p w14:paraId="22B7F491" w14:textId="77777777" w:rsidR="00B57649" w:rsidRPr="00B57649" w:rsidRDefault="00B57649" w:rsidP="00B57649">
      <w:pPr>
        <w:spacing w:after="0" w:line="240" w:lineRule="auto"/>
        <w:jc w:val="both"/>
        <w:rPr>
          <w:sz w:val="26"/>
          <w:szCs w:val="26"/>
        </w:rPr>
      </w:pPr>
    </w:p>
    <w:p w14:paraId="062E1467" w14:textId="3F16E052" w:rsidR="00691CE4" w:rsidRPr="005A4A1D" w:rsidRDefault="001E51F6" w:rsidP="003946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5A4A1D">
        <w:rPr>
          <w:sz w:val="26"/>
          <w:szCs w:val="26"/>
        </w:rPr>
        <w:t>Referente a la distribución porcentual de los tipos de riesgo para toda la Universidad se observó que los riesgos que tienen mayor frecuencia son el administrativo</w:t>
      </w:r>
      <w:r w:rsidR="000D1709">
        <w:rPr>
          <w:sz w:val="26"/>
          <w:szCs w:val="26"/>
        </w:rPr>
        <w:t xml:space="preserve"> (20.6%)</w:t>
      </w:r>
      <w:r w:rsidRPr="005A4A1D">
        <w:rPr>
          <w:sz w:val="26"/>
          <w:szCs w:val="26"/>
        </w:rPr>
        <w:t xml:space="preserve"> y la falta de personal</w:t>
      </w:r>
      <w:r w:rsidR="000D1709">
        <w:rPr>
          <w:sz w:val="26"/>
          <w:szCs w:val="26"/>
        </w:rPr>
        <w:t xml:space="preserve"> (19.4%)</w:t>
      </w:r>
      <w:r w:rsidRPr="005A4A1D">
        <w:rPr>
          <w:sz w:val="26"/>
          <w:szCs w:val="26"/>
        </w:rPr>
        <w:t xml:space="preserve">, en tanto que los más bajos son la </w:t>
      </w:r>
      <w:r w:rsidR="000D1709">
        <w:rPr>
          <w:sz w:val="26"/>
          <w:szCs w:val="26"/>
        </w:rPr>
        <w:t>estructura organizacional (1.6%), la falta o insuficiencia de tiempo (2.4%) y la capacitación e infraestructura, ambas con 3.2%</w:t>
      </w:r>
      <w:r w:rsidRPr="005A4A1D">
        <w:rPr>
          <w:sz w:val="26"/>
          <w:szCs w:val="26"/>
        </w:rPr>
        <w:t>.</w:t>
      </w:r>
    </w:p>
    <w:p w14:paraId="30D16FF6" w14:textId="77777777" w:rsidR="00B57649" w:rsidRPr="005A4A1D" w:rsidRDefault="00B57649" w:rsidP="00B57649">
      <w:pPr>
        <w:spacing w:after="0" w:line="240" w:lineRule="auto"/>
        <w:jc w:val="both"/>
        <w:rPr>
          <w:sz w:val="26"/>
          <w:szCs w:val="26"/>
        </w:rPr>
      </w:pPr>
    </w:p>
    <w:p w14:paraId="6DC10136" w14:textId="056A8BEC" w:rsidR="00691CE4" w:rsidRPr="005A4A1D" w:rsidRDefault="001E51F6" w:rsidP="003946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5A4A1D">
        <w:rPr>
          <w:sz w:val="26"/>
          <w:szCs w:val="26"/>
        </w:rPr>
        <w:t>R</w:t>
      </w:r>
      <w:r w:rsidR="000301EF" w:rsidRPr="005A4A1D">
        <w:rPr>
          <w:sz w:val="26"/>
          <w:szCs w:val="26"/>
        </w:rPr>
        <w:t>eferente al peso porcentual que tienen los diferentes tipos de riesgo en las UR, resalta el que la Coordinación de Informática y Telecomunicaciones</w:t>
      </w:r>
      <w:r w:rsidR="00ED4F69">
        <w:rPr>
          <w:sz w:val="26"/>
          <w:szCs w:val="26"/>
        </w:rPr>
        <w:t>, al igual que el año pasado,</w:t>
      </w:r>
      <w:r w:rsidR="000301EF" w:rsidRPr="005A4A1D">
        <w:rPr>
          <w:sz w:val="26"/>
          <w:szCs w:val="26"/>
        </w:rPr>
        <w:t xml:space="preserve"> considera que la totalidad de sus riesgos para el cumplimiento de sus metas son</w:t>
      </w:r>
      <w:r w:rsidR="00C97315" w:rsidRPr="005A4A1D">
        <w:rPr>
          <w:sz w:val="26"/>
          <w:szCs w:val="26"/>
        </w:rPr>
        <w:t xml:space="preserve"> de alto grado y</w:t>
      </w:r>
      <w:r w:rsidR="000301EF" w:rsidRPr="005A4A1D">
        <w:rPr>
          <w:sz w:val="26"/>
          <w:szCs w:val="26"/>
        </w:rPr>
        <w:t xml:space="preserve"> sólo de tipo administrativo.</w:t>
      </w:r>
    </w:p>
    <w:p w14:paraId="20587472" w14:textId="77777777" w:rsidR="00B57649" w:rsidRPr="005A4A1D" w:rsidRDefault="00B57649" w:rsidP="00B57649">
      <w:pPr>
        <w:spacing w:after="0" w:line="240" w:lineRule="auto"/>
        <w:jc w:val="both"/>
        <w:rPr>
          <w:sz w:val="26"/>
          <w:szCs w:val="26"/>
        </w:rPr>
      </w:pPr>
    </w:p>
    <w:p w14:paraId="7C780EC1" w14:textId="1858A4C6" w:rsidR="00806BCD" w:rsidRDefault="000268B2" w:rsidP="003946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El rubro “Otros” del tipo de riesgo manifestado por las UR al referirse a sus riesgos, presentó un porcentaje relativamente alto</w:t>
      </w:r>
      <w:r w:rsidR="00806BCD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="00DD2A98">
        <w:rPr>
          <w:sz w:val="26"/>
          <w:szCs w:val="26"/>
        </w:rPr>
        <w:t>9</w:t>
      </w:r>
      <w:r>
        <w:rPr>
          <w:sz w:val="26"/>
          <w:szCs w:val="26"/>
        </w:rPr>
        <w:t>.</w:t>
      </w:r>
      <w:r w:rsidR="00DD2A98">
        <w:rPr>
          <w:sz w:val="26"/>
          <w:szCs w:val="26"/>
        </w:rPr>
        <w:t>7</w:t>
      </w:r>
      <w:r>
        <w:rPr>
          <w:sz w:val="26"/>
          <w:szCs w:val="26"/>
        </w:rPr>
        <w:t xml:space="preserve">%) </w:t>
      </w:r>
      <w:r w:rsidR="00831858">
        <w:rPr>
          <w:sz w:val="26"/>
          <w:szCs w:val="26"/>
        </w:rPr>
        <w:t xml:space="preserve">respecto del total de riesgos enfrentados para el cumplimiento de las metas. </w:t>
      </w:r>
      <w:r w:rsidR="00C72F35">
        <w:rPr>
          <w:sz w:val="26"/>
          <w:szCs w:val="26"/>
        </w:rPr>
        <w:t>Es aconsejable</w:t>
      </w:r>
      <w:r w:rsidR="00831858">
        <w:rPr>
          <w:sz w:val="26"/>
          <w:szCs w:val="26"/>
        </w:rPr>
        <w:t xml:space="preserve">, consecuentemente, </w:t>
      </w:r>
      <w:r w:rsidR="008511A8">
        <w:rPr>
          <w:sz w:val="26"/>
          <w:szCs w:val="26"/>
        </w:rPr>
        <w:t>integrar</w:t>
      </w:r>
      <w:r w:rsidR="00831858">
        <w:rPr>
          <w:sz w:val="26"/>
          <w:szCs w:val="26"/>
        </w:rPr>
        <w:t xml:space="preserve"> algunos tipos de riesgo que representen la mayoría de ese tipo </w:t>
      </w:r>
      <w:r w:rsidR="001E264A">
        <w:rPr>
          <w:sz w:val="26"/>
          <w:szCs w:val="26"/>
        </w:rPr>
        <w:t xml:space="preserve">indefinido </w:t>
      </w:r>
      <w:r w:rsidR="00831858">
        <w:rPr>
          <w:sz w:val="26"/>
          <w:szCs w:val="26"/>
        </w:rPr>
        <w:t>de riesgos.</w:t>
      </w:r>
    </w:p>
    <w:p w14:paraId="24DAFE0C" w14:textId="77777777" w:rsidR="00B57649" w:rsidRPr="00B57649" w:rsidRDefault="00B57649" w:rsidP="00B57649">
      <w:pPr>
        <w:spacing w:after="0" w:line="240" w:lineRule="auto"/>
        <w:jc w:val="both"/>
        <w:rPr>
          <w:sz w:val="26"/>
          <w:szCs w:val="26"/>
        </w:rPr>
      </w:pPr>
    </w:p>
    <w:p w14:paraId="0050D6A0" w14:textId="4D5352E7" w:rsidR="005C0D06" w:rsidRPr="00747872" w:rsidRDefault="006C1D62" w:rsidP="00B3541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747872">
        <w:rPr>
          <w:sz w:val="26"/>
          <w:szCs w:val="26"/>
        </w:rPr>
        <w:t>Se observó que</w:t>
      </w:r>
      <w:r w:rsidR="000E52F1" w:rsidRPr="00747872">
        <w:rPr>
          <w:sz w:val="26"/>
          <w:szCs w:val="26"/>
        </w:rPr>
        <w:t>, en muchos casos,</w:t>
      </w:r>
      <w:r w:rsidRPr="00747872">
        <w:rPr>
          <w:sz w:val="26"/>
          <w:szCs w:val="26"/>
        </w:rPr>
        <w:t xml:space="preserve"> las definiciones </w:t>
      </w:r>
      <w:r w:rsidR="000E52F1" w:rsidRPr="00747872">
        <w:rPr>
          <w:sz w:val="26"/>
          <w:szCs w:val="26"/>
        </w:rPr>
        <w:t xml:space="preserve">que las UR hacen de sus metas son muy detalladas y extensas </w:t>
      </w:r>
      <w:r w:rsidR="0047518F" w:rsidRPr="00747872">
        <w:rPr>
          <w:sz w:val="26"/>
          <w:szCs w:val="26"/>
        </w:rPr>
        <w:t>que las hacen parecer más bien actividades en lugar de metas</w:t>
      </w:r>
      <w:r w:rsidR="00FA45FD" w:rsidRPr="00747872">
        <w:rPr>
          <w:sz w:val="26"/>
          <w:szCs w:val="26"/>
        </w:rPr>
        <w:t>,</w:t>
      </w:r>
      <w:r w:rsidR="0047518F" w:rsidRPr="00747872">
        <w:rPr>
          <w:sz w:val="26"/>
          <w:szCs w:val="26"/>
        </w:rPr>
        <w:t xml:space="preserve"> las cuales deb</w:t>
      </w:r>
      <w:r w:rsidR="00B20F0D" w:rsidRPr="00747872">
        <w:rPr>
          <w:sz w:val="26"/>
          <w:szCs w:val="26"/>
        </w:rPr>
        <w:t>erían</w:t>
      </w:r>
      <w:r w:rsidR="0047518F" w:rsidRPr="00747872">
        <w:rPr>
          <w:sz w:val="26"/>
          <w:szCs w:val="26"/>
        </w:rPr>
        <w:t xml:space="preserve"> ser </w:t>
      </w:r>
      <w:r w:rsidR="000E52F1" w:rsidRPr="00747872">
        <w:rPr>
          <w:sz w:val="26"/>
          <w:szCs w:val="26"/>
        </w:rPr>
        <w:t xml:space="preserve">específicas </w:t>
      </w:r>
      <w:r w:rsidR="00DF5F0D" w:rsidRPr="00747872">
        <w:rPr>
          <w:sz w:val="26"/>
          <w:szCs w:val="26"/>
        </w:rPr>
        <w:t xml:space="preserve">y </w:t>
      </w:r>
      <w:r w:rsidR="0047518F" w:rsidRPr="00747872">
        <w:rPr>
          <w:sz w:val="26"/>
          <w:szCs w:val="26"/>
        </w:rPr>
        <w:t xml:space="preserve">claramente medibles. </w:t>
      </w:r>
      <w:r w:rsidR="009654A7" w:rsidRPr="00747872">
        <w:rPr>
          <w:sz w:val="26"/>
          <w:szCs w:val="26"/>
        </w:rPr>
        <w:t>Por ello se sugiere</w:t>
      </w:r>
      <w:r w:rsidR="00A26D43">
        <w:rPr>
          <w:sz w:val="26"/>
          <w:szCs w:val="26"/>
        </w:rPr>
        <w:t>, al igual que el año pasado,</w:t>
      </w:r>
      <w:r w:rsidR="009654A7" w:rsidRPr="00747872">
        <w:rPr>
          <w:sz w:val="26"/>
          <w:szCs w:val="26"/>
        </w:rPr>
        <w:t xml:space="preserve"> e</w:t>
      </w:r>
      <w:r w:rsidR="00A01CCE" w:rsidRPr="00747872">
        <w:rPr>
          <w:sz w:val="26"/>
          <w:szCs w:val="26"/>
        </w:rPr>
        <w:t xml:space="preserve">laborar un instructivo </w:t>
      </w:r>
      <w:r w:rsidR="00D24EA5" w:rsidRPr="00747872">
        <w:rPr>
          <w:sz w:val="26"/>
          <w:szCs w:val="26"/>
        </w:rPr>
        <w:t xml:space="preserve">básico </w:t>
      </w:r>
      <w:r w:rsidR="00A01CCE" w:rsidRPr="00747872">
        <w:rPr>
          <w:sz w:val="26"/>
          <w:szCs w:val="26"/>
        </w:rPr>
        <w:t>para definir apropiadamente las metas</w:t>
      </w:r>
      <w:r w:rsidR="00CB11BC" w:rsidRPr="00747872">
        <w:rPr>
          <w:sz w:val="26"/>
          <w:szCs w:val="26"/>
        </w:rPr>
        <w:t xml:space="preserve"> </w:t>
      </w:r>
      <w:r w:rsidR="009654A7" w:rsidRPr="00747872">
        <w:rPr>
          <w:sz w:val="26"/>
          <w:szCs w:val="26"/>
        </w:rPr>
        <w:t xml:space="preserve">de los programas </w:t>
      </w:r>
      <w:r w:rsidR="00CB11BC" w:rsidRPr="00747872">
        <w:rPr>
          <w:sz w:val="26"/>
          <w:szCs w:val="26"/>
        </w:rPr>
        <w:t xml:space="preserve">pues esto ayudará a mejorar, entre otras cosas, </w:t>
      </w:r>
      <w:r w:rsidR="00D24EA5" w:rsidRPr="00747872">
        <w:rPr>
          <w:sz w:val="26"/>
          <w:szCs w:val="26"/>
        </w:rPr>
        <w:t>los</w:t>
      </w:r>
      <w:r w:rsidR="00CB11BC" w:rsidRPr="00747872">
        <w:rPr>
          <w:sz w:val="26"/>
          <w:szCs w:val="26"/>
        </w:rPr>
        <w:t xml:space="preserve"> controles de avances y </w:t>
      </w:r>
      <w:r w:rsidR="009654A7" w:rsidRPr="00747872">
        <w:rPr>
          <w:sz w:val="26"/>
          <w:szCs w:val="26"/>
        </w:rPr>
        <w:t xml:space="preserve">a identificar la </w:t>
      </w:r>
      <w:r w:rsidR="00CB11BC" w:rsidRPr="00747872">
        <w:rPr>
          <w:sz w:val="26"/>
          <w:szCs w:val="26"/>
        </w:rPr>
        <w:t>problemática enfrentad</w:t>
      </w:r>
      <w:r w:rsidR="009654A7" w:rsidRPr="00747872">
        <w:rPr>
          <w:sz w:val="26"/>
          <w:szCs w:val="26"/>
        </w:rPr>
        <w:t>a</w:t>
      </w:r>
      <w:r w:rsidR="00D24EA5" w:rsidRPr="00747872">
        <w:rPr>
          <w:sz w:val="26"/>
          <w:szCs w:val="26"/>
        </w:rPr>
        <w:t xml:space="preserve"> por las UR</w:t>
      </w:r>
      <w:r w:rsidR="00CB11BC" w:rsidRPr="00747872">
        <w:rPr>
          <w:sz w:val="26"/>
          <w:szCs w:val="26"/>
        </w:rPr>
        <w:t xml:space="preserve"> para la obtención de sus logros</w:t>
      </w:r>
      <w:r w:rsidR="00142F8F" w:rsidRPr="00747872">
        <w:rPr>
          <w:sz w:val="26"/>
          <w:szCs w:val="26"/>
        </w:rPr>
        <w:t xml:space="preserve"> institucionales</w:t>
      </w:r>
      <w:r w:rsidR="00CB11BC" w:rsidRPr="00747872">
        <w:rPr>
          <w:sz w:val="26"/>
          <w:szCs w:val="26"/>
        </w:rPr>
        <w:t>.</w:t>
      </w:r>
    </w:p>
    <w:p w14:paraId="38465772" w14:textId="77777777" w:rsidR="005C0D06" w:rsidRPr="005C0D06" w:rsidRDefault="005C0D06" w:rsidP="005C0D06">
      <w:pPr>
        <w:spacing w:after="0" w:line="240" w:lineRule="auto"/>
        <w:jc w:val="both"/>
        <w:rPr>
          <w:sz w:val="26"/>
          <w:szCs w:val="26"/>
        </w:rPr>
      </w:pPr>
    </w:p>
    <w:p w14:paraId="7D958767" w14:textId="77777777" w:rsidR="007F560A" w:rsidRDefault="007F560A" w:rsidP="00FA3091">
      <w:pPr>
        <w:spacing w:after="0" w:line="240" w:lineRule="auto"/>
        <w:jc w:val="both"/>
        <w:rPr>
          <w:sz w:val="26"/>
          <w:szCs w:val="26"/>
        </w:rPr>
      </w:pPr>
    </w:p>
    <w:p w14:paraId="6C788495" w14:textId="77777777" w:rsidR="007F560A" w:rsidRDefault="007F560A" w:rsidP="00FA3091">
      <w:pPr>
        <w:spacing w:after="0" w:line="240" w:lineRule="auto"/>
        <w:jc w:val="both"/>
        <w:rPr>
          <w:sz w:val="26"/>
          <w:szCs w:val="26"/>
        </w:rPr>
      </w:pPr>
    </w:p>
    <w:p w14:paraId="6683463B" w14:textId="7843770B" w:rsidR="007F560A" w:rsidRPr="00FA3091" w:rsidRDefault="007F560A" w:rsidP="007F560A">
      <w:pPr>
        <w:spacing w:after="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Fecha</w:t>
      </w:r>
      <w:r w:rsidR="006A1CC8">
        <w:rPr>
          <w:sz w:val="26"/>
          <w:szCs w:val="26"/>
        </w:rPr>
        <w:t xml:space="preserve"> de elaboración</w:t>
      </w:r>
      <w:r>
        <w:rPr>
          <w:sz w:val="26"/>
          <w:szCs w:val="26"/>
        </w:rPr>
        <w:t xml:space="preserve">: </w:t>
      </w:r>
      <w:r w:rsidR="005273B4">
        <w:rPr>
          <w:sz w:val="26"/>
          <w:szCs w:val="26"/>
        </w:rPr>
        <w:t>Mayo</w:t>
      </w:r>
      <w:r>
        <w:rPr>
          <w:sz w:val="26"/>
          <w:szCs w:val="26"/>
        </w:rPr>
        <w:t xml:space="preserve"> de 202</w:t>
      </w:r>
      <w:r w:rsidR="005273B4">
        <w:rPr>
          <w:sz w:val="26"/>
          <w:szCs w:val="26"/>
        </w:rPr>
        <w:t>4</w:t>
      </w:r>
    </w:p>
    <w:sectPr w:rsidR="007F560A" w:rsidRPr="00FA3091" w:rsidSect="00C359CC">
      <w:footerReference w:type="default" r:id="rId52"/>
      <w:pgSz w:w="12240" w:h="15840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2B2A1" w14:textId="77777777" w:rsidR="009D78BE" w:rsidRDefault="009D78BE" w:rsidP="00C359CC">
      <w:pPr>
        <w:spacing w:after="0" w:line="240" w:lineRule="auto"/>
      </w:pPr>
      <w:r>
        <w:separator/>
      </w:r>
    </w:p>
  </w:endnote>
  <w:endnote w:type="continuationSeparator" w:id="0">
    <w:p w14:paraId="4A73FA10" w14:textId="77777777" w:rsidR="009D78BE" w:rsidRDefault="009D78BE" w:rsidP="00C3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657454"/>
      <w:docPartObj>
        <w:docPartGallery w:val="Page Numbers (Bottom of Page)"/>
        <w:docPartUnique/>
      </w:docPartObj>
    </w:sdtPr>
    <w:sdtEndPr/>
    <w:sdtContent>
      <w:p w14:paraId="1B3982FD" w14:textId="77777777" w:rsidR="00C359CC" w:rsidRDefault="00C359C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7C5" w:rsidRPr="001877C5">
          <w:rPr>
            <w:noProof/>
            <w:lang w:val="es-ES"/>
          </w:rPr>
          <w:t>4</w:t>
        </w:r>
        <w:r>
          <w:fldChar w:fldCharType="end"/>
        </w:r>
      </w:p>
    </w:sdtContent>
  </w:sdt>
  <w:p w14:paraId="0862E986" w14:textId="77777777" w:rsidR="00C359CC" w:rsidRDefault="00C359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40160" w14:textId="77777777" w:rsidR="009D78BE" w:rsidRDefault="009D78BE" w:rsidP="00C359CC">
      <w:pPr>
        <w:spacing w:after="0" w:line="240" w:lineRule="auto"/>
      </w:pPr>
      <w:r>
        <w:separator/>
      </w:r>
    </w:p>
  </w:footnote>
  <w:footnote w:type="continuationSeparator" w:id="0">
    <w:p w14:paraId="6B5FD42F" w14:textId="77777777" w:rsidR="009D78BE" w:rsidRDefault="009D78BE" w:rsidP="00C3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16E5"/>
    <w:multiLevelType w:val="hybridMultilevel"/>
    <w:tmpl w:val="08145F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757DC2"/>
    <w:multiLevelType w:val="hybridMultilevel"/>
    <w:tmpl w:val="B6767D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42863"/>
    <w:multiLevelType w:val="hybridMultilevel"/>
    <w:tmpl w:val="2F40F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E5"/>
    <w:rsid w:val="000067B3"/>
    <w:rsid w:val="00014251"/>
    <w:rsid w:val="000167C1"/>
    <w:rsid w:val="000224AF"/>
    <w:rsid w:val="00025EF9"/>
    <w:rsid w:val="000268B2"/>
    <w:rsid w:val="000301EF"/>
    <w:rsid w:val="00030EB0"/>
    <w:rsid w:val="000340E6"/>
    <w:rsid w:val="00045EB5"/>
    <w:rsid w:val="00047376"/>
    <w:rsid w:val="00051B8A"/>
    <w:rsid w:val="000523F5"/>
    <w:rsid w:val="000562BB"/>
    <w:rsid w:val="00057E32"/>
    <w:rsid w:val="0006259E"/>
    <w:rsid w:val="000628C5"/>
    <w:rsid w:val="000710F4"/>
    <w:rsid w:val="000924FD"/>
    <w:rsid w:val="000951C3"/>
    <w:rsid w:val="000A1035"/>
    <w:rsid w:val="000A3A87"/>
    <w:rsid w:val="000A5557"/>
    <w:rsid w:val="000C1072"/>
    <w:rsid w:val="000C1385"/>
    <w:rsid w:val="000C78FF"/>
    <w:rsid w:val="000D1709"/>
    <w:rsid w:val="000D3A55"/>
    <w:rsid w:val="000D3C28"/>
    <w:rsid w:val="000D3F9D"/>
    <w:rsid w:val="000E52F1"/>
    <w:rsid w:val="001130F3"/>
    <w:rsid w:val="001144B4"/>
    <w:rsid w:val="00115D4B"/>
    <w:rsid w:val="00120CB0"/>
    <w:rsid w:val="00125871"/>
    <w:rsid w:val="0012632D"/>
    <w:rsid w:val="00126FDB"/>
    <w:rsid w:val="00134704"/>
    <w:rsid w:val="001350CA"/>
    <w:rsid w:val="00142F8F"/>
    <w:rsid w:val="00143ED4"/>
    <w:rsid w:val="00147A00"/>
    <w:rsid w:val="00155439"/>
    <w:rsid w:val="00167751"/>
    <w:rsid w:val="00167C08"/>
    <w:rsid w:val="00170331"/>
    <w:rsid w:val="00170A8C"/>
    <w:rsid w:val="001719E9"/>
    <w:rsid w:val="001728F4"/>
    <w:rsid w:val="0017573E"/>
    <w:rsid w:val="001809BE"/>
    <w:rsid w:val="00183E7E"/>
    <w:rsid w:val="00184178"/>
    <w:rsid w:val="00187765"/>
    <w:rsid w:val="001877C5"/>
    <w:rsid w:val="001879D0"/>
    <w:rsid w:val="0019131D"/>
    <w:rsid w:val="001930E7"/>
    <w:rsid w:val="001947DD"/>
    <w:rsid w:val="001A2846"/>
    <w:rsid w:val="001A31AB"/>
    <w:rsid w:val="001B12A1"/>
    <w:rsid w:val="001B5A08"/>
    <w:rsid w:val="001B6104"/>
    <w:rsid w:val="001C0294"/>
    <w:rsid w:val="001C0903"/>
    <w:rsid w:val="001C63F0"/>
    <w:rsid w:val="001D0B52"/>
    <w:rsid w:val="001D3ED1"/>
    <w:rsid w:val="001D7412"/>
    <w:rsid w:val="001E264A"/>
    <w:rsid w:val="001E51F6"/>
    <w:rsid w:val="001E7DC3"/>
    <w:rsid w:val="001F3E7E"/>
    <w:rsid w:val="001F7E21"/>
    <w:rsid w:val="002027B4"/>
    <w:rsid w:val="002054C0"/>
    <w:rsid w:val="00220056"/>
    <w:rsid w:val="002211CC"/>
    <w:rsid w:val="002343B4"/>
    <w:rsid w:val="002447CC"/>
    <w:rsid w:val="002541F4"/>
    <w:rsid w:val="00255F76"/>
    <w:rsid w:val="002638C5"/>
    <w:rsid w:val="002640C8"/>
    <w:rsid w:val="0027357B"/>
    <w:rsid w:val="0027737E"/>
    <w:rsid w:val="002821FA"/>
    <w:rsid w:val="00284A27"/>
    <w:rsid w:val="0029003C"/>
    <w:rsid w:val="002A67D0"/>
    <w:rsid w:val="002B109C"/>
    <w:rsid w:val="002B43D1"/>
    <w:rsid w:val="002B559C"/>
    <w:rsid w:val="002B566C"/>
    <w:rsid w:val="002B7C83"/>
    <w:rsid w:val="002C11DC"/>
    <w:rsid w:val="002C2E3C"/>
    <w:rsid w:val="002D31DD"/>
    <w:rsid w:val="002D42D6"/>
    <w:rsid w:val="002D4906"/>
    <w:rsid w:val="002F13A9"/>
    <w:rsid w:val="002F4F6E"/>
    <w:rsid w:val="002F5ADE"/>
    <w:rsid w:val="002F5D90"/>
    <w:rsid w:val="00302F8E"/>
    <w:rsid w:val="003035F1"/>
    <w:rsid w:val="00304BA2"/>
    <w:rsid w:val="00306EFE"/>
    <w:rsid w:val="00313D2E"/>
    <w:rsid w:val="00316909"/>
    <w:rsid w:val="00332961"/>
    <w:rsid w:val="00333B07"/>
    <w:rsid w:val="00334856"/>
    <w:rsid w:val="0034186B"/>
    <w:rsid w:val="003430CB"/>
    <w:rsid w:val="003449DC"/>
    <w:rsid w:val="00356164"/>
    <w:rsid w:val="003604ED"/>
    <w:rsid w:val="003636D5"/>
    <w:rsid w:val="003728E6"/>
    <w:rsid w:val="00375FA8"/>
    <w:rsid w:val="00394612"/>
    <w:rsid w:val="00396C54"/>
    <w:rsid w:val="003A23F2"/>
    <w:rsid w:val="003A2990"/>
    <w:rsid w:val="003A4C39"/>
    <w:rsid w:val="003B1CA2"/>
    <w:rsid w:val="003B6264"/>
    <w:rsid w:val="003C0656"/>
    <w:rsid w:val="003C65DE"/>
    <w:rsid w:val="003C6ABF"/>
    <w:rsid w:val="003D280C"/>
    <w:rsid w:val="003D40F9"/>
    <w:rsid w:val="003D43BF"/>
    <w:rsid w:val="003E05E0"/>
    <w:rsid w:val="003E2124"/>
    <w:rsid w:val="003E235B"/>
    <w:rsid w:val="003E2A42"/>
    <w:rsid w:val="003F3AD3"/>
    <w:rsid w:val="003F629F"/>
    <w:rsid w:val="003F70A8"/>
    <w:rsid w:val="00400645"/>
    <w:rsid w:val="004055E5"/>
    <w:rsid w:val="00406901"/>
    <w:rsid w:val="0041176F"/>
    <w:rsid w:val="004135C7"/>
    <w:rsid w:val="00420DE2"/>
    <w:rsid w:val="00425B97"/>
    <w:rsid w:val="004269A3"/>
    <w:rsid w:val="00443890"/>
    <w:rsid w:val="004508BC"/>
    <w:rsid w:val="00450C70"/>
    <w:rsid w:val="004565CF"/>
    <w:rsid w:val="00457003"/>
    <w:rsid w:val="00457127"/>
    <w:rsid w:val="00472FF8"/>
    <w:rsid w:val="0047518F"/>
    <w:rsid w:val="00475462"/>
    <w:rsid w:val="00476B56"/>
    <w:rsid w:val="00493E18"/>
    <w:rsid w:val="00493F06"/>
    <w:rsid w:val="0049422A"/>
    <w:rsid w:val="004A4A67"/>
    <w:rsid w:val="004B72B5"/>
    <w:rsid w:val="004C2559"/>
    <w:rsid w:val="004D0562"/>
    <w:rsid w:val="004D0BEE"/>
    <w:rsid w:val="004E1DCB"/>
    <w:rsid w:val="004F025E"/>
    <w:rsid w:val="005009E5"/>
    <w:rsid w:val="0050303B"/>
    <w:rsid w:val="0051179A"/>
    <w:rsid w:val="005154E6"/>
    <w:rsid w:val="005273B4"/>
    <w:rsid w:val="0053300A"/>
    <w:rsid w:val="005348D6"/>
    <w:rsid w:val="00536529"/>
    <w:rsid w:val="00537A0E"/>
    <w:rsid w:val="005570DA"/>
    <w:rsid w:val="005619EC"/>
    <w:rsid w:val="00561FBE"/>
    <w:rsid w:val="00564CE7"/>
    <w:rsid w:val="005822AF"/>
    <w:rsid w:val="00582ABA"/>
    <w:rsid w:val="00590A7A"/>
    <w:rsid w:val="00591A7C"/>
    <w:rsid w:val="005A1B15"/>
    <w:rsid w:val="005A4A1D"/>
    <w:rsid w:val="005B5276"/>
    <w:rsid w:val="005B77AC"/>
    <w:rsid w:val="005C05C5"/>
    <w:rsid w:val="005C0D06"/>
    <w:rsid w:val="005C1D9E"/>
    <w:rsid w:val="005E53BB"/>
    <w:rsid w:val="005E5E33"/>
    <w:rsid w:val="0060131B"/>
    <w:rsid w:val="0060543B"/>
    <w:rsid w:val="0061270B"/>
    <w:rsid w:val="00621E9D"/>
    <w:rsid w:val="00627ABB"/>
    <w:rsid w:val="00642C3C"/>
    <w:rsid w:val="0064429A"/>
    <w:rsid w:val="006450C8"/>
    <w:rsid w:val="0064793C"/>
    <w:rsid w:val="006579C9"/>
    <w:rsid w:val="00663A9B"/>
    <w:rsid w:val="006651BA"/>
    <w:rsid w:val="00665676"/>
    <w:rsid w:val="006664E9"/>
    <w:rsid w:val="006675F1"/>
    <w:rsid w:val="00667C8E"/>
    <w:rsid w:val="00677CEC"/>
    <w:rsid w:val="00677DF7"/>
    <w:rsid w:val="00691CE4"/>
    <w:rsid w:val="006931A3"/>
    <w:rsid w:val="006A1CC8"/>
    <w:rsid w:val="006A1D84"/>
    <w:rsid w:val="006A3C28"/>
    <w:rsid w:val="006A7AE8"/>
    <w:rsid w:val="006B6671"/>
    <w:rsid w:val="006C1D62"/>
    <w:rsid w:val="006D108C"/>
    <w:rsid w:val="006E66A0"/>
    <w:rsid w:val="006F0D69"/>
    <w:rsid w:val="006F2710"/>
    <w:rsid w:val="007000C9"/>
    <w:rsid w:val="00700762"/>
    <w:rsid w:val="007007F5"/>
    <w:rsid w:val="00700ADF"/>
    <w:rsid w:val="007031B2"/>
    <w:rsid w:val="00704439"/>
    <w:rsid w:val="007103A3"/>
    <w:rsid w:val="0071219B"/>
    <w:rsid w:val="0071426E"/>
    <w:rsid w:val="00724054"/>
    <w:rsid w:val="00731DB7"/>
    <w:rsid w:val="007370FD"/>
    <w:rsid w:val="00747872"/>
    <w:rsid w:val="0075156C"/>
    <w:rsid w:val="007539CA"/>
    <w:rsid w:val="00757917"/>
    <w:rsid w:val="00761DA2"/>
    <w:rsid w:val="00766D3A"/>
    <w:rsid w:val="00767449"/>
    <w:rsid w:val="00770C4A"/>
    <w:rsid w:val="0077111C"/>
    <w:rsid w:val="00772F47"/>
    <w:rsid w:val="00776366"/>
    <w:rsid w:val="00791ACC"/>
    <w:rsid w:val="007A0BDB"/>
    <w:rsid w:val="007A439B"/>
    <w:rsid w:val="007A52F4"/>
    <w:rsid w:val="007A7553"/>
    <w:rsid w:val="007C2D28"/>
    <w:rsid w:val="007C31EE"/>
    <w:rsid w:val="007D1DD5"/>
    <w:rsid w:val="007E76C8"/>
    <w:rsid w:val="007F0059"/>
    <w:rsid w:val="007F560A"/>
    <w:rsid w:val="0080146C"/>
    <w:rsid w:val="008025EB"/>
    <w:rsid w:val="00803E40"/>
    <w:rsid w:val="008062C1"/>
    <w:rsid w:val="00806BCD"/>
    <w:rsid w:val="00807A56"/>
    <w:rsid w:val="00816FE2"/>
    <w:rsid w:val="00823AEA"/>
    <w:rsid w:val="00831858"/>
    <w:rsid w:val="00834660"/>
    <w:rsid w:val="00835860"/>
    <w:rsid w:val="00836274"/>
    <w:rsid w:val="00842876"/>
    <w:rsid w:val="008467FE"/>
    <w:rsid w:val="008511A8"/>
    <w:rsid w:val="00852296"/>
    <w:rsid w:val="00852352"/>
    <w:rsid w:val="00852D17"/>
    <w:rsid w:val="008565F0"/>
    <w:rsid w:val="00866081"/>
    <w:rsid w:val="00881F9F"/>
    <w:rsid w:val="0088397C"/>
    <w:rsid w:val="00885EC0"/>
    <w:rsid w:val="008870E7"/>
    <w:rsid w:val="00894F26"/>
    <w:rsid w:val="008964BB"/>
    <w:rsid w:val="008A2A47"/>
    <w:rsid w:val="008A6475"/>
    <w:rsid w:val="008A7529"/>
    <w:rsid w:val="008B42F9"/>
    <w:rsid w:val="008D0675"/>
    <w:rsid w:val="008D5601"/>
    <w:rsid w:val="008D6146"/>
    <w:rsid w:val="008D6D34"/>
    <w:rsid w:val="008E58E7"/>
    <w:rsid w:val="009000B4"/>
    <w:rsid w:val="0090745A"/>
    <w:rsid w:val="0091552D"/>
    <w:rsid w:val="0093486E"/>
    <w:rsid w:val="0094217A"/>
    <w:rsid w:val="00942AA1"/>
    <w:rsid w:val="009440B6"/>
    <w:rsid w:val="0094448D"/>
    <w:rsid w:val="00951155"/>
    <w:rsid w:val="00953931"/>
    <w:rsid w:val="00961B05"/>
    <w:rsid w:val="009654A7"/>
    <w:rsid w:val="0097443E"/>
    <w:rsid w:val="00975617"/>
    <w:rsid w:val="00976077"/>
    <w:rsid w:val="00980858"/>
    <w:rsid w:val="00982F34"/>
    <w:rsid w:val="00984F9C"/>
    <w:rsid w:val="00990CE4"/>
    <w:rsid w:val="009A783A"/>
    <w:rsid w:val="009B0FF7"/>
    <w:rsid w:val="009B1730"/>
    <w:rsid w:val="009B39B4"/>
    <w:rsid w:val="009B6954"/>
    <w:rsid w:val="009C1A64"/>
    <w:rsid w:val="009D2FB7"/>
    <w:rsid w:val="009D78BE"/>
    <w:rsid w:val="009E67D7"/>
    <w:rsid w:val="009F0A74"/>
    <w:rsid w:val="009F4B0B"/>
    <w:rsid w:val="009F4BF1"/>
    <w:rsid w:val="00A01CCE"/>
    <w:rsid w:val="00A058FE"/>
    <w:rsid w:val="00A14592"/>
    <w:rsid w:val="00A173CD"/>
    <w:rsid w:val="00A22601"/>
    <w:rsid w:val="00A26D43"/>
    <w:rsid w:val="00A31D4B"/>
    <w:rsid w:val="00A32151"/>
    <w:rsid w:val="00A33CF4"/>
    <w:rsid w:val="00A369C0"/>
    <w:rsid w:val="00A41FB9"/>
    <w:rsid w:val="00A475A9"/>
    <w:rsid w:val="00A50DC9"/>
    <w:rsid w:val="00A5108E"/>
    <w:rsid w:val="00A60861"/>
    <w:rsid w:val="00A60A0C"/>
    <w:rsid w:val="00A65005"/>
    <w:rsid w:val="00A66D3C"/>
    <w:rsid w:val="00A77BFD"/>
    <w:rsid w:val="00AA4556"/>
    <w:rsid w:val="00AA738F"/>
    <w:rsid w:val="00AB1510"/>
    <w:rsid w:val="00AC02B2"/>
    <w:rsid w:val="00AC483E"/>
    <w:rsid w:val="00AC5047"/>
    <w:rsid w:val="00AC62E1"/>
    <w:rsid w:val="00AC750A"/>
    <w:rsid w:val="00AD124B"/>
    <w:rsid w:val="00AE1E5D"/>
    <w:rsid w:val="00AF37F5"/>
    <w:rsid w:val="00AF4E35"/>
    <w:rsid w:val="00AF6B70"/>
    <w:rsid w:val="00B031FF"/>
    <w:rsid w:val="00B05178"/>
    <w:rsid w:val="00B07785"/>
    <w:rsid w:val="00B14F94"/>
    <w:rsid w:val="00B157B9"/>
    <w:rsid w:val="00B15FC5"/>
    <w:rsid w:val="00B207AD"/>
    <w:rsid w:val="00B20F0D"/>
    <w:rsid w:val="00B31B07"/>
    <w:rsid w:val="00B33272"/>
    <w:rsid w:val="00B54B2B"/>
    <w:rsid w:val="00B57649"/>
    <w:rsid w:val="00B70C33"/>
    <w:rsid w:val="00B721FA"/>
    <w:rsid w:val="00B73E57"/>
    <w:rsid w:val="00B75E5A"/>
    <w:rsid w:val="00B77ACF"/>
    <w:rsid w:val="00B83449"/>
    <w:rsid w:val="00B83CD1"/>
    <w:rsid w:val="00B93090"/>
    <w:rsid w:val="00BA108F"/>
    <w:rsid w:val="00BA2A67"/>
    <w:rsid w:val="00BA45A7"/>
    <w:rsid w:val="00BA4D7B"/>
    <w:rsid w:val="00BA75EC"/>
    <w:rsid w:val="00BB0A63"/>
    <w:rsid w:val="00BB304B"/>
    <w:rsid w:val="00BB3787"/>
    <w:rsid w:val="00BB47EA"/>
    <w:rsid w:val="00BC48DB"/>
    <w:rsid w:val="00BD4C60"/>
    <w:rsid w:val="00BD716F"/>
    <w:rsid w:val="00BE684C"/>
    <w:rsid w:val="00BE760C"/>
    <w:rsid w:val="00BF3C32"/>
    <w:rsid w:val="00C00D4F"/>
    <w:rsid w:val="00C01081"/>
    <w:rsid w:val="00C04A46"/>
    <w:rsid w:val="00C143C8"/>
    <w:rsid w:val="00C14A1C"/>
    <w:rsid w:val="00C17E9D"/>
    <w:rsid w:val="00C21C73"/>
    <w:rsid w:val="00C23467"/>
    <w:rsid w:val="00C320AA"/>
    <w:rsid w:val="00C359CC"/>
    <w:rsid w:val="00C40024"/>
    <w:rsid w:val="00C54FCC"/>
    <w:rsid w:val="00C56BD3"/>
    <w:rsid w:val="00C573CC"/>
    <w:rsid w:val="00C575EB"/>
    <w:rsid w:val="00C65A1B"/>
    <w:rsid w:val="00C72F35"/>
    <w:rsid w:val="00C74831"/>
    <w:rsid w:val="00C833E8"/>
    <w:rsid w:val="00C83638"/>
    <w:rsid w:val="00C84FEF"/>
    <w:rsid w:val="00C8640B"/>
    <w:rsid w:val="00C86B74"/>
    <w:rsid w:val="00C90430"/>
    <w:rsid w:val="00C91545"/>
    <w:rsid w:val="00C97315"/>
    <w:rsid w:val="00CA3955"/>
    <w:rsid w:val="00CA46BD"/>
    <w:rsid w:val="00CA6D2D"/>
    <w:rsid w:val="00CB11BC"/>
    <w:rsid w:val="00CB2675"/>
    <w:rsid w:val="00CB2EAA"/>
    <w:rsid w:val="00CB3DBB"/>
    <w:rsid w:val="00CB7264"/>
    <w:rsid w:val="00CC2373"/>
    <w:rsid w:val="00CD0C0D"/>
    <w:rsid w:val="00CD159E"/>
    <w:rsid w:val="00CE6E69"/>
    <w:rsid w:val="00CE6ECF"/>
    <w:rsid w:val="00CF48C7"/>
    <w:rsid w:val="00CF7149"/>
    <w:rsid w:val="00CF7BDF"/>
    <w:rsid w:val="00D03650"/>
    <w:rsid w:val="00D0625F"/>
    <w:rsid w:val="00D14BFE"/>
    <w:rsid w:val="00D200C7"/>
    <w:rsid w:val="00D24EA5"/>
    <w:rsid w:val="00D2555C"/>
    <w:rsid w:val="00D33E15"/>
    <w:rsid w:val="00D366B0"/>
    <w:rsid w:val="00D423BC"/>
    <w:rsid w:val="00D436BD"/>
    <w:rsid w:val="00D63413"/>
    <w:rsid w:val="00D754D3"/>
    <w:rsid w:val="00D846B6"/>
    <w:rsid w:val="00D9233C"/>
    <w:rsid w:val="00DA0A9E"/>
    <w:rsid w:val="00DA437C"/>
    <w:rsid w:val="00DA6D09"/>
    <w:rsid w:val="00DB5144"/>
    <w:rsid w:val="00DC1499"/>
    <w:rsid w:val="00DC589C"/>
    <w:rsid w:val="00DC6D2E"/>
    <w:rsid w:val="00DD1CA4"/>
    <w:rsid w:val="00DD2707"/>
    <w:rsid w:val="00DD2A98"/>
    <w:rsid w:val="00DD2D13"/>
    <w:rsid w:val="00DD6ACA"/>
    <w:rsid w:val="00DE001A"/>
    <w:rsid w:val="00DE3AA5"/>
    <w:rsid w:val="00DE54BA"/>
    <w:rsid w:val="00DF2804"/>
    <w:rsid w:val="00DF5F0D"/>
    <w:rsid w:val="00DF6FEE"/>
    <w:rsid w:val="00DF759D"/>
    <w:rsid w:val="00E00061"/>
    <w:rsid w:val="00E00166"/>
    <w:rsid w:val="00E03F77"/>
    <w:rsid w:val="00E04D70"/>
    <w:rsid w:val="00E12C06"/>
    <w:rsid w:val="00E13983"/>
    <w:rsid w:val="00E21169"/>
    <w:rsid w:val="00E25429"/>
    <w:rsid w:val="00E3438C"/>
    <w:rsid w:val="00E3534B"/>
    <w:rsid w:val="00E42AFF"/>
    <w:rsid w:val="00E468C9"/>
    <w:rsid w:val="00E46DBB"/>
    <w:rsid w:val="00E46EAB"/>
    <w:rsid w:val="00E46F0B"/>
    <w:rsid w:val="00E47FFB"/>
    <w:rsid w:val="00E53363"/>
    <w:rsid w:val="00E56F0F"/>
    <w:rsid w:val="00E61EC7"/>
    <w:rsid w:val="00E62105"/>
    <w:rsid w:val="00E63227"/>
    <w:rsid w:val="00E64AD0"/>
    <w:rsid w:val="00E679FB"/>
    <w:rsid w:val="00E72B3D"/>
    <w:rsid w:val="00E91F04"/>
    <w:rsid w:val="00EA1256"/>
    <w:rsid w:val="00EA69EE"/>
    <w:rsid w:val="00EA7001"/>
    <w:rsid w:val="00EB0DF8"/>
    <w:rsid w:val="00EB47A4"/>
    <w:rsid w:val="00EB700C"/>
    <w:rsid w:val="00EB7F9C"/>
    <w:rsid w:val="00EC4396"/>
    <w:rsid w:val="00EC59C1"/>
    <w:rsid w:val="00EC670F"/>
    <w:rsid w:val="00EC76E0"/>
    <w:rsid w:val="00EC7856"/>
    <w:rsid w:val="00ED4F69"/>
    <w:rsid w:val="00EF645B"/>
    <w:rsid w:val="00EF6A9D"/>
    <w:rsid w:val="00F0338E"/>
    <w:rsid w:val="00F10575"/>
    <w:rsid w:val="00F105DE"/>
    <w:rsid w:val="00F15280"/>
    <w:rsid w:val="00F169E5"/>
    <w:rsid w:val="00F25357"/>
    <w:rsid w:val="00F2652A"/>
    <w:rsid w:val="00F306D8"/>
    <w:rsid w:val="00F30FD2"/>
    <w:rsid w:val="00F33D83"/>
    <w:rsid w:val="00F3423E"/>
    <w:rsid w:val="00F40B38"/>
    <w:rsid w:val="00F41268"/>
    <w:rsid w:val="00F46482"/>
    <w:rsid w:val="00F50BAA"/>
    <w:rsid w:val="00F66E72"/>
    <w:rsid w:val="00F90F87"/>
    <w:rsid w:val="00F92AB9"/>
    <w:rsid w:val="00F9350D"/>
    <w:rsid w:val="00F94BBD"/>
    <w:rsid w:val="00FA3091"/>
    <w:rsid w:val="00FA45FD"/>
    <w:rsid w:val="00FB2FF5"/>
    <w:rsid w:val="00FC4A99"/>
    <w:rsid w:val="00FD2CDF"/>
    <w:rsid w:val="00FD3757"/>
    <w:rsid w:val="00FE5BFF"/>
    <w:rsid w:val="00FE74AB"/>
    <w:rsid w:val="00FF565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9DA0"/>
  <w15:chartTrackingRefBased/>
  <w15:docId w15:val="{067D6A32-5498-48FE-8A2F-33F874A6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9CC"/>
  </w:style>
  <w:style w:type="paragraph" w:styleId="Piedepgina">
    <w:name w:val="footer"/>
    <w:basedOn w:val="Normal"/>
    <w:link w:val="PiedepginaCar"/>
    <w:uiPriority w:val="99"/>
    <w:unhideWhenUsed/>
    <w:rsid w:val="00C35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9CC"/>
  </w:style>
  <w:style w:type="paragraph" w:styleId="Prrafodelista">
    <w:name w:val="List Paragraph"/>
    <w:basedOn w:val="Normal"/>
    <w:uiPriority w:val="34"/>
    <w:qFormat/>
    <w:rsid w:val="0067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chart" Target="charts/chart5.xml"/><Relationship Id="rId26" Type="http://schemas.openxmlformats.org/officeDocument/2006/relationships/chart" Target="charts/chart13.xml"/><Relationship Id="rId39" Type="http://schemas.openxmlformats.org/officeDocument/2006/relationships/chart" Target="charts/chart26.xml"/><Relationship Id="rId21" Type="http://schemas.openxmlformats.org/officeDocument/2006/relationships/chart" Target="charts/chart8.xml"/><Relationship Id="rId34" Type="http://schemas.openxmlformats.org/officeDocument/2006/relationships/chart" Target="charts/chart21.xml"/><Relationship Id="rId42" Type="http://schemas.openxmlformats.org/officeDocument/2006/relationships/chart" Target="charts/chart29.xml"/><Relationship Id="rId47" Type="http://schemas.openxmlformats.org/officeDocument/2006/relationships/chart" Target="charts/chart34.xml"/><Relationship Id="rId50" Type="http://schemas.openxmlformats.org/officeDocument/2006/relationships/chart" Target="charts/chart3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9" Type="http://schemas.openxmlformats.org/officeDocument/2006/relationships/chart" Target="charts/chart16.xml"/><Relationship Id="rId11" Type="http://schemas.openxmlformats.org/officeDocument/2006/relationships/image" Target="media/image4.emf"/><Relationship Id="rId24" Type="http://schemas.openxmlformats.org/officeDocument/2006/relationships/chart" Target="charts/chart11.xml"/><Relationship Id="rId32" Type="http://schemas.openxmlformats.org/officeDocument/2006/relationships/chart" Target="charts/chart19.xml"/><Relationship Id="rId37" Type="http://schemas.openxmlformats.org/officeDocument/2006/relationships/chart" Target="charts/chart24.xml"/><Relationship Id="rId40" Type="http://schemas.openxmlformats.org/officeDocument/2006/relationships/chart" Target="charts/chart27.xml"/><Relationship Id="rId45" Type="http://schemas.openxmlformats.org/officeDocument/2006/relationships/chart" Target="charts/chart32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31" Type="http://schemas.openxmlformats.org/officeDocument/2006/relationships/chart" Target="charts/chart18.xml"/><Relationship Id="rId44" Type="http://schemas.openxmlformats.org/officeDocument/2006/relationships/chart" Target="charts/chart31.xm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chart" Target="charts/chart14.xml"/><Relationship Id="rId30" Type="http://schemas.openxmlformats.org/officeDocument/2006/relationships/chart" Target="charts/chart17.xml"/><Relationship Id="rId35" Type="http://schemas.openxmlformats.org/officeDocument/2006/relationships/chart" Target="charts/chart22.xml"/><Relationship Id="rId43" Type="http://schemas.openxmlformats.org/officeDocument/2006/relationships/chart" Target="charts/chart30.xml"/><Relationship Id="rId48" Type="http://schemas.openxmlformats.org/officeDocument/2006/relationships/chart" Target="charts/chart35.xml"/><Relationship Id="rId8" Type="http://schemas.openxmlformats.org/officeDocument/2006/relationships/image" Target="media/image1.emf"/><Relationship Id="rId51" Type="http://schemas.openxmlformats.org/officeDocument/2006/relationships/chart" Target="charts/chart38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5" Type="http://schemas.openxmlformats.org/officeDocument/2006/relationships/chart" Target="charts/chart12.xml"/><Relationship Id="rId33" Type="http://schemas.openxmlformats.org/officeDocument/2006/relationships/chart" Target="charts/chart20.xml"/><Relationship Id="rId38" Type="http://schemas.openxmlformats.org/officeDocument/2006/relationships/chart" Target="charts/chart25.xml"/><Relationship Id="rId46" Type="http://schemas.openxmlformats.org/officeDocument/2006/relationships/chart" Target="charts/chart33.xml"/><Relationship Id="rId20" Type="http://schemas.openxmlformats.org/officeDocument/2006/relationships/chart" Target="charts/chart7.xml"/><Relationship Id="rId41" Type="http://schemas.openxmlformats.org/officeDocument/2006/relationships/chart" Target="charts/chart28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36" Type="http://schemas.openxmlformats.org/officeDocument/2006/relationships/chart" Target="charts/chart23.xml"/><Relationship Id="rId49" Type="http://schemas.openxmlformats.org/officeDocument/2006/relationships/chart" Target="charts/chart3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6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6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6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7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GC_2017\UACM\UACM_Enero2020\Presupuesto_Procesos\AlebrijeV3\para%20Enviar\AlebrijeV3_Recibidos\CESEGR_Integra\CESEGR-Alebrije-2023_Gr&#225;ficas_08may2024_16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UACM-Total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'UR-TipoRiesgos_V3'!$C$60:$O$60</c:f>
              <c:numCache>
                <c:formatCode>###0.0</c:formatCode>
                <c:ptCount val="13"/>
                <c:pt idx="0">
                  <c:v>6.8825910931174086</c:v>
                </c:pt>
                <c:pt idx="1">
                  <c:v>20.647773279352226</c:v>
                </c:pt>
                <c:pt idx="2">
                  <c:v>3.2388663967611335</c:v>
                </c:pt>
                <c:pt idx="3">
                  <c:v>1.6194331983805668</c:v>
                </c:pt>
                <c:pt idx="4">
                  <c:v>19.4331983805668</c:v>
                </c:pt>
                <c:pt idx="5">
                  <c:v>2.42914979757085</c:v>
                </c:pt>
                <c:pt idx="6">
                  <c:v>3.2388663967611335</c:v>
                </c:pt>
                <c:pt idx="7">
                  <c:v>4.048582995951417</c:v>
                </c:pt>
                <c:pt idx="8">
                  <c:v>9.3117408906882577</c:v>
                </c:pt>
                <c:pt idx="9">
                  <c:v>9.7165991902834001</c:v>
                </c:pt>
                <c:pt idx="10">
                  <c:v>4.4534412955465585</c:v>
                </c:pt>
                <c:pt idx="11">
                  <c:v>5.2631578947368416</c:v>
                </c:pt>
                <c:pt idx="12">
                  <c:v>9.7165991902834001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73C-4640-9D08-07EA79E19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5920"/>
        <c:axId val="1350248848"/>
      </c:barChart>
      <c:catAx>
        <c:axId val="135025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48848"/>
        <c:crosses val="autoZero"/>
        <c:auto val="1"/>
        <c:lblAlgn val="ctr"/>
        <c:lblOffset val="100"/>
        <c:noMultiLvlLbl val="0"/>
      </c:catAx>
      <c:valAx>
        <c:axId val="135024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5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Comunicación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'UR-TipoRiesgos_V3'!$C$43:$O$43</c:f>
              <c:numCache>
                <c:formatCode>###0.0</c:formatCode>
                <c:ptCount val="13"/>
                <c:pt idx="0">
                  <c:v>0</c:v>
                </c:pt>
                <c:pt idx="1">
                  <c:v>19.512195121951219</c:v>
                </c:pt>
                <c:pt idx="2">
                  <c:v>0</c:v>
                </c:pt>
                <c:pt idx="3">
                  <c:v>0</c:v>
                </c:pt>
                <c:pt idx="4">
                  <c:v>36.585365853658537</c:v>
                </c:pt>
                <c:pt idx="5">
                  <c:v>0</c:v>
                </c:pt>
                <c:pt idx="6">
                  <c:v>4.8780487804878048</c:v>
                </c:pt>
                <c:pt idx="7">
                  <c:v>4.8780487804878048</c:v>
                </c:pt>
                <c:pt idx="8">
                  <c:v>0</c:v>
                </c:pt>
                <c:pt idx="9">
                  <c:v>7.3170731707317076</c:v>
                </c:pt>
                <c:pt idx="10">
                  <c:v>0</c:v>
                </c:pt>
                <c:pt idx="11">
                  <c:v>24.390243902439025</c:v>
                </c:pt>
                <c:pt idx="12">
                  <c:v>2.4390243902439024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9-44F7-985E-81A07B127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6464"/>
        <c:axId val="1350275504"/>
      </c:barChart>
      <c:catAx>
        <c:axId val="135025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5504"/>
        <c:crosses val="autoZero"/>
        <c:auto val="1"/>
        <c:lblAlgn val="ctr"/>
        <c:lblOffset val="100"/>
        <c:noMultiLvlLbl val="0"/>
      </c:catAx>
      <c:valAx>
        <c:axId val="135027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Consejo Universitario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'UR-TipoRiesgos_V3'!$C$44:$O$44</c:f>
              <c:numCache>
                <c:formatCode>###0.0</c:formatCode>
                <c:ptCount val="13"/>
                <c:pt idx="0">
                  <c:v>0</c:v>
                </c:pt>
                <c:pt idx="1">
                  <c:v>33.333333333333336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38.095238095238095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28.571428571428573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690-4D6C-89DA-75AEDD052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46672"/>
        <c:axId val="1350257008"/>
      </c:barChart>
      <c:catAx>
        <c:axId val="135024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7008"/>
        <c:crosses val="autoZero"/>
        <c:auto val="1"/>
        <c:lblAlgn val="ctr"/>
        <c:lblOffset val="100"/>
        <c:noMultiLvlLbl val="0"/>
      </c:catAx>
      <c:valAx>
        <c:axId val="135025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46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05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Contraloría General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'UR-TipoRiesgos_V3'!$C$45:$O$45</c:f>
              <c:numCache>
                <c:formatCode>###0.0</c:formatCode>
                <c:ptCount val="13"/>
                <c:pt idx="0">
                  <c:v>0</c:v>
                </c:pt>
                <c:pt idx="1">
                  <c:v>50</c:v>
                </c:pt>
                <c:pt idx="2">
                  <c:v>0</c:v>
                </c:pt>
                <c:pt idx="3">
                  <c:v>0</c:v>
                </c:pt>
                <c:pt idx="4">
                  <c:v>25</c:v>
                </c:pt>
                <c:pt idx="5">
                  <c:v>0</c:v>
                </c:pt>
                <c:pt idx="6">
                  <c:v>0</c:v>
                </c:pt>
                <c:pt idx="7">
                  <c:v>12.5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DD5-4DAA-8A83-EFF7ACC07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8096"/>
        <c:axId val="1350272784"/>
      </c:barChart>
      <c:catAx>
        <c:axId val="135025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2784"/>
        <c:crosses val="autoZero"/>
        <c:auto val="1"/>
        <c:lblAlgn val="ctr"/>
        <c:lblOffset val="100"/>
        <c:noMultiLvlLbl val="0"/>
      </c:catAx>
      <c:valAx>
        <c:axId val="135027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Cuautepec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'UR-TipoRiesgos_V3'!$C$46:$O$46</c:f>
              <c:numCache>
                <c:formatCode>###0.0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100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BE-4A82-8D5B-CED8F8C21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67344"/>
        <c:axId val="1350276048"/>
      </c:barChart>
      <c:catAx>
        <c:axId val="135026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6048"/>
        <c:crosses val="autoZero"/>
        <c:auto val="1"/>
        <c:lblAlgn val="ctr"/>
        <c:lblOffset val="100"/>
        <c:noMultiLvlLbl val="0"/>
      </c:catAx>
      <c:valAx>
        <c:axId val="135027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Defensoría de Derechos Universitarios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'UR-TipoRiesgos_V3'!$C$47:$O$47</c:f>
              <c:numCache>
                <c:formatCode>###0.0</c:formatCode>
                <c:ptCount val="13"/>
                <c:pt idx="0">
                  <c:v>0</c:v>
                </c:pt>
                <c:pt idx="1">
                  <c:v>50</c:v>
                </c:pt>
                <c:pt idx="2">
                  <c:v>0</c:v>
                </c:pt>
                <c:pt idx="3">
                  <c:v>0</c:v>
                </c:pt>
                <c:pt idx="4">
                  <c:v>25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AEC-4A5C-BFE4-F4A47633E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8640"/>
        <c:axId val="1350277136"/>
      </c:barChart>
      <c:catAx>
        <c:axId val="135025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7136"/>
        <c:crosses val="autoZero"/>
        <c:auto val="1"/>
        <c:lblAlgn val="ctr"/>
        <c:lblOffset val="100"/>
        <c:noMultiLvlLbl val="0"/>
      </c:catAx>
      <c:valAx>
        <c:axId val="135027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Del Valle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'UR-TipoRiesgos_V3'!$C$48:$O$48</c:f>
              <c:numCache>
                <c:formatCode>###0.0</c:formatCode>
                <c:ptCount val="13"/>
                <c:pt idx="0">
                  <c:v>0</c:v>
                </c:pt>
                <c:pt idx="1">
                  <c:v>100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8A3-470E-BF9A-CACA61083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9184"/>
        <c:axId val="1350259728"/>
      </c:barChart>
      <c:catAx>
        <c:axId val="135025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9728"/>
        <c:crosses val="autoZero"/>
        <c:auto val="1"/>
        <c:lblAlgn val="ctr"/>
        <c:lblOffset val="100"/>
        <c:noMultiLvlLbl val="0"/>
      </c:catAx>
      <c:valAx>
        <c:axId val="135025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Difusión Cultural y Extensión Universitaria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'UR-TipoRiesgos_V3'!$C$49:$O$49</c:f>
              <c:numCache>
                <c:formatCode>###0.0</c:formatCode>
                <c:ptCount val="13"/>
                <c:pt idx="0">
                  <c:v>0</c:v>
                </c:pt>
                <c:pt idx="1">
                  <c:v>100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72-447C-BD96-4E6091BE2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71152"/>
        <c:axId val="1350277680"/>
      </c:barChart>
      <c:catAx>
        <c:axId val="135027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7680"/>
        <c:crosses val="autoZero"/>
        <c:auto val="1"/>
        <c:lblAlgn val="ctr"/>
        <c:lblOffset val="100"/>
        <c:noMultiLvlLbl val="0"/>
      </c:catAx>
      <c:valAx>
        <c:axId val="135027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1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Informática y Telecomunicaciones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'UR-TipoRiesgos_V3'!$C$51:$O$51</c:f>
              <c:numCache>
                <c:formatCode>###0.0</c:formatCode>
                <c:ptCount val="13"/>
                <c:pt idx="0">
                  <c:v>0</c:v>
                </c:pt>
                <c:pt idx="1">
                  <c:v>100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549-47D9-96EA-C2C3E5275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78224"/>
        <c:axId val="1350260272"/>
      </c:barChart>
      <c:catAx>
        <c:axId val="135027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0272"/>
        <c:crosses val="autoZero"/>
        <c:auto val="1"/>
        <c:lblAlgn val="ctr"/>
        <c:lblOffset val="100"/>
        <c:noMultiLvlLbl val="0"/>
      </c:catAx>
      <c:valAx>
        <c:axId val="135026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Obras y Conservación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'UR-TipoRiesgos_V3'!$C$52:$O$52</c:f>
              <c:numCache>
                <c:formatCode>###0.0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80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551-4F81-A7D6-4870E1BB5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62448"/>
        <c:axId val="1350278768"/>
      </c:barChart>
      <c:catAx>
        <c:axId val="135026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8768"/>
        <c:crosses val="autoZero"/>
        <c:auto val="1"/>
        <c:lblAlgn val="ctr"/>
        <c:lblOffset val="100"/>
        <c:noMultiLvlLbl val="0"/>
      </c:catAx>
      <c:valAx>
        <c:axId val="135027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Planeación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'UR-TipoRiesgos_V3'!$C$53:$O$53</c:f>
              <c:numCache>
                <c:formatCode>###0.0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33.333333333333336</c:v>
                </c:pt>
                <c:pt idx="4">
                  <c:v>33.333333333333336</c:v>
                </c:pt>
                <c:pt idx="5">
                  <c:v>33.333333333333336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269-4D4F-980A-C8C386317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71696"/>
        <c:axId val="1350260816"/>
      </c:barChart>
      <c:catAx>
        <c:axId val="13502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0816"/>
        <c:crosses val="autoZero"/>
        <c:auto val="1"/>
        <c:lblAlgn val="ctr"/>
        <c:lblOffset val="100"/>
        <c:noMultiLvlLbl val="0"/>
      </c:catAx>
      <c:valAx>
        <c:axId val="13502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Abogado General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'UR-TipoRiesgos_V3'!$C$36:$O$36</c:f>
              <c:numCache>
                <c:formatCode>###0.0</c:formatCode>
                <c:ptCount val="13"/>
                <c:pt idx="0">
                  <c:v>0</c:v>
                </c:pt>
                <c:pt idx="1">
                  <c:v>37.5</c:v>
                </c:pt>
                <c:pt idx="2">
                  <c:v>50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12.5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35-4FAC-8E84-E3C5E4808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76592"/>
        <c:axId val="1350249936"/>
      </c:barChart>
      <c:catAx>
        <c:axId val="135027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49936"/>
        <c:crosses val="autoZero"/>
        <c:auto val="1"/>
        <c:lblAlgn val="ctr"/>
        <c:lblOffset val="100"/>
        <c:noMultiLvlLbl val="0"/>
      </c:catAx>
      <c:valAx>
        <c:axId val="135024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Rectoría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'UR-TipoRiesgos_V3'!$C$54:$O$54</c:f>
              <c:numCache>
                <c:formatCode>###0.0</c:formatCode>
                <c:ptCount val="13"/>
                <c:pt idx="0">
                  <c:v>16.666666666666668</c:v>
                </c:pt>
                <c:pt idx="1">
                  <c:v>66.666666666666671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16.666666666666668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F65-46A0-9062-3612D982B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73328"/>
        <c:axId val="1350247216"/>
      </c:barChart>
      <c:catAx>
        <c:axId val="1350273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47216"/>
        <c:crosses val="autoZero"/>
        <c:auto val="1"/>
        <c:lblAlgn val="ctr"/>
        <c:lblOffset val="100"/>
        <c:noMultiLvlLbl val="0"/>
      </c:catAx>
      <c:valAx>
        <c:axId val="135024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3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San Lorenzo Tezonco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'UR-TipoRiesgos_V3'!$C$55:$O$55</c:f>
              <c:numCache>
                <c:formatCode>###0.0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11.111111111111111</c:v>
                </c:pt>
                <c:pt idx="6">
                  <c:v>0</c:v>
                </c:pt>
                <c:pt idx="7">
                  <c:v>0</c:v>
                </c:pt>
                <c:pt idx="8">
                  <c:v>22.222222222222221</c:v>
                </c:pt>
                <c:pt idx="9">
                  <c:v>0</c:v>
                </c:pt>
                <c:pt idx="10">
                  <c:v>0</c:v>
                </c:pt>
                <c:pt idx="11">
                  <c:v>11.111111111111111</c:v>
                </c:pt>
                <c:pt idx="12">
                  <c:v>55.555555555555557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E94-4DED-BF2D-633DDE8E5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61360"/>
        <c:axId val="1350261904"/>
      </c:barChart>
      <c:catAx>
        <c:axId val="135026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1904"/>
        <c:crosses val="autoZero"/>
        <c:auto val="1"/>
        <c:lblAlgn val="ctr"/>
        <c:lblOffset val="100"/>
        <c:noMultiLvlLbl val="0"/>
      </c:catAx>
      <c:valAx>
        <c:axId val="135026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Secretaría General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'UR-TipoRiesgos_V3'!$C$56:$O$56</c:f>
              <c:numCache>
                <c:formatCode>###0.0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66.666666666666671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33.333333333333336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CF-46E8-BB6D-21CAAC0D4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62992"/>
        <c:axId val="1350264624"/>
      </c:barChart>
      <c:catAx>
        <c:axId val="135026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4624"/>
        <c:crosses val="autoZero"/>
        <c:auto val="1"/>
        <c:lblAlgn val="ctr"/>
        <c:lblOffset val="100"/>
        <c:noMultiLvlLbl val="0"/>
      </c:catAx>
      <c:valAx>
        <c:axId val="135026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Servicios Administrativos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'UR-TipoRiesgos_V3'!$C$57:$O$57</c:f>
              <c:numCache>
                <c:formatCode>###0.0</c:formatCode>
                <c:ptCount val="13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0</c:v>
                </c:pt>
                <c:pt idx="4">
                  <c:v>25</c:v>
                </c:pt>
                <c:pt idx="5">
                  <c:v>0</c:v>
                </c:pt>
                <c:pt idx="6">
                  <c:v>0</c:v>
                </c:pt>
                <c:pt idx="7">
                  <c:v>10</c:v>
                </c:pt>
                <c:pt idx="8">
                  <c:v>0</c:v>
                </c:pt>
                <c:pt idx="9">
                  <c:v>15</c:v>
                </c:pt>
                <c:pt idx="10">
                  <c:v>10</c:v>
                </c:pt>
                <c:pt idx="11">
                  <c:v>0</c:v>
                </c:pt>
                <c:pt idx="12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789-4F11-A6DE-D98E5884C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66800"/>
        <c:axId val="1164711072"/>
      </c:barChart>
      <c:catAx>
        <c:axId val="135026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11072"/>
        <c:crosses val="autoZero"/>
        <c:auto val="1"/>
        <c:lblAlgn val="ctr"/>
        <c:lblOffset val="100"/>
        <c:noMultiLvlLbl val="0"/>
      </c:catAx>
      <c:valAx>
        <c:axId val="116471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6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Servicios Estudiantiles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'UR-TipoRiesgos_V3'!$C$58:$O$58</c:f>
              <c:numCache>
                <c:formatCode>###0.0</c:formatCode>
                <c:ptCount val="13"/>
                <c:pt idx="0">
                  <c:v>42.857142857142861</c:v>
                </c:pt>
                <c:pt idx="1">
                  <c:v>9.5238095238095237</c:v>
                </c:pt>
                <c:pt idx="2">
                  <c:v>4.7619047619047619</c:v>
                </c:pt>
                <c:pt idx="3">
                  <c:v>0</c:v>
                </c:pt>
                <c:pt idx="4">
                  <c:v>4.7619047619047619</c:v>
                </c:pt>
                <c:pt idx="5">
                  <c:v>4.7619047619047619</c:v>
                </c:pt>
                <c:pt idx="6">
                  <c:v>0</c:v>
                </c:pt>
                <c:pt idx="7">
                  <c:v>0</c:v>
                </c:pt>
                <c:pt idx="8">
                  <c:v>4.7619047619047619</c:v>
                </c:pt>
                <c:pt idx="9">
                  <c:v>9.5238095238095237</c:v>
                </c:pt>
                <c:pt idx="10">
                  <c:v>0</c:v>
                </c:pt>
                <c:pt idx="11">
                  <c:v>0</c:v>
                </c:pt>
                <c:pt idx="12">
                  <c:v>19.047619047619047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CE2-4478-8CC9-FDE40BCB4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4713792"/>
        <c:axId val="1164714336"/>
      </c:barChart>
      <c:catAx>
        <c:axId val="116471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14336"/>
        <c:crosses val="autoZero"/>
        <c:auto val="1"/>
        <c:lblAlgn val="ctr"/>
        <c:lblOffset val="100"/>
        <c:noMultiLvlLbl val="0"/>
      </c:catAx>
      <c:valAx>
        <c:axId val="116471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1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Tesorería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'UR-TipoRiesgos_V3'!$C$59:$O$59</c:f>
              <c:numCache>
                <c:formatCode>###0.0</c:formatCode>
                <c:ptCount val="13"/>
                <c:pt idx="0">
                  <c:v>0</c:v>
                </c:pt>
                <c:pt idx="1">
                  <c:v>11.111111111111111</c:v>
                </c:pt>
                <c:pt idx="2">
                  <c:v>0</c:v>
                </c:pt>
                <c:pt idx="3">
                  <c:v>0</c:v>
                </c:pt>
                <c:pt idx="4">
                  <c:v>44.444444444444443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44.444444444444443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72E-460C-BB9F-A5CD7A717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4720864"/>
        <c:axId val="1164717600"/>
      </c:barChart>
      <c:catAx>
        <c:axId val="116472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17600"/>
        <c:crosses val="autoZero"/>
        <c:auto val="1"/>
        <c:lblAlgn val="ctr"/>
        <c:lblOffset val="100"/>
        <c:noMultiLvlLbl val="0"/>
      </c:catAx>
      <c:valAx>
        <c:axId val="116471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2086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"Académico",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'UR-TipoRiesgos_V3'!$U$36:$U$59</c:f>
              <c:numCache>
                <c:formatCode>###0.0</c:formatCode>
                <c:ptCount val="24"/>
                <c:pt idx="0">
                  <c:v>0</c:v>
                </c:pt>
                <c:pt idx="1">
                  <c:v>15.384615384615383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14.285714285714285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5.8823529411764701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16.666666666666668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42.857142857142861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9C4-4D4F-8245-608BB6A71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4719232"/>
        <c:axId val="1164721952"/>
      </c:barChart>
      <c:catAx>
        <c:axId val="116471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21952"/>
        <c:crosses val="autoZero"/>
        <c:auto val="1"/>
        <c:lblAlgn val="ctr"/>
        <c:lblOffset val="100"/>
        <c:noMultiLvlLbl val="0"/>
      </c:catAx>
      <c:valAx>
        <c:axId val="1164721952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19232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"Administrativo",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'UR-TipoRiesgos_V3'!$V$36:$V$59</c:f>
              <c:numCache>
                <c:formatCode>###0.0</c:formatCode>
                <c:ptCount val="24"/>
                <c:pt idx="0">
                  <c:v>37.5</c:v>
                </c:pt>
                <c:pt idx="1">
                  <c:v>3.8461538461538458</c:v>
                </c:pt>
                <c:pt idx="2">
                  <c:v>50</c:v>
                </c:pt>
                <c:pt idx="3">
                  <c:v>33.333333333333336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19.512195121951219</c:v>
                </c:pt>
                <c:pt idx="8">
                  <c:v>33.333333333333336</c:v>
                </c:pt>
                <c:pt idx="9">
                  <c:v>50</c:v>
                </c:pt>
                <c:pt idx="10">
                  <c:v>0</c:v>
                </c:pt>
                <c:pt idx="11">
                  <c:v>50</c:v>
                </c:pt>
                <c:pt idx="12">
                  <c:v>100</c:v>
                </c:pt>
                <c:pt idx="13">
                  <c:v>100</c:v>
                </c:pt>
                <c:pt idx="14">
                  <c:v>5.8823529411764701</c:v>
                </c:pt>
                <c:pt idx="15">
                  <c:v>100</c:v>
                </c:pt>
                <c:pt idx="16">
                  <c:v>0</c:v>
                </c:pt>
                <c:pt idx="17">
                  <c:v>0</c:v>
                </c:pt>
                <c:pt idx="18">
                  <c:v>66.666666666666671</c:v>
                </c:pt>
                <c:pt idx="19">
                  <c:v>0</c:v>
                </c:pt>
                <c:pt idx="20">
                  <c:v>0</c:v>
                </c:pt>
                <c:pt idx="21">
                  <c:v>20</c:v>
                </c:pt>
                <c:pt idx="22">
                  <c:v>9.5238095238095237</c:v>
                </c:pt>
                <c:pt idx="23">
                  <c:v>11.111111111111111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04-4C60-BDFB-D54110DC9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4723584"/>
        <c:axId val="1040522144"/>
      </c:barChart>
      <c:catAx>
        <c:axId val="116472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40522144"/>
        <c:crosses val="autoZero"/>
        <c:auto val="1"/>
        <c:lblAlgn val="ctr"/>
        <c:lblOffset val="100"/>
        <c:noMultiLvlLbl val="0"/>
      </c:catAx>
      <c:valAx>
        <c:axId val="1040522144"/>
        <c:scaling>
          <c:orientation val="minMax"/>
          <c:max val="1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6472358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"Capacitación",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'UR-TipoRiesgos_V3'!$W$36:$W$59</c:f>
              <c:numCache>
                <c:formatCode>###0.0</c:formatCode>
                <c:ptCount val="24"/>
                <c:pt idx="0">
                  <c:v>50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5.8823529411764701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10</c:v>
                </c:pt>
                <c:pt idx="22">
                  <c:v>4.7619047619047619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158-4CCC-885A-2BF9B451F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22048"/>
        <c:axId val="1352049760"/>
      </c:barChart>
      <c:catAx>
        <c:axId val="135022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49760"/>
        <c:crosses val="autoZero"/>
        <c:auto val="1"/>
        <c:lblAlgn val="ctr"/>
        <c:lblOffset val="100"/>
        <c:noMultiLvlLbl val="0"/>
      </c:catAx>
      <c:valAx>
        <c:axId val="1352049760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220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"Estructura Organizacional",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'UR-TipoRiesgos_V3'!$X$36:$X$59</c:f>
              <c:numCache>
                <c:formatCode>###0.0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10</c:v>
                </c:pt>
                <c:pt idx="17">
                  <c:v>33.333333333333336</c:v>
                </c:pt>
                <c:pt idx="18">
                  <c:v>0</c:v>
                </c:pt>
                <c:pt idx="19">
                  <c:v>0</c:v>
                </c:pt>
                <c:pt idx="20">
                  <c:v>66.666666666666671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525-47A0-A188-D022FF6A3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57920"/>
        <c:axId val="1352032352"/>
      </c:barChart>
      <c:catAx>
        <c:axId val="135205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32352"/>
        <c:crosses val="autoZero"/>
        <c:auto val="1"/>
        <c:lblAlgn val="ctr"/>
        <c:lblOffset val="100"/>
        <c:noMultiLvlLbl val="0"/>
      </c:catAx>
      <c:valAx>
        <c:axId val="1352032352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5792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Coordinación Académica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'UR-TipoRiesgos_V3'!$C$37:$O$37</c:f>
              <c:numCache>
                <c:formatCode>###0.0</c:formatCode>
                <c:ptCount val="13"/>
                <c:pt idx="0">
                  <c:v>15.384615384615383</c:v>
                </c:pt>
                <c:pt idx="1">
                  <c:v>3.8461538461538458</c:v>
                </c:pt>
                <c:pt idx="2">
                  <c:v>0</c:v>
                </c:pt>
                <c:pt idx="3">
                  <c:v>0</c:v>
                </c:pt>
                <c:pt idx="4">
                  <c:v>26.923076923076923</c:v>
                </c:pt>
                <c:pt idx="5">
                  <c:v>0</c:v>
                </c:pt>
                <c:pt idx="6">
                  <c:v>7.6923076923076916</c:v>
                </c:pt>
                <c:pt idx="7">
                  <c:v>7.6923076923076916</c:v>
                </c:pt>
                <c:pt idx="8">
                  <c:v>3.8461538461538458</c:v>
                </c:pt>
                <c:pt idx="9">
                  <c:v>15.384615384615383</c:v>
                </c:pt>
                <c:pt idx="10">
                  <c:v>11.538461538461538</c:v>
                </c:pt>
                <c:pt idx="11">
                  <c:v>0</c:v>
                </c:pt>
                <c:pt idx="12">
                  <c:v>7.6923076923076916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1E6-4EB9-B762-15B8B3FA65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64080"/>
        <c:axId val="1350249392"/>
      </c:barChart>
      <c:catAx>
        <c:axId val="135026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49392"/>
        <c:crosses val="autoZero"/>
        <c:auto val="1"/>
        <c:lblAlgn val="ctr"/>
        <c:lblOffset val="100"/>
        <c:noMultiLvlLbl val="0"/>
      </c:catAx>
      <c:valAx>
        <c:axId val="135024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"Falta de Personal",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'UR-TipoRiesgos_V3'!$Y$36:$Y$59</c:f>
              <c:numCache>
                <c:formatCode>###0.0</c:formatCode>
                <c:ptCount val="24"/>
                <c:pt idx="0">
                  <c:v>0</c:v>
                </c:pt>
                <c:pt idx="1">
                  <c:v>26.923076923076923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0</c:v>
                </c:pt>
                <c:pt idx="6">
                  <c:v>14.285714285714285</c:v>
                </c:pt>
                <c:pt idx="7">
                  <c:v>36.585365853658537</c:v>
                </c:pt>
                <c:pt idx="8">
                  <c:v>0</c:v>
                </c:pt>
                <c:pt idx="9">
                  <c:v>25</c:v>
                </c:pt>
                <c:pt idx="10">
                  <c:v>0</c:v>
                </c:pt>
                <c:pt idx="11">
                  <c:v>25</c:v>
                </c:pt>
                <c:pt idx="12">
                  <c:v>0</c:v>
                </c:pt>
                <c:pt idx="13">
                  <c:v>0</c:v>
                </c:pt>
                <c:pt idx="14">
                  <c:v>5.8823529411764701</c:v>
                </c:pt>
                <c:pt idx="15">
                  <c:v>0</c:v>
                </c:pt>
                <c:pt idx="16">
                  <c:v>80</c:v>
                </c:pt>
                <c:pt idx="17">
                  <c:v>33.333333333333336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25</c:v>
                </c:pt>
                <c:pt idx="22">
                  <c:v>4.7619047619047619</c:v>
                </c:pt>
                <c:pt idx="23">
                  <c:v>44.444444444444443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0D-451B-A161-ACF0C61324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62272"/>
        <c:axId val="1352043232"/>
      </c:barChart>
      <c:catAx>
        <c:axId val="135206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43232"/>
        <c:crosses val="autoZero"/>
        <c:auto val="1"/>
        <c:lblAlgn val="ctr"/>
        <c:lblOffset val="100"/>
        <c:noMultiLvlLbl val="0"/>
      </c:catAx>
      <c:valAx>
        <c:axId val="1352043232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62272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0" i="0" u="none" strike="noStrike" kern="1200" spc="0" baseline="0">
                <a:solidFill>
                  <a:sysClr val="windowText" lastClr="000000">
                    <a:lumMod val="95000"/>
                    <a:lumOff val="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15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"Insuficiencia de Tiempo",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0" i="0" u="none" strike="noStrike" kern="1200" spc="0" baseline="0">
              <a:solidFill>
                <a:sysClr val="windowText" lastClr="000000">
                  <a:lumMod val="95000"/>
                  <a:lumOff val="5000"/>
                </a:sys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'UR-TipoRiesgos_V3'!$Z$36:$Z$59</c:f>
              <c:numCache>
                <c:formatCode>###0.0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7.1428571428571423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11.76470588235294</c:v>
                </c:pt>
                <c:pt idx="15">
                  <c:v>0</c:v>
                </c:pt>
                <c:pt idx="16">
                  <c:v>0</c:v>
                </c:pt>
                <c:pt idx="17">
                  <c:v>33.333333333333336</c:v>
                </c:pt>
                <c:pt idx="18">
                  <c:v>0</c:v>
                </c:pt>
                <c:pt idx="19">
                  <c:v>11.111111111111111</c:v>
                </c:pt>
                <c:pt idx="20">
                  <c:v>0</c:v>
                </c:pt>
                <c:pt idx="21">
                  <c:v>0</c:v>
                </c:pt>
                <c:pt idx="22">
                  <c:v>4.7619047619047619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AA-4E58-AF43-7BEAC3AE4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51392"/>
        <c:axId val="1352043776"/>
      </c:barChart>
      <c:catAx>
        <c:axId val="135205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43776"/>
        <c:crosses val="autoZero"/>
        <c:auto val="1"/>
        <c:lblAlgn val="ctr"/>
        <c:lblOffset val="100"/>
        <c:noMultiLvlLbl val="0"/>
      </c:catAx>
      <c:valAx>
        <c:axId val="1352043776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51392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"Infraestructura",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'UR-TipoRiesgos_V3'!$AA$36:$AA$59</c:f>
              <c:numCache>
                <c:formatCode>###0.0</c:formatCode>
                <c:ptCount val="24"/>
                <c:pt idx="0">
                  <c:v>0</c:v>
                </c:pt>
                <c:pt idx="1">
                  <c:v>7.6923076923076916</c:v>
                </c:pt>
                <c:pt idx="2">
                  <c:v>0</c:v>
                </c:pt>
                <c:pt idx="3">
                  <c:v>33.333333333333336</c:v>
                </c:pt>
                <c:pt idx="4">
                  <c:v>0</c:v>
                </c:pt>
                <c:pt idx="5">
                  <c:v>0</c:v>
                </c:pt>
                <c:pt idx="6">
                  <c:v>21.428571428571427</c:v>
                </c:pt>
                <c:pt idx="7">
                  <c:v>4.8780487804878048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AF-4464-8096-0EA46A8F2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35616"/>
        <c:axId val="1352061184"/>
      </c:barChart>
      <c:catAx>
        <c:axId val="135203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61184"/>
        <c:crosses val="autoZero"/>
        <c:auto val="1"/>
        <c:lblAlgn val="ctr"/>
        <c:lblOffset val="100"/>
        <c:noMultiLvlLbl val="0"/>
      </c:catAx>
      <c:valAx>
        <c:axId val="1352061184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35616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"Normatividad",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'UR-TipoRiesgos_V3'!$AB$36:$AB$59</c:f>
              <c:numCache>
                <c:formatCode>###0.0</c:formatCode>
                <c:ptCount val="24"/>
                <c:pt idx="0">
                  <c:v>12.5</c:v>
                </c:pt>
                <c:pt idx="1">
                  <c:v>7.6923076923076916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7.1428571428571423</c:v>
                </c:pt>
                <c:pt idx="7">
                  <c:v>4.8780487804878048</c:v>
                </c:pt>
                <c:pt idx="8">
                  <c:v>0</c:v>
                </c:pt>
                <c:pt idx="9">
                  <c:v>12.5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5.8823529411764701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DA-44D2-A468-892E64DD5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61728"/>
        <c:axId val="1352042688"/>
      </c:barChart>
      <c:catAx>
        <c:axId val="135206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42688"/>
        <c:crosses val="autoZero"/>
        <c:auto val="1"/>
        <c:lblAlgn val="ctr"/>
        <c:lblOffset val="100"/>
        <c:noMultiLvlLbl val="0"/>
      </c:catAx>
      <c:valAx>
        <c:axId val="1352042688"/>
        <c:scaling>
          <c:orientation val="minMax"/>
          <c:max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61728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5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"Procedimientos Administrativos",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'UR-TipoRiesgos_V3'!$AC$36:$AC$59</c:f>
              <c:numCache>
                <c:formatCode>###0.0</c:formatCode>
                <c:ptCount val="24"/>
                <c:pt idx="0">
                  <c:v>0</c:v>
                </c:pt>
                <c:pt idx="1">
                  <c:v>3.8461538461538458</c:v>
                </c:pt>
                <c:pt idx="2">
                  <c:v>0</c:v>
                </c:pt>
                <c:pt idx="3">
                  <c:v>0</c:v>
                </c:pt>
                <c:pt idx="4">
                  <c:v>60</c:v>
                </c:pt>
                <c:pt idx="5">
                  <c:v>50</c:v>
                </c:pt>
                <c:pt idx="6">
                  <c:v>7.1428571428571423</c:v>
                </c:pt>
                <c:pt idx="7">
                  <c:v>0</c:v>
                </c:pt>
                <c:pt idx="8">
                  <c:v>38.095238095238095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23.52941176470588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16.666666666666668</c:v>
                </c:pt>
                <c:pt idx="19">
                  <c:v>22.222222222222221</c:v>
                </c:pt>
                <c:pt idx="20">
                  <c:v>33.333333333333336</c:v>
                </c:pt>
                <c:pt idx="21">
                  <c:v>0</c:v>
                </c:pt>
                <c:pt idx="22">
                  <c:v>4.7619047619047619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40-47DC-9BFD-408A8F92D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63360"/>
        <c:axId val="1352051936"/>
      </c:barChart>
      <c:catAx>
        <c:axId val="1352063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51936"/>
        <c:crosses val="autoZero"/>
        <c:auto val="1"/>
        <c:lblAlgn val="ctr"/>
        <c:lblOffset val="100"/>
        <c:noMultiLvlLbl val="0"/>
      </c:catAx>
      <c:valAx>
        <c:axId val="1352051936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6336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5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"Recursos Financieros",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'UR-TipoRiesgos_V3'!$AD$36:$AD$59</c:f>
              <c:numCache>
                <c:formatCode>###0.0</c:formatCode>
                <c:ptCount val="24"/>
                <c:pt idx="0">
                  <c:v>0</c:v>
                </c:pt>
                <c:pt idx="1">
                  <c:v>15.384615384615383</c:v>
                </c:pt>
                <c:pt idx="2">
                  <c:v>50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28.571428571428569</c:v>
                </c:pt>
                <c:pt idx="7">
                  <c:v>7.3170731707317076</c:v>
                </c:pt>
                <c:pt idx="8">
                  <c:v>0</c:v>
                </c:pt>
                <c:pt idx="9">
                  <c:v>0</c:v>
                </c:pt>
                <c:pt idx="10">
                  <c:v>100</c:v>
                </c:pt>
                <c:pt idx="11">
                  <c:v>25</c:v>
                </c:pt>
                <c:pt idx="12">
                  <c:v>0</c:v>
                </c:pt>
                <c:pt idx="13">
                  <c:v>0</c:v>
                </c:pt>
                <c:pt idx="14">
                  <c:v>11.76470588235294</c:v>
                </c:pt>
                <c:pt idx="15">
                  <c:v>0</c:v>
                </c:pt>
                <c:pt idx="16">
                  <c:v>10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15</c:v>
                </c:pt>
                <c:pt idx="22">
                  <c:v>9.5238095238095237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537-4118-A830-D6DCDEA6C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64448"/>
        <c:axId val="1352032896"/>
      </c:barChart>
      <c:catAx>
        <c:axId val="135206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32896"/>
        <c:crosses val="autoZero"/>
        <c:auto val="1"/>
        <c:lblAlgn val="ctr"/>
        <c:lblOffset val="100"/>
        <c:noMultiLvlLbl val="0"/>
      </c:catAx>
      <c:valAx>
        <c:axId val="13520328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6444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5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"Recursos Informáticos",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'UR-TipoRiesgos_V3'!$B$36:$B$59</c:f>
              <c:strCache>
                <c:ptCount val="24"/>
                <c:pt idx="0">
                  <c:v>Abogado General</c:v>
                </c:pt>
                <c:pt idx="1">
                  <c:v>Academica</c:v>
                </c:pt>
                <c:pt idx="2">
                  <c:v>Casa Libertad</c:v>
                </c:pt>
                <c:pt idx="3">
                  <c:v>Centro Historico</c:v>
                </c:pt>
                <c:pt idx="4">
                  <c:v>Certificacion y Registro</c:v>
                </c:pt>
                <c:pt idx="5">
                  <c:v>Ciencia y Tecnologia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Contraloria General</c:v>
                </c:pt>
                <c:pt idx="10">
                  <c:v>Cuautepec</c:v>
                </c:pt>
                <c:pt idx="11">
                  <c:v>Defensoria Derechos Universitarios</c:v>
                </c:pt>
                <c:pt idx="12">
                  <c:v>Del Valle</c:v>
                </c:pt>
                <c:pt idx="13">
                  <c:v>Difusion Cultural y Extension Universitaria</c:v>
                </c:pt>
                <c:pt idx="14">
                  <c:v>Humanidades y Ciencias Sociales</c:v>
                </c:pt>
                <c:pt idx="15">
                  <c:v>Informatica y Telecom</c:v>
                </c:pt>
                <c:pt idx="16">
                  <c:v>Obras y Conservacion</c:v>
                </c:pt>
                <c:pt idx="17">
                  <c:v>Planeacion</c:v>
                </c:pt>
                <c:pt idx="18">
                  <c:v>Rectoria</c:v>
                </c:pt>
                <c:pt idx="19">
                  <c:v>San Lorenzo Tezonco</c:v>
                </c:pt>
                <c:pt idx="20">
                  <c:v>Secretaria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Tesoreria</c:v>
                </c:pt>
              </c:strCache>
            </c:strRef>
          </c:cat>
          <c:val>
            <c:numRef>
              <c:f>'UR-TipoRiesgos_V3'!$AE$36:$AE$59</c:f>
              <c:numCache>
                <c:formatCode>###0.0</c:formatCode>
                <c:ptCount val="24"/>
                <c:pt idx="0">
                  <c:v>0</c:v>
                </c:pt>
                <c:pt idx="1">
                  <c:v>11.538461538461538</c:v>
                </c:pt>
                <c:pt idx="2">
                  <c:v>0</c:v>
                </c:pt>
                <c:pt idx="3">
                  <c:v>33.333333333333336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5.8823529411764701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10</c:v>
                </c:pt>
                <c:pt idx="22">
                  <c:v>0</c:v>
                </c:pt>
                <c:pt idx="23">
                  <c:v>44.444444444444443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D5B-4923-B03F-DAE051766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41600"/>
        <c:axId val="1352039424"/>
      </c:barChart>
      <c:catAx>
        <c:axId val="135204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39424"/>
        <c:crosses val="autoZero"/>
        <c:auto val="1"/>
        <c:lblAlgn val="ctr"/>
        <c:lblOffset val="100"/>
        <c:noMultiLvlLbl val="0"/>
      </c:catAx>
      <c:valAx>
        <c:axId val="1352039424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4160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"Recursos Materiales",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'UR-TipoRiesgos_V3'!$AF$36:$AF$59</c:f>
              <c:numCache>
                <c:formatCode>###0.0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50</c:v>
                </c:pt>
                <c:pt idx="6">
                  <c:v>0</c:v>
                </c:pt>
                <c:pt idx="7">
                  <c:v>24.390243902439025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11.111111111111111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70A-4B98-AF05-760348A05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50304"/>
        <c:axId val="1352038880"/>
      </c:barChart>
      <c:catAx>
        <c:axId val="135205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38880"/>
        <c:crosses val="autoZero"/>
        <c:auto val="1"/>
        <c:lblAlgn val="ctr"/>
        <c:lblOffset val="100"/>
        <c:noMultiLvlLbl val="0"/>
      </c:catAx>
      <c:valAx>
        <c:axId val="135203888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5030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Porcentaje que representa el Tipo de Riesgo: "Otro Tipo", según UR.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5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'UR-TipoRiesgos_V3'!$T$36:$T$59</c:f>
              <c:strCache>
                <c:ptCount val="24"/>
                <c:pt idx="0">
                  <c:v>Abogado General</c:v>
                </c:pt>
                <c:pt idx="1">
                  <c:v>Coordinación Académica</c:v>
                </c:pt>
                <c:pt idx="2">
                  <c:v>Casa Libertad</c:v>
                </c:pt>
                <c:pt idx="3">
                  <c:v>Centro Histórico</c:v>
                </c:pt>
                <c:pt idx="4">
                  <c:v>Certificación y Registro</c:v>
                </c:pt>
                <c:pt idx="5">
                  <c:v>Ciencia y Tecnología</c:v>
                </c:pt>
                <c:pt idx="6">
                  <c:v>Ciencias y Humanidades</c:v>
                </c:pt>
                <c:pt idx="7">
                  <c:v>Comunicación</c:v>
                </c:pt>
                <c:pt idx="8">
                  <c:v>Consejo Universitario</c:v>
                </c:pt>
                <c:pt idx="9">
                  <c:v>Contraloría General</c:v>
                </c:pt>
                <c:pt idx="10">
                  <c:v>Cuautepec</c:v>
                </c:pt>
                <c:pt idx="11">
                  <c:v>Defensoría Derechos Universitarios</c:v>
                </c:pt>
                <c:pt idx="12">
                  <c:v>Del Valle</c:v>
                </c:pt>
                <c:pt idx="13">
                  <c:v>Difusión Cultural y Extensión Universitaria</c:v>
                </c:pt>
                <c:pt idx="14">
                  <c:v>Humanidades y Ciencias Sociales</c:v>
                </c:pt>
                <c:pt idx="15">
                  <c:v>Informática y Telecomunicaciones</c:v>
                </c:pt>
                <c:pt idx="16">
                  <c:v>Obras y Conservación</c:v>
                </c:pt>
                <c:pt idx="17">
                  <c:v>Planeación</c:v>
                </c:pt>
                <c:pt idx="18">
                  <c:v>Rectoría</c:v>
                </c:pt>
                <c:pt idx="19">
                  <c:v>San Lorenzo Tezonco</c:v>
                </c:pt>
                <c:pt idx="20">
                  <c:v>Secretaría General</c:v>
                </c:pt>
                <c:pt idx="21">
                  <c:v>Servicios Administrativos</c:v>
                </c:pt>
                <c:pt idx="22">
                  <c:v>Servicios Estudiantiles</c:v>
                </c:pt>
                <c:pt idx="23">
                  <c:v>Tesorería</c:v>
                </c:pt>
              </c:strCache>
            </c:strRef>
          </c:cat>
          <c:val>
            <c:numRef>
              <c:f>'UR-TipoRiesgos_V3'!$AG$36:$AG$59</c:f>
              <c:numCache>
                <c:formatCode>###0.0</c:formatCode>
                <c:ptCount val="24"/>
                <c:pt idx="0">
                  <c:v>0</c:v>
                </c:pt>
                <c:pt idx="1">
                  <c:v>7.6923076923076916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2.4390243902439024</c:v>
                </c:pt>
                <c:pt idx="8">
                  <c:v>28.571428571428573</c:v>
                </c:pt>
                <c:pt idx="9">
                  <c:v>12.5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17.647058823529409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55.555555555555557</c:v>
                </c:pt>
                <c:pt idx="20">
                  <c:v>0</c:v>
                </c:pt>
                <c:pt idx="21">
                  <c:v>10</c:v>
                </c:pt>
                <c:pt idx="22">
                  <c:v>19.047619047619047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1E-4768-AE95-1259873C0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2044864"/>
        <c:axId val="1352048128"/>
      </c:barChart>
      <c:catAx>
        <c:axId val="135204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48128"/>
        <c:crosses val="autoZero"/>
        <c:auto val="1"/>
        <c:lblAlgn val="ctr"/>
        <c:lblOffset val="100"/>
        <c:noMultiLvlLbl val="0"/>
      </c:catAx>
      <c:valAx>
        <c:axId val="1352048128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204486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Casa Libertad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'UR-TipoRiesgos_V3'!$C$38:$O$38</c:f>
              <c:numCache>
                <c:formatCode>###0.0</c:formatCode>
                <c:ptCount val="13"/>
                <c:pt idx="0">
                  <c:v>0</c:v>
                </c:pt>
                <c:pt idx="1">
                  <c:v>50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67-46A3-A026-BECC0470A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69520"/>
        <c:axId val="1350250480"/>
      </c:barChart>
      <c:catAx>
        <c:axId val="13502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0480"/>
        <c:crosses val="autoZero"/>
        <c:auto val="1"/>
        <c:lblAlgn val="ctr"/>
        <c:lblOffset val="100"/>
        <c:noMultiLvlLbl val="0"/>
      </c:catAx>
      <c:valAx>
        <c:axId val="135025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Centro Histórico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'UR-TipoRiesgos_V3'!$C$39:$O$39</c:f>
              <c:numCache>
                <c:formatCode>###0.0</c:formatCode>
                <c:ptCount val="13"/>
                <c:pt idx="0">
                  <c:v>0</c:v>
                </c:pt>
                <c:pt idx="1">
                  <c:v>33.333333333333336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33.333333333333336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33.333333333333336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B44-4593-8A2B-4C4865F99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47760"/>
        <c:axId val="1350268432"/>
      </c:barChart>
      <c:catAx>
        <c:axId val="135024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8432"/>
        <c:crosses val="autoZero"/>
        <c:auto val="1"/>
        <c:lblAlgn val="ctr"/>
        <c:lblOffset val="100"/>
        <c:noMultiLvlLbl val="0"/>
      </c:catAx>
      <c:valAx>
        <c:axId val="13502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4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05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Certificación y Registro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'UR-TipoRiesgos_V3'!$C$40:$O$40</c:f>
              <c:numCache>
                <c:formatCode>###0.0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60</c:v>
                </c:pt>
                <c:pt idx="9">
                  <c:v>0</c:v>
                </c:pt>
                <c:pt idx="10">
                  <c:v>0</c:v>
                </c:pt>
                <c:pt idx="11">
                  <c:v>20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8D7-47DF-8C82-4AE5B75D1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73872"/>
        <c:axId val="1350251024"/>
      </c:barChart>
      <c:catAx>
        <c:axId val="135027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1024"/>
        <c:crosses val="autoZero"/>
        <c:auto val="1"/>
        <c:lblAlgn val="ctr"/>
        <c:lblOffset val="100"/>
        <c:noMultiLvlLbl val="0"/>
      </c:catAx>
      <c:valAx>
        <c:axId val="135025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7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Colegio de Ciencia y Tecnología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'UR-TipoRiesgos_V3'!$C$41:$O$41</c:f>
              <c:numCache>
                <c:formatCode>###0.0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50</c:v>
                </c:pt>
                <c:pt idx="9">
                  <c:v>0</c:v>
                </c:pt>
                <c:pt idx="10">
                  <c:v>0</c:v>
                </c:pt>
                <c:pt idx="11">
                  <c:v>50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F6-4546-801C-B9B547601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1568"/>
        <c:axId val="1350252112"/>
      </c:barChart>
      <c:catAx>
        <c:axId val="135025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2112"/>
        <c:crosses val="autoZero"/>
        <c:auto val="1"/>
        <c:lblAlgn val="ctr"/>
        <c:lblOffset val="100"/>
        <c:noMultiLvlLbl val="0"/>
      </c:catAx>
      <c:valAx>
        <c:axId val="135025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Colegio de Ciencias y Humanidades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'UR-TipoRiesgos_V3'!$C$42:$O$42</c:f>
              <c:numCache>
                <c:formatCode>###0.0</c:formatCode>
                <c:ptCount val="13"/>
                <c:pt idx="0">
                  <c:v>14.285714285714285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14.285714285714285</c:v>
                </c:pt>
                <c:pt idx="5">
                  <c:v>7.1428571428571423</c:v>
                </c:pt>
                <c:pt idx="6">
                  <c:v>21.428571428571427</c:v>
                </c:pt>
                <c:pt idx="7">
                  <c:v>7.1428571428571423</c:v>
                </c:pt>
                <c:pt idx="8">
                  <c:v>7.1428571428571423</c:v>
                </c:pt>
                <c:pt idx="9">
                  <c:v>28.571428571428569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FD5-48BE-88A5-F5E0EEFFD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2656"/>
        <c:axId val="1350253200"/>
      </c:barChart>
      <c:catAx>
        <c:axId val="135025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3200"/>
        <c:crosses val="autoZero"/>
        <c:auto val="1"/>
        <c:lblAlgn val="ctr"/>
        <c:lblOffset val="100"/>
        <c:noMultiLvlLbl val="0"/>
      </c:catAx>
      <c:valAx>
        <c:axId val="135025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u="none" strike="noStrike" baseline="0">
                <a:solidFill>
                  <a:schemeClr val="tx1">
                    <a:lumMod val="95000"/>
                    <a:lumOff val="5000"/>
                  </a:schemeClr>
                </a:solidFill>
                <a:effectLst/>
              </a:rPr>
              <a:t>Distribución porcentual de Tipo de Riesgos de Metas. Año 2023.</a:t>
            </a:r>
          </a:p>
          <a:p>
            <a:pPr>
              <a:defRPr sz="1100">
                <a:solidFill>
                  <a:schemeClr val="tx1">
                    <a:lumMod val="95000"/>
                    <a:lumOff val="5000"/>
                  </a:schemeClr>
                </a:solidFill>
              </a:defRPr>
            </a:pPr>
            <a:r>
              <a:rPr lang="en-US" sz="1050" baseline="0">
                <a:solidFill>
                  <a:schemeClr val="tx1">
                    <a:lumMod val="95000"/>
                    <a:lumOff val="5000"/>
                  </a:schemeClr>
                </a:solidFill>
              </a:rPr>
              <a:t>Colegio de Humanidades y Ciencias Sociales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'UR-TipoRiesgos_V3'!$C$35:$O$35</c:f>
              <c:strCache>
                <c:ptCount val="13"/>
                <c:pt idx="0">
                  <c:v>Académico</c:v>
                </c:pt>
                <c:pt idx="1">
                  <c:v>Administrativo</c:v>
                </c:pt>
                <c:pt idx="2">
                  <c:v>Capacitación</c:v>
                </c:pt>
                <c:pt idx="3">
                  <c:v>Estructura organizacional</c:v>
                </c:pt>
                <c:pt idx="4">
                  <c:v>Falta de personal</c:v>
                </c:pt>
                <c:pt idx="5">
                  <c:v>Falta de tiempo (insuficiencia)</c:v>
                </c:pt>
                <c:pt idx="6">
                  <c:v>Infraestructura</c:v>
                </c:pt>
                <c:pt idx="7">
                  <c:v>Normatividad</c:v>
                </c:pt>
                <c:pt idx="8">
                  <c:v>Procedimientos administrativos</c:v>
                </c:pt>
                <c:pt idx="9">
                  <c:v>Recursos financieros</c:v>
                </c:pt>
                <c:pt idx="10">
                  <c:v>Recursos informáticos</c:v>
                </c:pt>
                <c:pt idx="11">
                  <c:v>Recursos materiales</c:v>
                </c:pt>
                <c:pt idx="12">
                  <c:v>Otro</c:v>
                </c:pt>
              </c:strCache>
            </c:strRef>
          </c:cat>
          <c:val>
            <c:numRef>
              <c:f>'UR-TipoRiesgos_V3'!$C$50:$O$50</c:f>
              <c:numCache>
                <c:formatCode>###0.0</c:formatCode>
                <c:ptCount val="13"/>
                <c:pt idx="0">
                  <c:v>5.8823529411764701</c:v>
                </c:pt>
                <c:pt idx="1">
                  <c:v>5.8823529411764701</c:v>
                </c:pt>
                <c:pt idx="2">
                  <c:v>5.8823529411764701</c:v>
                </c:pt>
                <c:pt idx="3">
                  <c:v>0</c:v>
                </c:pt>
                <c:pt idx="4">
                  <c:v>5.8823529411764701</c:v>
                </c:pt>
                <c:pt idx="5">
                  <c:v>11.76470588235294</c:v>
                </c:pt>
                <c:pt idx="6">
                  <c:v>0</c:v>
                </c:pt>
                <c:pt idx="7">
                  <c:v>5.8823529411764701</c:v>
                </c:pt>
                <c:pt idx="8">
                  <c:v>23.52941176470588</c:v>
                </c:pt>
                <c:pt idx="9">
                  <c:v>11.76470588235294</c:v>
                </c:pt>
                <c:pt idx="10">
                  <c:v>5.8823529411764701</c:v>
                </c:pt>
                <c:pt idx="11">
                  <c:v>0</c:v>
                </c:pt>
                <c:pt idx="12">
                  <c:v>17.647058823529409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DD5-425B-AA75-3CFCD879B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254288"/>
        <c:axId val="1350265168"/>
      </c:barChart>
      <c:catAx>
        <c:axId val="1350254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65168"/>
        <c:crosses val="autoZero"/>
        <c:auto val="1"/>
        <c:lblAlgn val="ctr"/>
        <c:lblOffset val="100"/>
        <c:noMultiLvlLbl val="0"/>
      </c:catAx>
      <c:valAx>
        <c:axId val="135026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5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5025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B124-1FEF-4B97-AA59-405CBF31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1904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Planeacion</cp:lastModifiedBy>
  <cp:revision>2</cp:revision>
  <dcterms:created xsi:type="dcterms:W3CDTF">2024-05-21T20:00:00Z</dcterms:created>
  <dcterms:modified xsi:type="dcterms:W3CDTF">2024-05-21T20:00:00Z</dcterms:modified>
</cp:coreProperties>
</file>