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5F61" w14:textId="77777777" w:rsidR="006C0B7C" w:rsidRPr="006C0B7C" w:rsidRDefault="006C0B7C" w:rsidP="006C0B7C">
      <w:pPr>
        <w:shd w:val="clear" w:color="auto" w:fill="FFFFFF"/>
        <w:spacing w:after="240"/>
        <w:jc w:val="right"/>
        <w:rPr>
          <w:rFonts w:ascii="Times New Roman" w:eastAsia="Times New Roman" w:hAnsi="Times New Roman" w:cs="Times New Roman"/>
          <w:color w:val="222222"/>
          <w:kern w:val="0"/>
          <w14:ligatures w14:val="none"/>
        </w:rPr>
      </w:pPr>
      <w:r w:rsidRPr="006C0B7C">
        <w:rPr>
          <w:rFonts w:ascii="Arial" w:eastAsia="Times New Roman" w:hAnsi="Arial" w:cs="Arial"/>
          <w:color w:val="000000"/>
          <w:kern w:val="0"/>
          <w:sz w:val="18"/>
          <w:szCs w:val="18"/>
          <w14:ligatures w14:val="none"/>
        </w:rPr>
        <w:t>Ciudad de México, 20 de agosto de 2020.</w:t>
      </w:r>
    </w:p>
    <w:p w14:paraId="2EDA0CAB" w14:textId="77777777" w:rsidR="006C0B7C" w:rsidRPr="006C0B7C" w:rsidRDefault="006C0B7C" w:rsidP="006C0B7C">
      <w:pPr>
        <w:shd w:val="clear" w:color="auto" w:fill="FFFFFF"/>
        <w:spacing w:after="240"/>
        <w:jc w:val="center"/>
        <w:rPr>
          <w:rFonts w:ascii="Times New Roman" w:eastAsia="Times New Roman" w:hAnsi="Times New Roman" w:cs="Times New Roman"/>
          <w:color w:val="222222"/>
          <w:kern w:val="0"/>
          <w14:ligatures w14:val="none"/>
        </w:rPr>
      </w:pPr>
      <w:r w:rsidRPr="006C0B7C">
        <w:rPr>
          <w:rFonts w:ascii="Arial" w:eastAsia="Times New Roman" w:hAnsi="Arial" w:cs="Arial"/>
          <w:b/>
          <w:bCs/>
          <w:color w:val="000000"/>
          <w:kern w:val="0"/>
          <w:sz w:val="48"/>
          <w:szCs w:val="48"/>
          <w14:ligatures w14:val="none"/>
        </w:rPr>
        <w:t>Comunicado 7</w:t>
      </w:r>
    </w:p>
    <w:p w14:paraId="7E24BC7B" w14:textId="77777777" w:rsidR="006C0B7C" w:rsidRPr="006C0B7C" w:rsidRDefault="006C0B7C" w:rsidP="006C0B7C">
      <w:pPr>
        <w:shd w:val="clear" w:color="auto" w:fill="FFFFFF"/>
        <w:jc w:val="center"/>
        <w:rPr>
          <w:rFonts w:ascii="Helvetica Neue" w:eastAsia="Times New Roman" w:hAnsi="Helvetica Neue" w:cs="Times New Roman"/>
          <w:color w:val="000000"/>
          <w:kern w:val="0"/>
          <w14:ligatures w14:val="none"/>
        </w:rPr>
      </w:pPr>
      <w:r w:rsidRPr="006C0B7C">
        <w:rPr>
          <w:rFonts w:ascii="Arial" w:eastAsia="Times New Roman" w:hAnsi="Arial" w:cs="Arial"/>
          <w:color w:val="000000"/>
          <w:kern w:val="0"/>
          <w:sz w:val="48"/>
          <w:szCs w:val="48"/>
          <w14:ligatures w14:val="none"/>
        </w:rPr>
        <w:t> </w:t>
      </w:r>
      <w:r w:rsidRPr="006C0B7C">
        <w:rPr>
          <w:rFonts w:ascii="Calibri" w:eastAsia="Times New Roman" w:hAnsi="Calibri" w:cs="Calibri"/>
          <w:b/>
          <w:bCs/>
          <w:color w:val="000000"/>
          <w:kern w:val="0"/>
          <w:sz w:val="48"/>
          <w:szCs w:val="48"/>
          <w:lang w:val="es-ES_tradnl"/>
          <w14:ligatures w14:val="none"/>
        </w:rPr>
        <w:t>Informe sobre el estado financiero de la Universidad</w:t>
      </w:r>
    </w:p>
    <w:p w14:paraId="625FBC02" w14:textId="77777777" w:rsidR="006C0B7C" w:rsidRPr="006C0B7C" w:rsidRDefault="006C0B7C" w:rsidP="006C0B7C">
      <w:pPr>
        <w:shd w:val="clear" w:color="auto" w:fill="FFFFFF"/>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b/>
          <w:bCs/>
          <w:color w:val="000000"/>
          <w:kern w:val="0"/>
          <w:sz w:val="22"/>
          <w:szCs w:val="22"/>
          <w:lang w:val="es-ES_tradnl"/>
          <w14:ligatures w14:val="none"/>
        </w:rPr>
        <w:t> </w:t>
      </w:r>
    </w:p>
    <w:p w14:paraId="0DBC865A"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Desde nuestra llegada a la administración hemos dedicado grandes esfuerzos al análisis de las finanzas de la Universidad. Hoy, congruentes con el compromiso de transparencia y responsabilidad que adquirimos, queremos informar a toda la comunidad universitaria del estado que guardan dichas finanzas. Si todas y todos conocemos la situación, juntos podremos tomar mejores decisiones para cuidar los recursos de nuestra institución.</w:t>
      </w:r>
    </w:p>
    <w:p w14:paraId="147AD435"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 </w:t>
      </w:r>
    </w:p>
    <w:p w14:paraId="472BC0DB"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Como sabemos, la UACM recibe recursos fundamentalmente de la Ciudad de M</w:t>
      </w:r>
      <w:r w:rsidRPr="006C0B7C">
        <w:rPr>
          <w:rFonts w:ascii="Helvetica Neue" w:eastAsia="Times New Roman" w:hAnsi="Helvetica Neue" w:cs="Times New Roman"/>
          <w:color w:val="000000"/>
          <w:kern w:val="0"/>
          <w:sz w:val="22"/>
          <w:szCs w:val="22"/>
          <w:lang w:val="fr-FR"/>
          <w14:ligatures w14:val="none"/>
        </w:rPr>
        <w:t>é</w:t>
      </w:r>
      <w:proofErr w:type="spellStart"/>
      <w:r w:rsidRPr="006C0B7C">
        <w:rPr>
          <w:rFonts w:ascii="Helvetica Neue" w:eastAsia="Times New Roman" w:hAnsi="Helvetica Neue" w:cs="Times New Roman"/>
          <w:color w:val="000000"/>
          <w:kern w:val="0"/>
          <w:sz w:val="22"/>
          <w:szCs w:val="22"/>
          <w:lang w:val="es-ES_tradnl"/>
          <w14:ligatures w14:val="none"/>
        </w:rPr>
        <w:t>xico</w:t>
      </w:r>
      <w:proofErr w:type="spellEnd"/>
      <w:r w:rsidRPr="006C0B7C">
        <w:rPr>
          <w:rFonts w:ascii="Helvetica Neue" w:eastAsia="Times New Roman" w:hAnsi="Helvetica Neue" w:cs="Times New Roman"/>
          <w:color w:val="000000"/>
          <w:kern w:val="0"/>
          <w:sz w:val="22"/>
          <w:szCs w:val="22"/>
          <w:lang w:val="es-ES_tradnl"/>
          <w14:ligatures w14:val="none"/>
        </w:rPr>
        <w:t xml:space="preserve"> (CDMX) y también recibe fondos de la Federación. Estas fuentes conjuntas integran el presupuesto anual de la Universidad, el cual se ha mantenido constante desde 2018 (ver cuadro 1). Esto significa que, durante tres años consecutivos hemos afrontado el aumento en los gastos de la universidad, por efecto de la inflación y de los incrementos salariales, con la misma asignación de recursos.</w:t>
      </w:r>
    </w:p>
    <w:p w14:paraId="749275F6" w14:textId="77777777" w:rsidR="006C0B7C" w:rsidRPr="006C0B7C" w:rsidRDefault="006C0B7C" w:rsidP="006C0B7C">
      <w:pPr>
        <w:shd w:val="clear" w:color="auto" w:fill="FFFFFF"/>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b/>
          <w:bCs/>
          <w:i/>
          <w:iCs/>
          <w:color w:val="000000"/>
          <w:kern w:val="0"/>
          <w:sz w:val="22"/>
          <w:szCs w:val="22"/>
          <w:lang w:val="es-ES_tradnl"/>
          <w14:ligatures w14:val="none"/>
        </w:rPr>
        <w:t> </w:t>
      </w:r>
    </w:p>
    <w:tbl>
      <w:tblPr>
        <w:tblW w:w="8790" w:type="dxa"/>
        <w:tblInd w:w="108" w:type="dxa"/>
        <w:shd w:val="clear" w:color="auto" w:fill="CDD4E9"/>
        <w:tblCellMar>
          <w:left w:w="0" w:type="dxa"/>
          <w:right w:w="0" w:type="dxa"/>
        </w:tblCellMar>
        <w:tblLook w:val="04A0" w:firstRow="1" w:lastRow="0" w:firstColumn="1" w:lastColumn="0" w:noHBand="0" w:noVBand="1"/>
      </w:tblPr>
      <w:tblGrid>
        <w:gridCol w:w="1130"/>
        <w:gridCol w:w="3263"/>
        <w:gridCol w:w="2127"/>
        <w:gridCol w:w="2270"/>
      </w:tblGrid>
      <w:tr w:rsidR="006C0B7C" w:rsidRPr="006C0B7C" w14:paraId="18BB7473" w14:textId="77777777" w:rsidTr="006C0B7C">
        <w:trPr>
          <w:trHeight w:val="250"/>
        </w:trPr>
        <w:tc>
          <w:tcPr>
            <w:tcW w:w="1129"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hideMark/>
          </w:tcPr>
          <w:p w14:paraId="31C4477E"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Año</w:t>
            </w:r>
          </w:p>
        </w:tc>
        <w:tc>
          <w:tcPr>
            <w:tcW w:w="3261" w:type="dxa"/>
            <w:tcBorders>
              <w:top w:val="single" w:sz="8" w:space="0" w:color="000000"/>
              <w:left w:val="nil"/>
              <w:bottom w:val="single" w:sz="8" w:space="0" w:color="000000"/>
              <w:right w:val="single" w:sz="8" w:space="0" w:color="000000"/>
            </w:tcBorders>
            <w:shd w:val="clear" w:color="auto" w:fill="D9D9D9"/>
            <w:tcMar>
              <w:top w:w="80" w:type="dxa"/>
              <w:left w:w="80" w:type="dxa"/>
              <w:bottom w:w="80" w:type="dxa"/>
              <w:right w:w="80" w:type="dxa"/>
            </w:tcMar>
            <w:hideMark/>
          </w:tcPr>
          <w:p w14:paraId="51F7809E"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Recursos CDMX (fiscales)</w:t>
            </w:r>
          </w:p>
        </w:tc>
        <w:tc>
          <w:tcPr>
            <w:tcW w:w="2126" w:type="dxa"/>
            <w:tcBorders>
              <w:top w:val="single" w:sz="8" w:space="0" w:color="000000"/>
              <w:left w:val="nil"/>
              <w:bottom w:val="single" w:sz="8" w:space="0" w:color="000000"/>
              <w:right w:val="single" w:sz="8" w:space="0" w:color="000000"/>
            </w:tcBorders>
            <w:shd w:val="clear" w:color="auto" w:fill="D9D9D9"/>
            <w:tcMar>
              <w:top w:w="80" w:type="dxa"/>
              <w:left w:w="80" w:type="dxa"/>
              <w:bottom w:w="80" w:type="dxa"/>
              <w:right w:w="80" w:type="dxa"/>
            </w:tcMar>
            <w:hideMark/>
          </w:tcPr>
          <w:p w14:paraId="1F0E110E"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Recursos Federales</w:t>
            </w:r>
          </w:p>
        </w:tc>
        <w:tc>
          <w:tcPr>
            <w:tcW w:w="2268" w:type="dxa"/>
            <w:tcBorders>
              <w:top w:val="single" w:sz="8" w:space="0" w:color="000000"/>
              <w:left w:val="nil"/>
              <w:bottom w:val="single" w:sz="8" w:space="0" w:color="000000"/>
              <w:right w:val="single" w:sz="8" w:space="0" w:color="000000"/>
            </w:tcBorders>
            <w:shd w:val="clear" w:color="auto" w:fill="D9D9D9"/>
            <w:tcMar>
              <w:top w:w="80" w:type="dxa"/>
              <w:left w:w="80" w:type="dxa"/>
              <w:bottom w:w="80" w:type="dxa"/>
              <w:right w:w="80" w:type="dxa"/>
            </w:tcMar>
            <w:hideMark/>
          </w:tcPr>
          <w:p w14:paraId="79B10FE3"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Monto total</w:t>
            </w:r>
          </w:p>
        </w:tc>
      </w:tr>
      <w:tr w:rsidR="006C0B7C" w:rsidRPr="006C0B7C" w14:paraId="06D81557" w14:textId="77777777" w:rsidTr="006C0B7C">
        <w:trPr>
          <w:trHeight w:val="250"/>
        </w:trPr>
        <w:tc>
          <w:tcPr>
            <w:tcW w:w="1129"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6A6F125A"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2015</w:t>
            </w:r>
          </w:p>
        </w:tc>
        <w:tc>
          <w:tcPr>
            <w:tcW w:w="326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421FF7D6"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$909,568,123.00</w:t>
            </w:r>
          </w:p>
        </w:tc>
        <w:tc>
          <w:tcPr>
            <w:tcW w:w="212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5F73B138"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$150,000,000.00</w:t>
            </w:r>
          </w:p>
        </w:tc>
        <w:tc>
          <w:tcPr>
            <w:tcW w:w="22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7462A16F"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$ 1,059,568,123.00</w:t>
            </w:r>
          </w:p>
        </w:tc>
      </w:tr>
      <w:tr w:rsidR="006C0B7C" w:rsidRPr="006C0B7C" w14:paraId="2FA79514" w14:textId="77777777" w:rsidTr="006C0B7C">
        <w:trPr>
          <w:trHeight w:val="250"/>
        </w:trPr>
        <w:tc>
          <w:tcPr>
            <w:tcW w:w="1129"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2AB76161"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2016</w:t>
            </w:r>
          </w:p>
        </w:tc>
        <w:tc>
          <w:tcPr>
            <w:tcW w:w="326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581F979C"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$1,059,568,123.00</w:t>
            </w:r>
          </w:p>
        </w:tc>
        <w:tc>
          <w:tcPr>
            <w:tcW w:w="212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4F081F8D"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$150,000,000.00</w:t>
            </w:r>
          </w:p>
        </w:tc>
        <w:tc>
          <w:tcPr>
            <w:tcW w:w="22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05AF42F0"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$ 1,209,568,123.00</w:t>
            </w:r>
          </w:p>
        </w:tc>
      </w:tr>
      <w:tr w:rsidR="006C0B7C" w:rsidRPr="006C0B7C" w14:paraId="5AF1E1D9" w14:textId="77777777" w:rsidTr="006C0B7C">
        <w:trPr>
          <w:trHeight w:val="250"/>
        </w:trPr>
        <w:tc>
          <w:tcPr>
            <w:tcW w:w="1129"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4B0EFA54"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2017</w:t>
            </w:r>
          </w:p>
        </w:tc>
        <w:tc>
          <w:tcPr>
            <w:tcW w:w="326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18A64F18"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$1,146,028,882.00</w:t>
            </w:r>
          </w:p>
        </w:tc>
        <w:tc>
          <w:tcPr>
            <w:tcW w:w="212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3F3518BF"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$150,000,000.00</w:t>
            </w:r>
          </w:p>
        </w:tc>
        <w:tc>
          <w:tcPr>
            <w:tcW w:w="22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730326BC"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$ 1,296,028,882.00</w:t>
            </w:r>
          </w:p>
        </w:tc>
      </w:tr>
      <w:tr w:rsidR="006C0B7C" w:rsidRPr="006C0B7C" w14:paraId="082C9007" w14:textId="77777777" w:rsidTr="006C0B7C">
        <w:trPr>
          <w:trHeight w:val="250"/>
        </w:trPr>
        <w:tc>
          <w:tcPr>
            <w:tcW w:w="1129"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0C721CE0"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2018</w:t>
            </w:r>
          </w:p>
        </w:tc>
        <w:tc>
          <w:tcPr>
            <w:tcW w:w="326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10CA6517"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$1,191,870,037.00</w:t>
            </w:r>
          </w:p>
        </w:tc>
        <w:tc>
          <w:tcPr>
            <w:tcW w:w="212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3F94E12C"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$150,000,000.00</w:t>
            </w:r>
          </w:p>
        </w:tc>
        <w:tc>
          <w:tcPr>
            <w:tcW w:w="22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4D8F2934"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$ 1,341,870,037.00</w:t>
            </w:r>
          </w:p>
        </w:tc>
      </w:tr>
      <w:tr w:rsidR="006C0B7C" w:rsidRPr="006C0B7C" w14:paraId="7D64BF43" w14:textId="77777777" w:rsidTr="006C0B7C">
        <w:trPr>
          <w:trHeight w:val="250"/>
        </w:trPr>
        <w:tc>
          <w:tcPr>
            <w:tcW w:w="1129"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309E11BE"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2019</w:t>
            </w:r>
          </w:p>
        </w:tc>
        <w:tc>
          <w:tcPr>
            <w:tcW w:w="326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3B1B7E84"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$1,191,870,037.00</w:t>
            </w:r>
          </w:p>
        </w:tc>
        <w:tc>
          <w:tcPr>
            <w:tcW w:w="212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28D15549"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$150,000,000.00</w:t>
            </w:r>
          </w:p>
        </w:tc>
        <w:tc>
          <w:tcPr>
            <w:tcW w:w="22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01C1A85E"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$ 1,341,870,037.00</w:t>
            </w:r>
          </w:p>
        </w:tc>
      </w:tr>
      <w:tr w:rsidR="006C0B7C" w:rsidRPr="006C0B7C" w14:paraId="4309AC4D" w14:textId="77777777" w:rsidTr="006C0B7C">
        <w:trPr>
          <w:trHeight w:val="250"/>
        </w:trPr>
        <w:tc>
          <w:tcPr>
            <w:tcW w:w="1129"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1D0A787D"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2020</w:t>
            </w:r>
          </w:p>
        </w:tc>
        <w:tc>
          <w:tcPr>
            <w:tcW w:w="326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35BD034A"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$1,192,012,682.00</w:t>
            </w:r>
          </w:p>
        </w:tc>
        <w:tc>
          <w:tcPr>
            <w:tcW w:w="212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2F340A58"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$150,000,000.00</w:t>
            </w:r>
          </w:p>
        </w:tc>
        <w:tc>
          <w:tcPr>
            <w:tcW w:w="22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7A7DB159" w14:textId="77777777" w:rsidR="006C0B7C" w:rsidRPr="006C0B7C" w:rsidRDefault="006C0B7C" w:rsidP="006C0B7C">
            <w:pP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2"/>
                <w:szCs w:val="22"/>
                <w:lang w:val="es-ES_tradnl"/>
                <w14:ligatures w14:val="none"/>
              </w:rPr>
              <w:t>$ 1,342,012,682.00</w:t>
            </w:r>
          </w:p>
        </w:tc>
      </w:tr>
    </w:tbl>
    <w:p w14:paraId="6523E14F" w14:textId="77777777" w:rsidR="006C0B7C" w:rsidRPr="006C0B7C" w:rsidRDefault="006C0B7C" w:rsidP="006C0B7C">
      <w:pPr>
        <w:shd w:val="clear" w:color="auto" w:fill="FFFFFF"/>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b/>
          <w:bCs/>
          <w:i/>
          <w:iCs/>
          <w:color w:val="000000"/>
          <w:kern w:val="0"/>
          <w:sz w:val="22"/>
          <w:szCs w:val="22"/>
          <w:lang w:val="es-ES_tradnl"/>
          <w14:ligatures w14:val="none"/>
        </w:rPr>
        <w:t> </w:t>
      </w:r>
      <w:r w:rsidRPr="006C0B7C">
        <w:rPr>
          <w:rFonts w:ascii="Helvetica Neue" w:eastAsia="Times New Roman" w:hAnsi="Helvetica Neue" w:cs="Times New Roman"/>
          <w:color w:val="000000"/>
          <w:kern w:val="0"/>
          <w:sz w:val="22"/>
          <w:szCs w:val="22"/>
          <w14:ligatures w14:val="none"/>
        </w:rPr>
        <w:t>Cuadro 1. Histórico del presupuesto anual de la UACM   </w:t>
      </w:r>
    </w:p>
    <w:p w14:paraId="2C877DA6" w14:textId="77777777" w:rsidR="006C0B7C" w:rsidRPr="006C0B7C" w:rsidRDefault="006C0B7C" w:rsidP="006C0B7C">
      <w:pPr>
        <w:shd w:val="clear" w:color="auto" w:fill="FFFFFF"/>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 </w:t>
      </w:r>
    </w:p>
    <w:p w14:paraId="64EC1CFF"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it-IT"/>
          <w14:ligatures w14:val="none"/>
        </w:rPr>
        <w:t>La n</w:t>
      </w:r>
      <w:proofErr w:type="spellStart"/>
      <w:r w:rsidRPr="006C0B7C">
        <w:rPr>
          <w:rFonts w:ascii="Helvetica Neue" w:eastAsia="Times New Roman" w:hAnsi="Helvetica Neue" w:cs="Times New Roman"/>
          <w:color w:val="000000"/>
          <w:kern w:val="0"/>
          <w:sz w:val="22"/>
          <w:szCs w:val="22"/>
          <w:lang w:val="es-ES_tradnl"/>
          <w14:ligatures w14:val="none"/>
        </w:rPr>
        <w:t>ómina</w:t>
      </w:r>
      <w:proofErr w:type="spellEnd"/>
      <w:r w:rsidRPr="006C0B7C">
        <w:rPr>
          <w:rFonts w:ascii="Helvetica Neue" w:eastAsia="Times New Roman" w:hAnsi="Helvetica Neue" w:cs="Times New Roman"/>
          <w:color w:val="000000"/>
          <w:kern w:val="0"/>
          <w:sz w:val="22"/>
          <w:szCs w:val="22"/>
          <w:lang w:val="es-ES_tradnl"/>
          <w14:ligatures w14:val="none"/>
        </w:rPr>
        <w:t xml:space="preserve"> actual de la Universidad está conformada por 1,715 trabajadoras y trabajadores </w:t>
      </w:r>
      <w:proofErr w:type="spellStart"/>
      <w:r w:rsidRPr="006C0B7C">
        <w:rPr>
          <w:rFonts w:ascii="Helvetica Neue" w:eastAsia="Times New Roman" w:hAnsi="Helvetica Neue" w:cs="Times New Roman"/>
          <w:color w:val="000000"/>
          <w:kern w:val="0"/>
          <w:sz w:val="22"/>
          <w:szCs w:val="22"/>
          <w:lang w:val="es-ES_tradnl"/>
          <w14:ligatures w14:val="none"/>
        </w:rPr>
        <w:t>acad</w:t>
      </w:r>
      <w:proofErr w:type="spellEnd"/>
      <w:r w:rsidRPr="006C0B7C">
        <w:rPr>
          <w:rFonts w:ascii="Helvetica Neue" w:eastAsia="Times New Roman" w:hAnsi="Helvetica Neue" w:cs="Times New Roman"/>
          <w:color w:val="000000"/>
          <w:kern w:val="0"/>
          <w:sz w:val="22"/>
          <w:szCs w:val="22"/>
          <w:lang w:val="fr-FR"/>
          <w14:ligatures w14:val="none"/>
        </w:rPr>
        <w:t>é</w:t>
      </w:r>
      <w:r w:rsidRPr="006C0B7C">
        <w:rPr>
          <w:rFonts w:ascii="Helvetica Neue" w:eastAsia="Times New Roman" w:hAnsi="Helvetica Neue" w:cs="Times New Roman"/>
          <w:color w:val="000000"/>
          <w:kern w:val="0"/>
          <w:sz w:val="22"/>
          <w:szCs w:val="22"/>
          <w:lang w:val="es-ES_tradnl"/>
          <w14:ligatures w14:val="none"/>
        </w:rPr>
        <w:t>micos, administrativos, t</w:t>
      </w:r>
      <w:r w:rsidRPr="006C0B7C">
        <w:rPr>
          <w:rFonts w:ascii="Helvetica Neue" w:eastAsia="Times New Roman" w:hAnsi="Helvetica Neue" w:cs="Times New Roman"/>
          <w:color w:val="000000"/>
          <w:kern w:val="0"/>
          <w:sz w:val="22"/>
          <w:szCs w:val="22"/>
          <w:lang w:val="fr-FR"/>
          <w14:ligatures w14:val="none"/>
        </w:rPr>
        <w:t>é</w:t>
      </w:r>
      <w:proofErr w:type="spellStart"/>
      <w:r w:rsidRPr="006C0B7C">
        <w:rPr>
          <w:rFonts w:ascii="Helvetica Neue" w:eastAsia="Times New Roman" w:hAnsi="Helvetica Neue" w:cs="Times New Roman"/>
          <w:color w:val="000000"/>
          <w:kern w:val="0"/>
          <w:sz w:val="22"/>
          <w:szCs w:val="22"/>
          <w:lang w:val="es-ES_tradnl"/>
          <w14:ligatures w14:val="none"/>
        </w:rPr>
        <w:t>cnicos</w:t>
      </w:r>
      <w:proofErr w:type="spellEnd"/>
      <w:r w:rsidRPr="006C0B7C">
        <w:rPr>
          <w:rFonts w:ascii="Helvetica Neue" w:eastAsia="Times New Roman" w:hAnsi="Helvetica Neue" w:cs="Times New Roman"/>
          <w:color w:val="000000"/>
          <w:kern w:val="0"/>
          <w:sz w:val="22"/>
          <w:szCs w:val="22"/>
          <w:lang w:val="es-ES_tradnl"/>
          <w14:ligatures w14:val="none"/>
        </w:rPr>
        <w:t xml:space="preserve"> y manuales. El detalle de la distribución de plazas y niveles salariales de la nómina puede observarse en el C</w:t>
      </w:r>
      <w:proofErr w:type="spellStart"/>
      <w:r w:rsidRPr="006C0B7C">
        <w:rPr>
          <w:rFonts w:ascii="Helvetica Neue" w:eastAsia="Times New Roman" w:hAnsi="Helvetica Neue" w:cs="Times New Roman"/>
          <w:color w:val="000000"/>
          <w:kern w:val="0"/>
          <w:sz w:val="22"/>
          <w:szCs w:val="22"/>
          <w:lang w:val="it-IT"/>
          <w14:ligatures w14:val="none"/>
        </w:rPr>
        <w:t>uadro</w:t>
      </w:r>
      <w:proofErr w:type="spellEnd"/>
      <w:r w:rsidRPr="006C0B7C">
        <w:rPr>
          <w:rFonts w:ascii="Helvetica Neue" w:eastAsia="Times New Roman" w:hAnsi="Helvetica Neue" w:cs="Times New Roman"/>
          <w:color w:val="000000"/>
          <w:kern w:val="0"/>
          <w:sz w:val="22"/>
          <w:szCs w:val="22"/>
          <w:lang w:val="it-IT"/>
          <w14:ligatures w14:val="none"/>
        </w:rPr>
        <w:t xml:space="preserve"> 2.</w:t>
      </w:r>
    </w:p>
    <w:p w14:paraId="51215EB8" w14:textId="77777777" w:rsidR="006C0B7C" w:rsidRPr="006C0B7C" w:rsidRDefault="006C0B7C" w:rsidP="006C0B7C">
      <w:pPr>
        <w:shd w:val="clear" w:color="auto" w:fill="FFFFFF"/>
        <w:jc w:val="center"/>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 </w:t>
      </w:r>
    </w:p>
    <w:tbl>
      <w:tblPr>
        <w:tblW w:w="8925" w:type="dxa"/>
        <w:tblInd w:w="108" w:type="dxa"/>
        <w:shd w:val="clear" w:color="auto" w:fill="CDD4E9"/>
        <w:tblCellMar>
          <w:left w:w="0" w:type="dxa"/>
          <w:right w:w="0" w:type="dxa"/>
        </w:tblCellMar>
        <w:tblLook w:val="04A0" w:firstRow="1" w:lastRow="0" w:firstColumn="1" w:lastColumn="0" w:noHBand="0" w:noVBand="1"/>
      </w:tblPr>
      <w:tblGrid>
        <w:gridCol w:w="1418"/>
        <w:gridCol w:w="1700"/>
        <w:gridCol w:w="1416"/>
        <w:gridCol w:w="2691"/>
        <w:gridCol w:w="1700"/>
      </w:tblGrid>
      <w:tr w:rsidR="006C0B7C" w:rsidRPr="006C0B7C" w14:paraId="62E880A3" w14:textId="77777777" w:rsidTr="006C0B7C">
        <w:trPr>
          <w:trHeight w:val="450"/>
        </w:trPr>
        <w:tc>
          <w:tcPr>
            <w:tcW w:w="1418"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hideMark/>
          </w:tcPr>
          <w:p w14:paraId="083B8AE5"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b/>
                <w:bCs/>
                <w:color w:val="000000"/>
                <w:kern w:val="0"/>
                <w:sz w:val="20"/>
                <w:szCs w:val="20"/>
                <w:lang w:val="es-ES_tradnl"/>
                <w14:ligatures w14:val="none"/>
              </w:rPr>
              <w:t>Nivel Salarial</w:t>
            </w:r>
          </w:p>
        </w:tc>
        <w:tc>
          <w:tcPr>
            <w:tcW w:w="1701" w:type="dxa"/>
            <w:tcBorders>
              <w:top w:val="single" w:sz="8" w:space="0" w:color="000000"/>
              <w:left w:val="nil"/>
              <w:bottom w:val="single" w:sz="8" w:space="0" w:color="000000"/>
              <w:right w:val="single" w:sz="8" w:space="0" w:color="000000"/>
            </w:tcBorders>
            <w:shd w:val="clear" w:color="auto" w:fill="D9D9D9"/>
            <w:tcMar>
              <w:top w:w="80" w:type="dxa"/>
              <w:left w:w="80" w:type="dxa"/>
              <w:bottom w:w="80" w:type="dxa"/>
              <w:right w:w="80" w:type="dxa"/>
            </w:tcMar>
            <w:hideMark/>
          </w:tcPr>
          <w:p w14:paraId="6F4C22B2"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proofErr w:type="gramStart"/>
            <w:r w:rsidRPr="006C0B7C">
              <w:rPr>
                <w:rFonts w:ascii="Helvetica Neue" w:eastAsia="Times New Roman" w:hAnsi="Helvetica Neue" w:cs="Arial"/>
                <w:b/>
                <w:bCs/>
                <w:color w:val="000000"/>
                <w:kern w:val="0"/>
                <w:sz w:val="20"/>
                <w:szCs w:val="20"/>
                <w:lang w:val="es-ES_tradnl"/>
                <w14:ligatures w14:val="none"/>
              </w:rPr>
              <w:t>Base activos</w:t>
            </w:r>
            <w:proofErr w:type="gramEnd"/>
          </w:p>
        </w:tc>
        <w:tc>
          <w:tcPr>
            <w:tcW w:w="1417" w:type="dxa"/>
            <w:tcBorders>
              <w:top w:val="single" w:sz="8" w:space="0" w:color="000000"/>
              <w:left w:val="nil"/>
              <w:bottom w:val="single" w:sz="8" w:space="0" w:color="000000"/>
              <w:right w:val="single" w:sz="8" w:space="0" w:color="000000"/>
            </w:tcBorders>
            <w:shd w:val="clear" w:color="auto" w:fill="D9D9D9"/>
            <w:tcMar>
              <w:top w:w="80" w:type="dxa"/>
              <w:left w:w="80" w:type="dxa"/>
              <w:bottom w:w="80" w:type="dxa"/>
              <w:right w:w="80" w:type="dxa"/>
            </w:tcMar>
            <w:hideMark/>
          </w:tcPr>
          <w:p w14:paraId="56DBE6A5"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b/>
                <w:bCs/>
                <w:color w:val="000000"/>
                <w:kern w:val="0"/>
                <w:sz w:val="20"/>
                <w:szCs w:val="20"/>
                <w:lang w:val="es-ES_tradnl"/>
                <w14:ligatures w14:val="none"/>
              </w:rPr>
              <w:t>Base licencia</w:t>
            </w:r>
          </w:p>
        </w:tc>
        <w:tc>
          <w:tcPr>
            <w:tcW w:w="2693" w:type="dxa"/>
            <w:tcBorders>
              <w:top w:val="single" w:sz="8" w:space="0" w:color="000000"/>
              <w:left w:val="nil"/>
              <w:bottom w:val="single" w:sz="8" w:space="0" w:color="000000"/>
              <w:right w:val="single" w:sz="8" w:space="0" w:color="000000"/>
            </w:tcBorders>
            <w:shd w:val="clear" w:color="auto" w:fill="D9D9D9"/>
            <w:tcMar>
              <w:top w:w="80" w:type="dxa"/>
              <w:left w:w="80" w:type="dxa"/>
              <w:bottom w:w="80" w:type="dxa"/>
              <w:right w:w="80" w:type="dxa"/>
            </w:tcMar>
            <w:hideMark/>
          </w:tcPr>
          <w:p w14:paraId="4D2C3C01"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b/>
                <w:bCs/>
                <w:color w:val="000000"/>
                <w:kern w:val="0"/>
                <w:sz w:val="20"/>
                <w:szCs w:val="20"/>
                <w:lang w:val="es-ES_tradnl"/>
                <w14:ligatures w14:val="none"/>
              </w:rPr>
              <w:t>Base (asimilados/ honorarios)</w:t>
            </w:r>
          </w:p>
        </w:tc>
        <w:tc>
          <w:tcPr>
            <w:tcW w:w="1701" w:type="dxa"/>
            <w:tcBorders>
              <w:top w:val="single" w:sz="8" w:space="0" w:color="000000"/>
              <w:left w:val="nil"/>
              <w:bottom w:val="single" w:sz="8" w:space="0" w:color="000000"/>
              <w:right w:val="single" w:sz="8" w:space="0" w:color="000000"/>
            </w:tcBorders>
            <w:shd w:val="clear" w:color="auto" w:fill="D9D9D9"/>
            <w:tcMar>
              <w:top w:w="80" w:type="dxa"/>
              <w:left w:w="80" w:type="dxa"/>
              <w:bottom w:w="80" w:type="dxa"/>
              <w:right w:w="80" w:type="dxa"/>
            </w:tcMar>
            <w:hideMark/>
          </w:tcPr>
          <w:p w14:paraId="3506DA11"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b/>
                <w:bCs/>
                <w:color w:val="000000"/>
                <w:kern w:val="0"/>
                <w:sz w:val="20"/>
                <w:szCs w:val="20"/>
                <w:lang w:val="es-ES_tradnl"/>
                <w14:ligatures w14:val="none"/>
              </w:rPr>
              <w:t>Confianza activos</w:t>
            </w:r>
          </w:p>
        </w:tc>
      </w:tr>
      <w:tr w:rsidR="006C0B7C" w:rsidRPr="006C0B7C" w14:paraId="78D9D050" w14:textId="77777777" w:rsidTr="006C0B7C">
        <w:trPr>
          <w:trHeight w:val="230"/>
        </w:trPr>
        <w:tc>
          <w:tcPr>
            <w:tcW w:w="141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0C9BCB7A"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16</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4FD9CE20"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189</w:t>
            </w:r>
          </w:p>
        </w:tc>
        <w:tc>
          <w:tcPr>
            <w:tcW w:w="141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71C5946A"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1</w:t>
            </w:r>
          </w:p>
        </w:tc>
        <w:tc>
          <w:tcPr>
            <w:tcW w:w="26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43DB8AD6"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2</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586A15F9"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r>
      <w:tr w:rsidR="006C0B7C" w:rsidRPr="006C0B7C" w14:paraId="59D0C462" w14:textId="77777777" w:rsidTr="006C0B7C">
        <w:trPr>
          <w:trHeight w:val="230"/>
        </w:trPr>
        <w:tc>
          <w:tcPr>
            <w:tcW w:w="141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57198B9E"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18</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0A0DFE4C"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163</w:t>
            </w:r>
          </w:p>
        </w:tc>
        <w:tc>
          <w:tcPr>
            <w:tcW w:w="141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55E1718A"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7</w:t>
            </w:r>
          </w:p>
        </w:tc>
        <w:tc>
          <w:tcPr>
            <w:tcW w:w="26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44CDA35C"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2000CD4D"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r>
      <w:tr w:rsidR="006C0B7C" w:rsidRPr="006C0B7C" w14:paraId="3CD1B9FD" w14:textId="77777777" w:rsidTr="006C0B7C">
        <w:trPr>
          <w:trHeight w:val="230"/>
        </w:trPr>
        <w:tc>
          <w:tcPr>
            <w:tcW w:w="141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390AD365"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20</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6F5CA3D4"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129</w:t>
            </w:r>
          </w:p>
        </w:tc>
        <w:tc>
          <w:tcPr>
            <w:tcW w:w="141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5005E98F"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5</w:t>
            </w:r>
          </w:p>
        </w:tc>
        <w:tc>
          <w:tcPr>
            <w:tcW w:w="26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0DDE025F"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190DADD0"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r>
      <w:tr w:rsidR="006C0B7C" w:rsidRPr="006C0B7C" w14:paraId="1723A53E" w14:textId="77777777" w:rsidTr="006C0B7C">
        <w:trPr>
          <w:trHeight w:val="230"/>
        </w:trPr>
        <w:tc>
          <w:tcPr>
            <w:tcW w:w="141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54D8E5F1"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20.5</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1FFA2FE3"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119</w:t>
            </w:r>
          </w:p>
        </w:tc>
        <w:tc>
          <w:tcPr>
            <w:tcW w:w="141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5C0BC911"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7</w:t>
            </w:r>
          </w:p>
        </w:tc>
        <w:tc>
          <w:tcPr>
            <w:tcW w:w="26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4B2D7475"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1</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29D979D5"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1</w:t>
            </w:r>
          </w:p>
        </w:tc>
      </w:tr>
      <w:tr w:rsidR="006C0B7C" w:rsidRPr="006C0B7C" w14:paraId="36038C78" w14:textId="77777777" w:rsidTr="006C0B7C">
        <w:trPr>
          <w:trHeight w:val="230"/>
        </w:trPr>
        <w:tc>
          <w:tcPr>
            <w:tcW w:w="141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4D86EC3A"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lastRenderedPageBreak/>
              <w:t>85.6</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4C214975"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74</w:t>
            </w:r>
          </w:p>
        </w:tc>
        <w:tc>
          <w:tcPr>
            <w:tcW w:w="141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340BE5EC"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5</w:t>
            </w:r>
          </w:p>
        </w:tc>
        <w:tc>
          <w:tcPr>
            <w:tcW w:w="26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47804F19"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20674D0C"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1</w:t>
            </w:r>
          </w:p>
        </w:tc>
      </w:tr>
      <w:tr w:rsidR="006C0B7C" w:rsidRPr="006C0B7C" w14:paraId="0C7B99CD" w14:textId="77777777" w:rsidTr="006C0B7C">
        <w:trPr>
          <w:trHeight w:val="230"/>
        </w:trPr>
        <w:tc>
          <w:tcPr>
            <w:tcW w:w="141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41309988"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85.7</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007ECA41"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30</w:t>
            </w:r>
          </w:p>
        </w:tc>
        <w:tc>
          <w:tcPr>
            <w:tcW w:w="141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1B21DCE8"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2</w:t>
            </w:r>
          </w:p>
        </w:tc>
        <w:tc>
          <w:tcPr>
            <w:tcW w:w="26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7D247A15"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7B6C801C"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3</w:t>
            </w:r>
          </w:p>
        </w:tc>
      </w:tr>
      <w:tr w:rsidR="006C0B7C" w:rsidRPr="006C0B7C" w14:paraId="2D23E403" w14:textId="77777777" w:rsidTr="006C0B7C">
        <w:trPr>
          <w:trHeight w:val="230"/>
        </w:trPr>
        <w:tc>
          <w:tcPr>
            <w:tcW w:w="141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7CC8090A"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29.5</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210FADFC"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867</w:t>
            </w:r>
          </w:p>
        </w:tc>
        <w:tc>
          <w:tcPr>
            <w:tcW w:w="141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71925F01"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35</w:t>
            </w:r>
          </w:p>
        </w:tc>
        <w:tc>
          <w:tcPr>
            <w:tcW w:w="26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1753ADFD"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16</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004689DF"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34</w:t>
            </w:r>
          </w:p>
        </w:tc>
      </w:tr>
      <w:tr w:rsidR="006C0B7C" w:rsidRPr="006C0B7C" w14:paraId="4D940145" w14:textId="77777777" w:rsidTr="006C0B7C">
        <w:trPr>
          <w:trHeight w:val="230"/>
        </w:trPr>
        <w:tc>
          <w:tcPr>
            <w:tcW w:w="141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54EF232D"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30</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752566A3"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1</w:t>
            </w:r>
          </w:p>
        </w:tc>
        <w:tc>
          <w:tcPr>
            <w:tcW w:w="141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36DF6DA2"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c>
          <w:tcPr>
            <w:tcW w:w="26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347DA16A"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52A636E0"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r>
      <w:tr w:rsidR="006C0B7C" w:rsidRPr="006C0B7C" w14:paraId="2DC00E3F" w14:textId="77777777" w:rsidTr="006C0B7C">
        <w:trPr>
          <w:trHeight w:val="230"/>
        </w:trPr>
        <w:tc>
          <w:tcPr>
            <w:tcW w:w="141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4201A25C"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34.5</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53BE8BA5"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c>
          <w:tcPr>
            <w:tcW w:w="141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50002C2E"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c>
          <w:tcPr>
            <w:tcW w:w="26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31ABC87D"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26372CD7"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22</w:t>
            </w:r>
          </w:p>
        </w:tc>
      </w:tr>
      <w:tr w:rsidR="006C0B7C" w:rsidRPr="006C0B7C" w14:paraId="31F6057F" w14:textId="77777777" w:rsidTr="006C0B7C">
        <w:trPr>
          <w:trHeight w:val="230"/>
        </w:trPr>
        <w:tc>
          <w:tcPr>
            <w:tcW w:w="141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3BEF4E12"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45.5</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6692D171"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c>
          <w:tcPr>
            <w:tcW w:w="141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2979D224"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c>
          <w:tcPr>
            <w:tcW w:w="26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417F6CBF"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w:t>
            </w:r>
          </w:p>
        </w:tc>
        <w:tc>
          <w:tcPr>
            <w:tcW w:w="170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507BA1AB"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color w:val="000000"/>
                <w:kern w:val="0"/>
                <w:sz w:val="20"/>
                <w:szCs w:val="20"/>
                <w:lang w:val="es-ES_tradnl"/>
                <w14:ligatures w14:val="none"/>
              </w:rPr>
              <w:t>1</w:t>
            </w:r>
          </w:p>
        </w:tc>
      </w:tr>
      <w:tr w:rsidR="006C0B7C" w:rsidRPr="006C0B7C" w14:paraId="0107A43D" w14:textId="77777777" w:rsidTr="006C0B7C">
        <w:trPr>
          <w:trHeight w:val="230"/>
        </w:trPr>
        <w:tc>
          <w:tcPr>
            <w:tcW w:w="1418" w:type="dxa"/>
            <w:tcBorders>
              <w:top w:val="nil"/>
              <w:left w:val="single" w:sz="8" w:space="0" w:color="000000"/>
              <w:bottom w:val="single" w:sz="8" w:space="0" w:color="000000"/>
              <w:right w:val="single" w:sz="8" w:space="0" w:color="000000"/>
            </w:tcBorders>
            <w:shd w:val="clear" w:color="auto" w:fill="D9D9D9"/>
            <w:tcMar>
              <w:top w:w="80" w:type="dxa"/>
              <w:left w:w="80" w:type="dxa"/>
              <w:bottom w:w="80" w:type="dxa"/>
              <w:right w:w="80" w:type="dxa"/>
            </w:tcMar>
            <w:hideMark/>
          </w:tcPr>
          <w:p w14:paraId="463DB3F3"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b/>
                <w:bCs/>
                <w:color w:val="000000"/>
                <w:kern w:val="0"/>
                <w:sz w:val="20"/>
                <w:szCs w:val="20"/>
                <w:lang w:val="es-ES_tradnl"/>
                <w14:ligatures w14:val="none"/>
              </w:rPr>
              <w:t>TOTAL</w:t>
            </w:r>
          </w:p>
        </w:tc>
        <w:tc>
          <w:tcPr>
            <w:tcW w:w="1701" w:type="dxa"/>
            <w:tcBorders>
              <w:top w:val="nil"/>
              <w:left w:val="nil"/>
              <w:bottom w:val="single" w:sz="8" w:space="0" w:color="000000"/>
              <w:right w:val="single" w:sz="8" w:space="0" w:color="000000"/>
            </w:tcBorders>
            <w:shd w:val="clear" w:color="auto" w:fill="D9D9D9"/>
            <w:tcMar>
              <w:top w:w="80" w:type="dxa"/>
              <w:left w:w="80" w:type="dxa"/>
              <w:bottom w:w="80" w:type="dxa"/>
              <w:right w:w="80" w:type="dxa"/>
            </w:tcMar>
            <w:hideMark/>
          </w:tcPr>
          <w:p w14:paraId="482D50D0"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b/>
                <w:bCs/>
                <w:color w:val="000000"/>
                <w:kern w:val="0"/>
                <w:sz w:val="20"/>
                <w:szCs w:val="20"/>
                <w:lang w:val="es-ES_tradnl"/>
                <w14:ligatures w14:val="none"/>
              </w:rPr>
              <w:t>1572</w:t>
            </w:r>
          </w:p>
        </w:tc>
        <w:tc>
          <w:tcPr>
            <w:tcW w:w="1417" w:type="dxa"/>
            <w:tcBorders>
              <w:top w:val="nil"/>
              <w:left w:val="nil"/>
              <w:bottom w:val="single" w:sz="8" w:space="0" w:color="000000"/>
              <w:right w:val="single" w:sz="8" w:space="0" w:color="000000"/>
            </w:tcBorders>
            <w:shd w:val="clear" w:color="auto" w:fill="D9D9D9"/>
            <w:tcMar>
              <w:top w:w="80" w:type="dxa"/>
              <w:left w:w="80" w:type="dxa"/>
              <w:bottom w:w="80" w:type="dxa"/>
              <w:right w:w="80" w:type="dxa"/>
            </w:tcMar>
            <w:hideMark/>
          </w:tcPr>
          <w:p w14:paraId="0D8205BF"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b/>
                <w:bCs/>
                <w:color w:val="000000"/>
                <w:kern w:val="0"/>
                <w:sz w:val="20"/>
                <w:szCs w:val="20"/>
                <w:lang w:val="es-ES_tradnl"/>
                <w14:ligatures w14:val="none"/>
              </w:rPr>
              <w:t>62</w:t>
            </w:r>
          </w:p>
        </w:tc>
        <w:tc>
          <w:tcPr>
            <w:tcW w:w="2693" w:type="dxa"/>
            <w:tcBorders>
              <w:top w:val="nil"/>
              <w:left w:val="nil"/>
              <w:bottom w:val="single" w:sz="8" w:space="0" w:color="000000"/>
              <w:right w:val="single" w:sz="8" w:space="0" w:color="000000"/>
            </w:tcBorders>
            <w:shd w:val="clear" w:color="auto" w:fill="D9D9D9"/>
            <w:tcMar>
              <w:top w:w="80" w:type="dxa"/>
              <w:left w:w="80" w:type="dxa"/>
              <w:bottom w:w="80" w:type="dxa"/>
              <w:right w:w="80" w:type="dxa"/>
            </w:tcMar>
            <w:hideMark/>
          </w:tcPr>
          <w:p w14:paraId="50231D1E"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b/>
                <w:bCs/>
                <w:color w:val="000000"/>
                <w:kern w:val="0"/>
                <w:sz w:val="20"/>
                <w:szCs w:val="20"/>
                <w:lang w:val="es-ES_tradnl"/>
                <w14:ligatures w14:val="none"/>
              </w:rPr>
              <w:t>19</w:t>
            </w:r>
          </w:p>
        </w:tc>
        <w:tc>
          <w:tcPr>
            <w:tcW w:w="1701" w:type="dxa"/>
            <w:tcBorders>
              <w:top w:val="nil"/>
              <w:left w:val="nil"/>
              <w:bottom w:val="single" w:sz="8" w:space="0" w:color="000000"/>
              <w:right w:val="single" w:sz="8" w:space="0" w:color="000000"/>
            </w:tcBorders>
            <w:shd w:val="clear" w:color="auto" w:fill="D9D9D9"/>
            <w:tcMar>
              <w:top w:w="80" w:type="dxa"/>
              <w:left w:w="80" w:type="dxa"/>
              <w:bottom w:w="80" w:type="dxa"/>
              <w:right w:w="80" w:type="dxa"/>
            </w:tcMar>
            <w:hideMark/>
          </w:tcPr>
          <w:p w14:paraId="6E20F298" w14:textId="77777777" w:rsidR="006C0B7C" w:rsidRPr="006C0B7C" w:rsidRDefault="006C0B7C" w:rsidP="006C0B7C">
            <w:pPr>
              <w:jc w:val="center"/>
              <w:rPr>
                <w:rFonts w:ascii="Helvetica Neue" w:eastAsia="Times New Roman" w:hAnsi="Helvetica Neue" w:cs="Arial"/>
                <w:color w:val="000000"/>
                <w:kern w:val="0"/>
                <w:sz w:val="22"/>
                <w:szCs w:val="22"/>
                <w14:ligatures w14:val="none"/>
              </w:rPr>
            </w:pPr>
            <w:r w:rsidRPr="006C0B7C">
              <w:rPr>
                <w:rFonts w:ascii="Helvetica Neue" w:eastAsia="Times New Roman" w:hAnsi="Helvetica Neue" w:cs="Arial"/>
                <w:b/>
                <w:bCs/>
                <w:color w:val="000000"/>
                <w:kern w:val="0"/>
                <w:sz w:val="20"/>
                <w:szCs w:val="20"/>
                <w:lang w:val="es-ES_tradnl"/>
                <w14:ligatures w14:val="none"/>
              </w:rPr>
              <w:t>62</w:t>
            </w:r>
          </w:p>
        </w:tc>
      </w:tr>
    </w:tbl>
    <w:p w14:paraId="1D3464BF" w14:textId="77777777" w:rsidR="006C0B7C" w:rsidRPr="006C0B7C" w:rsidRDefault="006C0B7C" w:rsidP="006C0B7C">
      <w:pPr>
        <w:shd w:val="clear" w:color="auto" w:fill="FFFFFF"/>
        <w:jc w:val="center"/>
        <w:rPr>
          <w:rFonts w:ascii="Helvetica Neue" w:eastAsia="Times New Roman" w:hAnsi="Helvetica Neue" w:cs="Times New Roman"/>
          <w:color w:val="000000"/>
          <w:kern w:val="0"/>
          <w:sz w:val="22"/>
          <w:szCs w:val="22"/>
          <w14:ligatures w14:val="none"/>
        </w:rPr>
      </w:pPr>
    </w:p>
    <w:p w14:paraId="7E09A9C8" w14:textId="77777777" w:rsidR="006C0B7C" w:rsidRPr="006C0B7C" w:rsidRDefault="006C0B7C" w:rsidP="006C0B7C">
      <w:pPr>
        <w:shd w:val="clear" w:color="auto" w:fill="FFFFFF"/>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14:ligatures w14:val="none"/>
        </w:rPr>
        <w:t>Cuadro 2. Distribución y tipo de plazas en la nómina de la UACM</w:t>
      </w:r>
    </w:p>
    <w:p w14:paraId="53C3646A" w14:textId="77777777" w:rsidR="006C0B7C" w:rsidRPr="006C0B7C" w:rsidRDefault="006C0B7C" w:rsidP="006C0B7C">
      <w:pPr>
        <w:shd w:val="clear" w:color="auto" w:fill="FFFFFF"/>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 </w:t>
      </w:r>
    </w:p>
    <w:p w14:paraId="09F01765"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 xml:space="preserve">Como sucede en la mayoría de las instituciones educativas, la mayor parte de nuestro presupuesto se destina a la nómina. Si consideramos el incremento salarial propuesto por la administración (3.4% directo al salario), el costo anual de esta nómina (sin considerar vacantes) </w:t>
      </w:r>
      <w:proofErr w:type="spellStart"/>
      <w:r w:rsidRPr="006C0B7C">
        <w:rPr>
          <w:rFonts w:ascii="Helvetica Neue" w:eastAsia="Times New Roman" w:hAnsi="Helvetica Neue" w:cs="Times New Roman"/>
          <w:color w:val="000000"/>
          <w:kern w:val="0"/>
          <w:sz w:val="22"/>
          <w:szCs w:val="22"/>
          <w:lang w:val="es-ES_tradnl"/>
          <w14:ligatures w14:val="none"/>
        </w:rPr>
        <w:t>serí</w:t>
      </w:r>
      <w:proofErr w:type="spellEnd"/>
      <w:r w:rsidRPr="006C0B7C">
        <w:rPr>
          <w:rFonts w:ascii="Helvetica Neue" w:eastAsia="Times New Roman" w:hAnsi="Helvetica Neue" w:cs="Times New Roman"/>
          <w:color w:val="000000"/>
          <w:kern w:val="0"/>
          <w:sz w:val="22"/>
          <w:szCs w:val="22"/>
          <w:lang w:val="es-ES"/>
          <w14:ligatures w14:val="none"/>
        </w:rPr>
        <w:t>a de $1,254,884,849.48. Eso representa</w:t>
      </w:r>
      <w:r w:rsidRPr="006C0B7C">
        <w:rPr>
          <w:rFonts w:ascii="Helvetica Neue" w:eastAsia="Times New Roman" w:hAnsi="Helvetica Neue" w:cs="Times New Roman"/>
          <w:color w:val="000000"/>
          <w:kern w:val="0"/>
          <w:sz w:val="22"/>
          <w:szCs w:val="22"/>
          <w:lang w:val="es-ES_tradnl"/>
          <w14:ligatures w14:val="none"/>
        </w:rPr>
        <w:t>ría el 93,51% del presupuesto total asignado a la UACM en este año.</w:t>
      </w:r>
    </w:p>
    <w:p w14:paraId="5ABE2BD9"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 </w:t>
      </w:r>
    </w:p>
    <w:p w14:paraId="4CA4F97A"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Además del presupuesto anual recibido de parte de la Ciudad de M</w:t>
      </w:r>
      <w:r w:rsidRPr="006C0B7C">
        <w:rPr>
          <w:rFonts w:ascii="Helvetica Neue" w:eastAsia="Times New Roman" w:hAnsi="Helvetica Neue" w:cs="Times New Roman"/>
          <w:color w:val="000000"/>
          <w:kern w:val="0"/>
          <w:sz w:val="22"/>
          <w:szCs w:val="22"/>
          <w:lang w:val="fr-FR"/>
          <w14:ligatures w14:val="none"/>
        </w:rPr>
        <w:t>é</w:t>
      </w:r>
      <w:proofErr w:type="spellStart"/>
      <w:r w:rsidRPr="006C0B7C">
        <w:rPr>
          <w:rFonts w:ascii="Helvetica Neue" w:eastAsia="Times New Roman" w:hAnsi="Helvetica Neue" w:cs="Times New Roman"/>
          <w:color w:val="000000"/>
          <w:kern w:val="0"/>
          <w:sz w:val="22"/>
          <w:szCs w:val="22"/>
          <w:lang w:val="es-ES_tradnl"/>
          <w14:ligatures w14:val="none"/>
        </w:rPr>
        <w:t>xico</w:t>
      </w:r>
      <w:proofErr w:type="spellEnd"/>
      <w:r w:rsidRPr="006C0B7C">
        <w:rPr>
          <w:rFonts w:ascii="Helvetica Neue" w:eastAsia="Times New Roman" w:hAnsi="Helvetica Neue" w:cs="Times New Roman"/>
          <w:color w:val="000000"/>
          <w:kern w:val="0"/>
          <w:sz w:val="22"/>
          <w:szCs w:val="22"/>
          <w:lang w:val="es-ES_tradnl"/>
          <w14:ligatures w14:val="none"/>
        </w:rPr>
        <w:t xml:space="preserve"> (CDMX) y de la Federación, la Universidad cuenta con una modesta fuente de recursos propios. Fundamentalmente se trata de los intereses generados en las distintas cuentas bancarias de la UACM. Por acuerdo del Tercer Consejo Universitario, esos recursos son destinados de manera íntegra al Fondo de Becas para las y los estudiantes de la Universidad. Esta administración está convencida de que </w:t>
      </w:r>
      <w:r w:rsidRPr="006C0B7C">
        <w:rPr>
          <w:rFonts w:ascii="Helvetica Neue" w:eastAsia="Times New Roman" w:hAnsi="Helvetica Neue" w:cs="Times New Roman"/>
          <w:color w:val="000000"/>
          <w:kern w:val="0"/>
          <w:sz w:val="22"/>
          <w:szCs w:val="22"/>
          <w:lang w:val="fr-FR"/>
          <w14:ligatures w14:val="none"/>
        </w:rPr>
        <w:t>é</w:t>
      </w:r>
      <w:proofErr w:type="spellStart"/>
      <w:r w:rsidRPr="006C0B7C">
        <w:rPr>
          <w:rFonts w:ascii="Helvetica Neue" w:eastAsia="Times New Roman" w:hAnsi="Helvetica Neue" w:cs="Times New Roman"/>
          <w:color w:val="000000"/>
          <w:kern w:val="0"/>
          <w:sz w:val="22"/>
          <w:szCs w:val="22"/>
          <w:lang w:val="es-ES_tradnl"/>
          <w14:ligatures w14:val="none"/>
        </w:rPr>
        <w:t>sta</w:t>
      </w:r>
      <w:proofErr w:type="spellEnd"/>
      <w:r w:rsidRPr="006C0B7C">
        <w:rPr>
          <w:rFonts w:ascii="Helvetica Neue" w:eastAsia="Times New Roman" w:hAnsi="Helvetica Neue" w:cs="Times New Roman"/>
          <w:color w:val="000000"/>
          <w:kern w:val="0"/>
          <w:sz w:val="22"/>
          <w:szCs w:val="22"/>
          <w:lang w:val="es-ES_tradnl"/>
          <w14:ligatures w14:val="none"/>
        </w:rPr>
        <w:t xml:space="preserve"> es una decisión y orientación financiera por demás justa y pertinente. Por tanto, queremos advertir con toda claridad que no aceptaremos, </w:t>
      </w:r>
      <w:proofErr w:type="gramStart"/>
      <w:r w:rsidRPr="006C0B7C">
        <w:rPr>
          <w:rFonts w:ascii="Helvetica Neue" w:eastAsia="Times New Roman" w:hAnsi="Helvetica Neue" w:cs="Times New Roman"/>
          <w:color w:val="000000"/>
          <w:kern w:val="0"/>
          <w:sz w:val="22"/>
          <w:szCs w:val="22"/>
          <w:lang w:val="es-ES_tradnl"/>
          <w14:ligatures w14:val="none"/>
        </w:rPr>
        <w:t>bajo ninguna circunstancia</w:t>
      </w:r>
      <w:proofErr w:type="gramEnd"/>
      <w:r w:rsidRPr="006C0B7C">
        <w:rPr>
          <w:rFonts w:ascii="Helvetica Neue" w:eastAsia="Times New Roman" w:hAnsi="Helvetica Neue" w:cs="Times New Roman"/>
          <w:color w:val="000000"/>
          <w:kern w:val="0"/>
          <w:sz w:val="22"/>
          <w:szCs w:val="22"/>
          <w:lang w:val="es-ES_tradnl"/>
          <w14:ligatures w14:val="none"/>
        </w:rPr>
        <w:t>, que dichos recursos sean destinados para cualquier objetivo que no sea el Fondo de Becas que requiere también de estabilidad financiera para sostenerse en el tiempo.</w:t>
      </w:r>
    </w:p>
    <w:p w14:paraId="70038865"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 </w:t>
      </w:r>
    </w:p>
    <w:p w14:paraId="52948B0B"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 xml:space="preserve">Como es de conocimiento público, la Universidad cuenta </w:t>
      </w:r>
      <w:proofErr w:type="spellStart"/>
      <w:r w:rsidRPr="006C0B7C">
        <w:rPr>
          <w:rFonts w:ascii="Helvetica Neue" w:eastAsia="Times New Roman" w:hAnsi="Helvetica Neue" w:cs="Times New Roman"/>
          <w:color w:val="000000"/>
          <w:kern w:val="0"/>
          <w:sz w:val="22"/>
          <w:szCs w:val="22"/>
          <w:lang w:val="es-ES_tradnl"/>
          <w14:ligatures w14:val="none"/>
        </w:rPr>
        <w:t>tambi</w:t>
      </w:r>
      <w:proofErr w:type="spellEnd"/>
      <w:r w:rsidRPr="006C0B7C">
        <w:rPr>
          <w:rFonts w:ascii="Helvetica Neue" w:eastAsia="Times New Roman" w:hAnsi="Helvetica Neue" w:cs="Times New Roman"/>
          <w:color w:val="000000"/>
          <w:kern w:val="0"/>
          <w:sz w:val="22"/>
          <w:szCs w:val="22"/>
          <w:lang w:val="fr-FR"/>
          <w14:ligatures w14:val="none"/>
        </w:rPr>
        <w:t>é</w:t>
      </w:r>
      <w:r w:rsidRPr="006C0B7C">
        <w:rPr>
          <w:rFonts w:ascii="Helvetica Neue" w:eastAsia="Times New Roman" w:hAnsi="Helvetica Neue" w:cs="Times New Roman"/>
          <w:color w:val="000000"/>
          <w:kern w:val="0"/>
          <w:sz w:val="22"/>
          <w:szCs w:val="22"/>
          <w:lang w:val="es-ES_tradnl"/>
          <w14:ligatures w14:val="none"/>
        </w:rPr>
        <w:t>n con remanentes de años previos. Son recursos que estaban contemplados principalmente para infraestructura, equipamiento y desarrollo de tareas sustantivas de la Universidad, pero que anteriores administraciones no aplicaron o no concluyeron durante sus ejercicios. Al cierre de 2019, el monto acumulado por este rubro alcanzaba un monto cercano a los 220 millones de pesos</w:t>
      </w:r>
    </w:p>
    <w:p w14:paraId="27A704AE"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 </w:t>
      </w:r>
    </w:p>
    <w:p w14:paraId="4D6B5F53"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La presencia de dichos remanentes ha sido objeto de múltiples observaciones por parte de la Auditoría Superior de la Federación, mismas que esta administración ha comenzado a atender de manera puntual. En este punto, resulta fundamental señalar que el Despacho de Tesorería de la Universidad ha iniciado un proceso de análisis y depuración de los distintos fondos que albergan estos recursos. De esta forma pronto podremos tener un panorama muy claro y detallado a partir del cual podremos proponer acciones que permitan atender las necesidades históricas que en términos de infraestructura tiene nuestra comunidad.</w:t>
      </w:r>
    </w:p>
    <w:p w14:paraId="2B34E45F"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 </w:t>
      </w:r>
    </w:p>
    <w:p w14:paraId="2729D599"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 xml:space="preserve">Según consta en los reportes a Cuenta </w:t>
      </w:r>
      <w:proofErr w:type="spellStart"/>
      <w:r w:rsidRPr="006C0B7C">
        <w:rPr>
          <w:rFonts w:ascii="Helvetica Neue" w:eastAsia="Times New Roman" w:hAnsi="Helvetica Neue" w:cs="Times New Roman"/>
          <w:color w:val="000000"/>
          <w:kern w:val="0"/>
          <w:sz w:val="22"/>
          <w:szCs w:val="22"/>
          <w:lang w:val="es-ES_tradnl"/>
          <w14:ligatures w14:val="none"/>
        </w:rPr>
        <w:t>Pú</w:t>
      </w:r>
      <w:r w:rsidRPr="006C0B7C">
        <w:rPr>
          <w:rFonts w:ascii="Helvetica Neue" w:eastAsia="Times New Roman" w:hAnsi="Helvetica Neue" w:cs="Times New Roman"/>
          <w:color w:val="000000"/>
          <w:kern w:val="0"/>
          <w:sz w:val="22"/>
          <w:szCs w:val="22"/>
          <w:lang w:val="it-IT"/>
          <w14:ligatures w14:val="none"/>
        </w:rPr>
        <w:t>blica</w:t>
      </w:r>
      <w:proofErr w:type="spellEnd"/>
      <w:r w:rsidRPr="006C0B7C">
        <w:rPr>
          <w:rFonts w:ascii="Helvetica Neue" w:eastAsia="Times New Roman" w:hAnsi="Helvetica Neue" w:cs="Times New Roman"/>
          <w:color w:val="000000"/>
          <w:kern w:val="0"/>
          <w:sz w:val="22"/>
          <w:szCs w:val="22"/>
          <w:lang w:val="it-IT"/>
          <w14:ligatures w14:val="none"/>
        </w:rPr>
        <w:t>, una parte de </w:t>
      </w:r>
      <w:r w:rsidRPr="006C0B7C">
        <w:rPr>
          <w:rFonts w:ascii="Helvetica Neue" w:eastAsia="Times New Roman" w:hAnsi="Helvetica Neue" w:cs="Times New Roman"/>
          <w:color w:val="000000"/>
          <w:kern w:val="0"/>
          <w:sz w:val="22"/>
          <w:szCs w:val="22"/>
          <w:lang w:val="es-ES_tradnl"/>
          <w14:ligatures w14:val="none"/>
        </w:rPr>
        <w:t xml:space="preserve">estos recursos han sido utilizada para cubrir la operación básica de las áreas. Esta situación, además de evidenciar la precaria salud de nuestras finanzas, nos coloca en una condición de absoluta incertidumbre y riesgo, pues en la medida en que dichos recursos son únicos y finitos, no podemos planear una continuidad a partir de ellos. Por lo anterior, y actuando con responsabilidad, esta </w:t>
      </w:r>
      <w:r w:rsidRPr="006C0B7C">
        <w:rPr>
          <w:rFonts w:ascii="Helvetica Neue" w:eastAsia="Times New Roman" w:hAnsi="Helvetica Neue" w:cs="Times New Roman"/>
          <w:color w:val="000000"/>
          <w:kern w:val="0"/>
          <w:sz w:val="22"/>
          <w:szCs w:val="22"/>
          <w:lang w:val="es-ES_tradnl"/>
          <w14:ligatures w14:val="none"/>
        </w:rPr>
        <w:lastRenderedPageBreak/>
        <w:t xml:space="preserve">administración no está dispuesta a convertir dichos recursos en gasto corriente ni mucho menos comprometerlos para cubrir gastos de largo plazo. Hemos de hacer una planeación financiera basada en los recursos ordinarios con los que podamos contar </w:t>
      </w:r>
      <w:proofErr w:type="spellStart"/>
      <w:r w:rsidRPr="006C0B7C">
        <w:rPr>
          <w:rFonts w:ascii="Helvetica Neue" w:eastAsia="Times New Roman" w:hAnsi="Helvetica Neue" w:cs="Times New Roman"/>
          <w:color w:val="000000"/>
          <w:kern w:val="0"/>
          <w:sz w:val="22"/>
          <w:szCs w:val="22"/>
          <w:lang w:val="es-ES_tradnl"/>
          <w14:ligatures w14:val="none"/>
        </w:rPr>
        <w:t>añ</w:t>
      </w:r>
      <w:proofErr w:type="spellEnd"/>
      <w:r w:rsidRPr="006C0B7C">
        <w:rPr>
          <w:rFonts w:ascii="Helvetica Neue" w:eastAsia="Times New Roman" w:hAnsi="Helvetica Neue" w:cs="Times New Roman"/>
          <w:color w:val="000000"/>
          <w:kern w:val="0"/>
          <w:sz w:val="22"/>
          <w:szCs w:val="22"/>
          <w:lang w:val="it-IT"/>
          <w14:ligatures w14:val="none"/>
        </w:rPr>
        <w:t>o con a</w:t>
      </w:r>
      <w:proofErr w:type="spellStart"/>
      <w:r w:rsidRPr="006C0B7C">
        <w:rPr>
          <w:rFonts w:ascii="Helvetica Neue" w:eastAsia="Times New Roman" w:hAnsi="Helvetica Neue" w:cs="Times New Roman"/>
          <w:color w:val="000000"/>
          <w:kern w:val="0"/>
          <w:sz w:val="22"/>
          <w:szCs w:val="22"/>
          <w:lang w:val="es-ES_tradnl"/>
          <w14:ligatures w14:val="none"/>
        </w:rPr>
        <w:t>ño</w:t>
      </w:r>
      <w:proofErr w:type="spellEnd"/>
      <w:r w:rsidRPr="006C0B7C">
        <w:rPr>
          <w:rFonts w:ascii="Helvetica Neue" w:eastAsia="Times New Roman" w:hAnsi="Helvetica Neue" w:cs="Times New Roman"/>
          <w:color w:val="000000"/>
          <w:kern w:val="0"/>
          <w:sz w:val="22"/>
          <w:szCs w:val="22"/>
          <w:lang w:val="es-ES_tradnl"/>
          <w14:ligatures w14:val="none"/>
        </w:rPr>
        <w:t>. Cualquier otra decisión resultaría profundamente irresponsable.</w:t>
      </w:r>
    </w:p>
    <w:p w14:paraId="0AF41432"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 </w:t>
      </w:r>
    </w:p>
    <w:p w14:paraId="50B76BD3"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Transparentar el uso de los recursos públicos es uno de los compromisos y valores que sostienen esta R</w:t>
      </w:r>
      <w:proofErr w:type="spellStart"/>
      <w:r w:rsidRPr="006C0B7C">
        <w:rPr>
          <w:rFonts w:ascii="Helvetica Neue" w:eastAsia="Times New Roman" w:hAnsi="Helvetica Neue" w:cs="Times New Roman"/>
          <w:color w:val="000000"/>
          <w:kern w:val="0"/>
          <w:sz w:val="22"/>
          <w:szCs w:val="22"/>
          <w:lang w:val="fr-FR"/>
          <w14:ligatures w14:val="none"/>
        </w:rPr>
        <w:t>ector</w:t>
      </w:r>
      <w:r w:rsidRPr="006C0B7C">
        <w:rPr>
          <w:rFonts w:ascii="Helvetica Neue" w:eastAsia="Times New Roman" w:hAnsi="Helvetica Neue" w:cs="Times New Roman"/>
          <w:color w:val="000000"/>
          <w:kern w:val="0"/>
          <w:sz w:val="22"/>
          <w:szCs w:val="22"/>
          <w:lang w:val="es-ES_tradnl"/>
          <w14:ligatures w14:val="none"/>
        </w:rPr>
        <w:t>ía</w:t>
      </w:r>
      <w:proofErr w:type="spellEnd"/>
      <w:r w:rsidRPr="006C0B7C">
        <w:rPr>
          <w:rFonts w:ascii="Helvetica Neue" w:eastAsia="Times New Roman" w:hAnsi="Helvetica Neue" w:cs="Times New Roman"/>
          <w:color w:val="000000"/>
          <w:kern w:val="0"/>
          <w:sz w:val="22"/>
          <w:szCs w:val="22"/>
          <w:lang w:val="es-ES_tradnl"/>
          <w14:ligatures w14:val="none"/>
        </w:rPr>
        <w:t>. Seguiremos trabajando en el análisis detallado las finanzas y los recursos de la Universidad y mantendremos informada a la comunidad universitaria.</w:t>
      </w:r>
    </w:p>
    <w:p w14:paraId="27B05732"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 </w:t>
      </w:r>
    </w:p>
    <w:p w14:paraId="330DCEF7" w14:textId="77777777" w:rsidR="006C0B7C" w:rsidRPr="006C0B7C" w:rsidRDefault="006C0B7C" w:rsidP="006C0B7C">
      <w:pPr>
        <w:shd w:val="clear" w:color="auto" w:fill="FFFFFF"/>
        <w:jc w:val="both"/>
        <w:rPr>
          <w:rFonts w:ascii="Helvetica Neue" w:eastAsia="Times New Roman" w:hAnsi="Helvetica Neue" w:cs="Times New Roman"/>
          <w:color w:val="000000"/>
          <w:kern w:val="0"/>
          <w:sz w:val="22"/>
          <w:szCs w:val="22"/>
          <w14:ligatures w14:val="none"/>
        </w:rPr>
      </w:pPr>
      <w:r w:rsidRPr="006C0B7C">
        <w:rPr>
          <w:rFonts w:ascii="Helvetica Neue" w:eastAsia="Times New Roman" w:hAnsi="Helvetica Neue" w:cs="Times New Roman"/>
          <w:color w:val="000000"/>
          <w:kern w:val="0"/>
          <w:sz w:val="22"/>
          <w:szCs w:val="22"/>
          <w:lang w:val="es-ES_tradnl"/>
          <w14:ligatures w14:val="none"/>
        </w:rPr>
        <w:t>Hacemos un llamado a que, hoy más que nunca dado el complejo panorama económico del país y la ciudad, asumamos colectivamente y con absoluta responsabilidad el cuidado de la estabilidad financiera de nuestra querida Universidad.</w:t>
      </w:r>
    </w:p>
    <w:p w14:paraId="33C99D3E" w14:textId="77777777" w:rsidR="006C0B7C" w:rsidRPr="006C0B7C" w:rsidRDefault="006C0B7C" w:rsidP="006C0B7C">
      <w:pPr>
        <w:shd w:val="clear" w:color="auto" w:fill="FFFFFF"/>
        <w:jc w:val="center"/>
        <w:rPr>
          <w:rFonts w:ascii="Times New Roman" w:eastAsia="Times New Roman" w:hAnsi="Times New Roman" w:cs="Times New Roman"/>
          <w:color w:val="222222"/>
          <w:kern w:val="0"/>
          <w14:ligatures w14:val="none"/>
        </w:rPr>
      </w:pPr>
      <w:r w:rsidRPr="006C0B7C">
        <w:rPr>
          <w:rFonts w:ascii="Arial" w:eastAsia="Times New Roman" w:hAnsi="Arial" w:cs="Arial"/>
          <w:b/>
          <w:bCs/>
          <w:color w:val="000000"/>
          <w:kern w:val="0"/>
          <w:sz w:val="32"/>
          <w:szCs w:val="32"/>
          <w14:ligatures w14:val="none"/>
        </w:rPr>
        <w:t> </w:t>
      </w:r>
    </w:p>
    <w:p w14:paraId="58A22040" w14:textId="77777777" w:rsidR="006C0B7C" w:rsidRPr="006C0B7C" w:rsidRDefault="006C0B7C" w:rsidP="006C0B7C">
      <w:pPr>
        <w:shd w:val="clear" w:color="auto" w:fill="FFFFFF"/>
        <w:jc w:val="center"/>
        <w:rPr>
          <w:rFonts w:ascii="Times New Roman" w:eastAsia="Times New Roman" w:hAnsi="Times New Roman" w:cs="Times New Roman"/>
          <w:color w:val="222222"/>
          <w:kern w:val="0"/>
          <w14:ligatures w14:val="none"/>
        </w:rPr>
      </w:pPr>
      <w:r w:rsidRPr="006C0B7C">
        <w:rPr>
          <w:rFonts w:ascii="Arial" w:eastAsia="Times New Roman" w:hAnsi="Arial" w:cs="Arial"/>
          <w:color w:val="000000"/>
          <w:kern w:val="0"/>
          <w:sz w:val="22"/>
          <w:szCs w:val="22"/>
          <w14:ligatures w14:val="none"/>
        </w:rPr>
        <w:t> </w:t>
      </w:r>
    </w:p>
    <w:p w14:paraId="5EBC1116" w14:textId="77777777" w:rsidR="006C0B7C" w:rsidRPr="006C0B7C" w:rsidRDefault="006C0B7C" w:rsidP="006C0B7C">
      <w:pPr>
        <w:shd w:val="clear" w:color="auto" w:fill="FFFFFF"/>
        <w:spacing w:line="330" w:lineRule="atLeast"/>
        <w:jc w:val="center"/>
        <w:rPr>
          <w:rFonts w:ascii="Helvetica Neue" w:eastAsia="Times New Roman" w:hAnsi="Helvetica Neue" w:cs="Times New Roman"/>
          <w:color w:val="000000"/>
          <w:kern w:val="0"/>
          <w:sz w:val="22"/>
          <w:szCs w:val="22"/>
          <w14:ligatures w14:val="none"/>
        </w:rPr>
      </w:pPr>
      <w:r w:rsidRPr="006C0B7C">
        <w:rPr>
          <w:rFonts w:ascii="Arial" w:eastAsia="Times New Roman" w:hAnsi="Arial" w:cs="Arial"/>
          <w:i/>
          <w:iCs/>
          <w:color w:val="000000"/>
          <w:kern w:val="0"/>
          <w:sz w:val="22"/>
          <w:szCs w:val="22"/>
          <w:lang w:val="es-ES_tradnl"/>
          <w14:ligatures w14:val="none"/>
        </w:rPr>
        <w:t>Nada humano me es ajeno.</w:t>
      </w:r>
    </w:p>
    <w:p w14:paraId="6FE87106" w14:textId="77777777" w:rsidR="006C0B7C" w:rsidRPr="006C0B7C" w:rsidRDefault="006C0B7C" w:rsidP="006C0B7C">
      <w:pPr>
        <w:shd w:val="clear" w:color="auto" w:fill="FFFFFF"/>
        <w:spacing w:line="330" w:lineRule="atLeast"/>
        <w:jc w:val="center"/>
        <w:rPr>
          <w:rFonts w:ascii="Helvetica Neue" w:eastAsia="Times New Roman" w:hAnsi="Helvetica Neue" w:cs="Times New Roman"/>
          <w:color w:val="000000"/>
          <w:kern w:val="0"/>
          <w:sz w:val="22"/>
          <w:szCs w:val="22"/>
          <w14:ligatures w14:val="none"/>
        </w:rPr>
      </w:pPr>
      <w:r w:rsidRPr="006C0B7C">
        <w:rPr>
          <w:rFonts w:ascii="Arial" w:eastAsia="Times New Roman" w:hAnsi="Arial" w:cs="Arial"/>
          <w:b/>
          <w:bCs/>
          <w:color w:val="000000"/>
          <w:kern w:val="0"/>
          <w:sz w:val="22"/>
          <w:szCs w:val="22"/>
          <w:lang w:val="es-ES_tradnl"/>
          <w14:ligatures w14:val="none"/>
        </w:rPr>
        <w:t>Dra. Tania Rodríguez Mora.</w:t>
      </w:r>
    </w:p>
    <w:p w14:paraId="4344F2EF" w14:textId="77777777" w:rsidR="006C0B7C" w:rsidRPr="006C0B7C" w:rsidRDefault="006C0B7C" w:rsidP="006C0B7C">
      <w:pPr>
        <w:shd w:val="clear" w:color="auto" w:fill="FFFFFF"/>
        <w:spacing w:line="330" w:lineRule="atLeast"/>
        <w:jc w:val="center"/>
        <w:rPr>
          <w:rFonts w:ascii="Helvetica Neue" w:eastAsia="Times New Roman" w:hAnsi="Helvetica Neue" w:cs="Times New Roman"/>
          <w:color w:val="000000"/>
          <w:kern w:val="0"/>
          <w:sz w:val="22"/>
          <w:szCs w:val="22"/>
          <w14:ligatures w14:val="none"/>
        </w:rPr>
      </w:pPr>
      <w:r w:rsidRPr="006C0B7C">
        <w:rPr>
          <w:rFonts w:ascii="Arial" w:eastAsia="Times New Roman" w:hAnsi="Arial" w:cs="Arial"/>
          <w:b/>
          <w:bCs/>
          <w:color w:val="000000"/>
          <w:kern w:val="0"/>
          <w:sz w:val="22"/>
          <w:szCs w:val="22"/>
          <w:lang w:val="es-ES_tradnl"/>
          <w14:ligatures w14:val="none"/>
        </w:rPr>
        <w:t>Rectora de la UACM.</w:t>
      </w:r>
    </w:p>
    <w:p w14:paraId="5BFA843D" w14:textId="77777777" w:rsidR="0028360A" w:rsidRDefault="0028360A"/>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7C"/>
    <w:rsid w:val="001353E5"/>
    <w:rsid w:val="0028360A"/>
    <w:rsid w:val="004D6BDE"/>
    <w:rsid w:val="006C0B7C"/>
    <w:rsid w:val="00D365AA"/>
    <w:rsid w:val="00E82E9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DD1F416"/>
  <w15:chartTrackingRefBased/>
  <w15:docId w15:val="{F7BBABCF-BCA0-F747-B4E9-EA3DC77A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B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B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B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B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B7C"/>
    <w:rPr>
      <w:rFonts w:eastAsiaTheme="majorEastAsia" w:cstheme="majorBidi"/>
      <w:color w:val="272727" w:themeColor="text1" w:themeTint="D8"/>
    </w:rPr>
  </w:style>
  <w:style w:type="paragraph" w:styleId="Title">
    <w:name w:val="Title"/>
    <w:basedOn w:val="Normal"/>
    <w:next w:val="Normal"/>
    <w:link w:val="TitleChar"/>
    <w:uiPriority w:val="10"/>
    <w:qFormat/>
    <w:rsid w:val="006C0B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B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B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0B7C"/>
    <w:rPr>
      <w:i/>
      <w:iCs/>
      <w:color w:val="404040" w:themeColor="text1" w:themeTint="BF"/>
    </w:rPr>
  </w:style>
  <w:style w:type="paragraph" w:styleId="ListParagraph">
    <w:name w:val="List Paragraph"/>
    <w:basedOn w:val="Normal"/>
    <w:uiPriority w:val="34"/>
    <w:qFormat/>
    <w:rsid w:val="006C0B7C"/>
    <w:pPr>
      <w:ind w:left="720"/>
      <w:contextualSpacing/>
    </w:pPr>
  </w:style>
  <w:style w:type="character" w:styleId="IntenseEmphasis">
    <w:name w:val="Intense Emphasis"/>
    <w:basedOn w:val="DefaultParagraphFont"/>
    <w:uiPriority w:val="21"/>
    <w:qFormat/>
    <w:rsid w:val="006C0B7C"/>
    <w:rPr>
      <w:i/>
      <w:iCs/>
      <w:color w:val="0F4761" w:themeColor="accent1" w:themeShade="BF"/>
    </w:rPr>
  </w:style>
  <w:style w:type="paragraph" w:styleId="IntenseQuote">
    <w:name w:val="Intense Quote"/>
    <w:basedOn w:val="Normal"/>
    <w:next w:val="Normal"/>
    <w:link w:val="IntenseQuoteChar"/>
    <w:uiPriority w:val="30"/>
    <w:qFormat/>
    <w:rsid w:val="006C0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B7C"/>
    <w:rPr>
      <w:i/>
      <w:iCs/>
      <w:color w:val="0F4761" w:themeColor="accent1" w:themeShade="BF"/>
    </w:rPr>
  </w:style>
  <w:style w:type="character" w:styleId="IntenseReference">
    <w:name w:val="Intense Reference"/>
    <w:basedOn w:val="DefaultParagraphFont"/>
    <w:uiPriority w:val="32"/>
    <w:qFormat/>
    <w:rsid w:val="006C0B7C"/>
    <w:rPr>
      <w:b/>
      <w:bCs/>
      <w:smallCaps/>
      <w:color w:val="0F4761" w:themeColor="accent1" w:themeShade="BF"/>
      <w:spacing w:val="5"/>
    </w:rPr>
  </w:style>
  <w:style w:type="paragraph" w:styleId="NormalWeb">
    <w:name w:val="Normal (Web)"/>
    <w:basedOn w:val="Normal"/>
    <w:uiPriority w:val="99"/>
    <w:semiHidden/>
    <w:unhideWhenUsed/>
    <w:rsid w:val="006C0B7C"/>
    <w:pPr>
      <w:spacing w:before="100" w:beforeAutospacing="1" w:after="100" w:afterAutospacing="1"/>
    </w:pPr>
    <w:rPr>
      <w:rFonts w:ascii="Times New Roman" w:eastAsia="Times New Roman" w:hAnsi="Times New Roman" w:cs="Times New Roman"/>
      <w:kern w:val="0"/>
      <w14:ligatures w14:val="none"/>
    </w:rPr>
  </w:style>
  <w:style w:type="character" w:customStyle="1" w:styleId="il">
    <w:name w:val="il"/>
    <w:basedOn w:val="DefaultParagraphFont"/>
    <w:rsid w:val="006C0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2024-04-24T18:08:00Z</dcterms:created>
  <dcterms:modified xsi:type="dcterms:W3CDTF">2024-04-24T18:09:00Z</dcterms:modified>
</cp:coreProperties>
</file>