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A4A4" w14:textId="77777777" w:rsidR="00C159F5" w:rsidRPr="00C159F5" w:rsidRDefault="00C159F5" w:rsidP="00C159F5">
      <w:pPr>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COMUNICADO</w:t>
      </w:r>
    </w:p>
    <w:p w14:paraId="101CF0C9" w14:textId="77777777" w:rsidR="00C159F5" w:rsidRPr="00C159F5" w:rsidRDefault="00C159F5" w:rsidP="00C159F5">
      <w:pPr>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 </w:t>
      </w:r>
    </w:p>
    <w:p w14:paraId="414E1441" w14:textId="77777777" w:rsidR="00C159F5" w:rsidRPr="00C159F5" w:rsidRDefault="00C159F5" w:rsidP="00C159F5">
      <w:pP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A la Comunidad Universitaria</w:t>
      </w:r>
    </w:p>
    <w:p w14:paraId="6B6BD528" w14:textId="77777777" w:rsidR="00C159F5" w:rsidRPr="00C159F5" w:rsidRDefault="00C159F5" w:rsidP="00C159F5">
      <w:pPr>
        <w:jc w:val="both"/>
        <w:rPr>
          <w:rFonts w:ascii="Calibri" w:eastAsia="Times New Roman" w:hAnsi="Calibri" w:cs="Calibri"/>
          <w:kern w:val="0"/>
          <w:sz w:val="22"/>
          <w:szCs w:val="22"/>
          <w14:ligatures w14:val="none"/>
        </w:rPr>
      </w:pPr>
      <w:r w:rsidRPr="00C159F5">
        <w:rPr>
          <w:rFonts w:ascii="Times New Roman" w:eastAsia="Times New Roman" w:hAnsi="Times New Roman" w:cs="Times New Roman"/>
          <w:kern w:val="0"/>
          <w:sz w:val="32"/>
          <w:szCs w:val="32"/>
          <w:lang w:val="es-ES"/>
          <w14:ligatures w14:val="none"/>
        </w:rPr>
        <w:t> </w:t>
      </w:r>
    </w:p>
    <w:p w14:paraId="22DD4DAE" w14:textId="77777777" w:rsidR="00C159F5" w:rsidRPr="00C159F5" w:rsidRDefault="00C159F5" w:rsidP="00C159F5">
      <w:pPr>
        <w:jc w:val="both"/>
        <w:rPr>
          <w:rFonts w:ascii="Calibri" w:eastAsia="Times New Roman" w:hAnsi="Calibri" w:cs="Calibri"/>
          <w:kern w:val="0"/>
          <w:sz w:val="22"/>
          <w:szCs w:val="22"/>
          <w14:ligatures w14:val="none"/>
        </w:rPr>
      </w:pPr>
      <w:r w:rsidRPr="00C159F5">
        <w:rPr>
          <w:rFonts w:ascii="Times New Roman" w:eastAsia="Times New Roman" w:hAnsi="Times New Roman" w:cs="Times New Roman"/>
          <w:kern w:val="0"/>
          <w:sz w:val="32"/>
          <w:szCs w:val="32"/>
          <w:lang w:val="es-ES"/>
          <w14:ligatures w14:val="none"/>
        </w:rPr>
        <w:t>Debido a los trabajos de mantenimiento que se realizarán a los sistemas UPS del Site de San Lorenzo Tezonco, el día 10 de octubre del presente, los servicios que se prestan a través de las Tecnologías de la Información y Comunicaciones, así como la página institucional de la Universidad, funcionarán de manera intermitente. Por lo anterior, se les recomienda tomar las previsiones que correspondan. Las tareas de mantenimiento son indispensables para asegurar la operación de la infraestructura digital de la Universidad.</w:t>
      </w:r>
    </w:p>
    <w:p w14:paraId="1EF9C04A" w14:textId="77777777" w:rsidR="00C159F5" w:rsidRPr="00C159F5" w:rsidRDefault="00C159F5" w:rsidP="00C159F5">
      <w:pPr>
        <w:jc w:val="both"/>
        <w:rPr>
          <w:rFonts w:ascii="Calibri" w:eastAsia="Times New Roman" w:hAnsi="Calibri" w:cs="Calibri"/>
          <w:kern w:val="0"/>
          <w:sz w:val="22"/>
          <w:szCs w:val="22"/>
          <w14:ligatures w14:val="none"/>
        </w:rPr>
      </w:pPr>
      <w:r w:rsidRPr="00C159F5">
        <w:rPr>
          <w:rFonts w:ascii="Times New Roman" w:eastAsia="Times New Roman" w:hAnsi="Times New Roman" w:cs="Times New Roman"/>
          <w:kern w:val="0"/>
          <w:sz w:val="32"/>
          <w:szCs w:val="32"/>
          <w:lang w:val="es-ES"/>
          <w14:ligatures w14:val="none"/>
        </w:rPr>
        <w:t> </w:t>
      </w:r>
    </w:p>
    <w:p w14:paraId="6E529392" w14:textId="77777777" w:rsidR="00C159F5" w:rsidRPr="00C159F5" w:rsidRDefault="00C159F5" w:rsidP="00C159F5">
      <w:pPr>
        <w:jc w:val="both"/>
        <w:rPr>
          <w:rFonts w:ascii="Calibri" w:eastAsia="Times New Roman" w:hAnsi="Calibri" w:cs="Calibri"/>
          <w:kern w:val="0"/>
          <w:sz w:val="22"/>
          <w:szCs w:val="22"/>
          <w14:ligatures w14:val="none"/>
        </w:rPr>
      </w:pPr>
      <w:r w:rsidRPr="00C159F5">
        <w:rPr>
          <w:rFonts w:ascii="Times New Roman" w:eastAsia="Times New Roman" w:hAnsi="Times New Roman" w:cs="Times New Roman"/>
          <w:kern w:val="0"/>
          <w:sz w:val="32"/>
          <w:szCs w:val="32"/>
          <w:lang w:val="es-ES"/>
          <w14:ligatures w14:val="none"/>
        </w:rPr>
        <w:t>Agradeciendo de antemano su comprensión.</w:t>
      </w:r>
    </w:p>
    <w:p w14:paraId="70F44D2F" w14:textId="77777777" w:rsidR="00C159F5" w:rsidRPr="00C159F5" w:rsidRDefault="00C159F5" w:rsidP="00C159F5">
      <w:pPr>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 </w:t>
      </w:r>
    </w:p>
    <w:p w14:paraId="6741FBBC" w14:textId="77777777" w:rsidR="00C159F5" w:rsidRPr="00C159F5" w:rsidRDefault="00C159F5" w:rsidP="00C159F5">
      <w:pPr>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Atentamente</w:t>
      </w:r>
    </w:p>
    <w:p w14:paraId="69633848" w14:textId="77777777" w:rsidR="00C159F5" w:rsidRPr="00C159F5" w:rsidRDefault="00C159F5" w:rsidP="00C159F5">
      <w:pPr>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 </w:t>
      </w:r>
    </w:p>
    <w:tbl>
      <w:tblPr>
        <w:tblW w:w="0" w:type="auto"/>
        <w:jc w:val="center"/>
        <w:tblCellMar>
          <w:left w:w="0" w:type="dxa"/>
          <w:right w:w="0" w:type="dxa"/>
        </w:tblCellMar>
        <w:tblLook w:val="04A0" w:firstRow="1" w:lastRow="0" w:firstColumn="1" w:lastColumn="0" w:noHBand="0" w:noVBand="1"/>
      </w:tblPr>
      <w:tblGrid>
        <w:gridCol w:w="2413"/>
        <w:gridCol w:w="296"/>
        <w:gridCol w:w="2846"/>
        <w:gridCol w:w="296"/>
        <w:gridCol w:w="3509"/>
      </w:tblGrid>
      <w:tr w:rsidR="00C159F5" w:rsidRPr="00C159F5" w14:paraId="0520C1BD" w14:textId="77777777" w:rsidTr="00C159F5">
        <w:trPr>
          <w:jc w:val="center"/>
        </w:trPr>
        <w:tc>
          <w:tcPr>
            <w:tcW w:w="3403" w:type="dxa"/>
            <w:tcMar>
              <w:top w:w="0" w:type="dxa"/>
              <w:left w:w="108" w:type="dxa"/>
              <w:bottom w:w="0" w:type="dxa"/>
              <w:right w:w="108" w:type="dxa"/>
            </w:tcMar>
            <w:hideMark/>
          </w:tcPr>
          <w:p w14:paraId="1E730BF5" w14:textId="77777777" w:rsidR="00C159F5" w:rsidRPr="00C159F5" w:rsidRDefault="00C159F5" w:rsidP="00C159F5">
            <w:pPr>
              <w:spacing w:after="200" w:line="253" w:lineRule="atLeast"/>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Dr. Sebastián Ibarra Rojas</w:t>
            </w:r>
          </w:p>
          <w:p w14:paraId="3E9E7BC3" w14:textId="77777777" w:rsidR="00C159F5" w:rsidRPr="00C159F5" w:rsidRDefault="00C159F5" w:rsidP="00C159F5">
            <w:pPr>
              <w:spacing w:after="200" w:line="253" w:lineRule="atLeast"/>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kern w:val="0"/>
                <w:sz w:val="32"/>
                <w:szCs w:val="32"/>
                <w:lang w:val="es-ES"/>
                <w14:ligatures w14:val="none"/>
              </w:rPr>
              <w:t>Secretario General</w:t>
            </w:r>
          </w:p>
        </w:tc>
        <w:tc>
          <w:tcPr>
            <w:tcW w:w="283" w:type="dxa"/>
            <w:tcMar>
              <w:top w:w="0" w:type="dxa"/>
              <w:left w:w="108" w:type="dxa"/>
              <w:bottom w:w="0" w:type="dxa"/>
              <w:right w:w="108" w:type="dxa"/>
            </w:tcMar>
            <w:hideMark/>
          </w:tcPr>
          <w:p w14:paraId="60FEC5CC" w14:textId="77777777" w:rsidR="00C159F5" w:rsidRPr="00C159F5" w:rsidRDefault="00C159F5" w:rsidP="00C159F5">
            <w:pPr>
              <w:spacing w:after="200" w:line="253" w:lineRule="atLeast"/>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 </w:t>
            </w:r>
          </w:p>
          <w:p w14:paraId="28F71AC6" w14:textId="77777777" w:rsidR="00C159F5" w:rsidRPr="00C159F5" w:rsidRDefault="00C159F5" w:rsidP="00C159F5">
            <w:pPr>
              <w:spacing w:after="200" w:line="253" w:lineRule="atLeast"/>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 </w:t>
            </w:r>
          </w:p>
        </w:tc>
        <w:tc>
          <w:tcPr>
            <w:tcW w:w="3822" w:type="dxa"/>
            <w:tcMar>
              <w:top w:w="0" w:type="dxa"/>
              <w:left w:w="108" w:type="dxa"/>
              <w:bottom w:w="0" w:type="dxa"/>
              <w:right w:w="108" w:type="dxa"/>
            </w:tcMar>
            <w:hideMark/>
          </w:tcPr>
          <w:p w14:paraId="2ACAD47B" w14:textId="77777777" w:rsidR="00C159F5" w:rsidRPr="00C159F5" w:rsidRDefault="00C159F5" w:rsidP="00C159F5">
            <w:pPr>
              <w:spacing w:after="200" w:line="253" w:lineRule="atLeast"/>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Arq. Rubén Camacho Flores.</w:t>
            </w:r>
          </w:p>
          <w:p w14:paraId="42462F27" w14:textId="77777777" w:rsidR="00C159F5" w:rsidRPr="00C159F5" w:rsidRDefault="00C159F5" w:rsidP="00C159F5">
            <w:pPr>
              <w:spacing w:after="200" w:line="253" w:lineRule="atLeast"/>
              <w:jc w:val="center"/>
              <w:rPr>
                <w:rFonts w:ascii="Calibri" w:eastAsia="Times New Roman" w:hAnsi="Calibri" w:cs="Calibri"/>
                <w:kern w:val="0"/>
                <w:sz w:val="22"/>
                <w:szCs w:val="22"/>
                <w14:ligatures w14:val="none"/>
              </w:rPr>
            </w:pPr>
            <w:r w:rsidRPr="00C159F5">
              <w:rPr>
                <w:rFonts w:ascii="Times New Roman" w:eastAsia="Times New Roman" w:hAnsi="Times New Roman" w:cs="Times New Roman"/>
                <w:kern w:val="0"/>
                <w:sz w:val="32"/>
                <w:szCs w:val="32"/>
                <w:lang w:val="es-ES"/>
                <w14:ligatures w14:val="none"/>
              </w:rPr>
              <w:t>Coordinador de Obras y Conservación</w:t>
            </w:r>
          </w:p>
        </w:tc>
        <w:tc>
          <w:tcPr>
            <w:tcW w:w="284" w:type="dxa"/>
            <w:tcMar>
              <w:top w:w="0" w:type="dxa"/>
              <w:left w:w="108" w:type="dxa"/>
              <w:bottom w:w="0" w:type="dxa"/>
              <w:right w:w="108" w:type="dxa"/>
            </w:tcMar>
            <w:hideMark/>
          </w:tcPr>
          <w:p w14:paraId="198BB50D" w14:textId="77777777" w:rsidR="00C159F5" w:rsidRPr="00C159F5" w:rsidRDefault="00C159F5" w:rsidP="00C159F5">
            <w:pPr>
              <w:spacing w:after="200" w:line="253" w:lineRule="atLeast"/>
              <w:rPr>
                <w:rFonts w:ascii="Calibri" w:eastAsia="Times New Roman" w:hAnsi="Calibri" w:cs="Calibri"/>
                <w:kern w:val="0"/>
                <w:sz w:val="22"/>
                <w:szCs w:val="22"/>
                <w14:ligatures w14:val="none"/>
              </w:rPr>
            </w:pPr>
            <w:r w:rsidRPr="00C159F5">
              <w:rPr>
                <w:rFonts w:ascii="Times New Roman" w:eastAsia="Times New Roman" w:hAnsi="Times New Roman" w:cs="Times New Roman"/>
                <w:b/>
                <w:bCs/>
                <w:kern w:val="0"/>
                <w:sz w:val="32"/>
                <w:szCs w:val="32"/>
                <w:lang w:val="es-ES"/>
                <w14:ligatures w14:val="none"/>
              </w:rPr>
              <w:t> </w:t>
            </w:r>
          </w:p>
        </w:tc>
        <w:tc>
          <w:tcPr>
            <w:tcW w:w="4252" w:type="dxa"/>
            <w:tcMar>
              <w:top w:w="0" w:type="dxa"/>
              <w:left w:w="108" w:type="dxa"/>
              <w:bottom w:w="0" w:type="dxa"/>
              <w:right w:w="108" w:type="dxa"/>
            </w:tcMar>
            <w:hideMark/>
          </w:tcPr>
          <w:p w14:paraId="1FAD6AF2" w14:textId="77777777" w:rsidR="00C159F5" w:rsidRPr="00C159F5" w:rsidRDefault="00C159F5" w:rsidP="00C159F5">
            <w:pPr>
              <w:shd w:val="clear" w:color="auto" w:fill="FFFFFF"/>
              <w:spacing w:after="200" w:line="253" w:lineRule="atLeast"/>
              <w:jc w:val="center"/>
              <w:rPr>
                <w:rFonts w:ascii="Calibri" w:eastAsia="Times New Roman" w:hAnsi="Calibri" w:cs="Calibri"/>
                <w:color w:val="222222"/>
                <w:kern w:val="0"/>
                <w:sz w:val="22"/>
                <w:szCs w:val="22"/>
                <w14:ligatures w14:val="none"/>
              </w:rPr>
            </w:pPr>
            <w:r w:rsidRPr="00C159F5">
              <w:rPr>
                <w:rFonts w:ascii="Times New Roman" w:eastAsia="Times New Roman" w:hAnsi="Times New Roman" w:cs="Times New Roman"/>
                <w:b/>
                <w:bCs/>
                <w:color w:val="222222"/>
                <w:kern w:val="0"/>
                <w:sz w:val="32"/>
                <w:szCs w:val="32"/>
                <w:lang w:val="es-ES"/>
                <w14:ligatures w14:val="none"/>
              </w:rPr>
              <w:t>Ing. Luis Alberto Aguilar Sánchez.</w:t>
            </w:r>
          </w:p>
          <w:p w14:paraId="5AEC9ABB" w14:textId="77777777" w:rsidR="00C159F5" w:rsidRPr="00C159F5" w:rsidRDefault="00C159F5" w:rsidP="00C159F5">
            <w:pPr>
              <w:shd w:val="clear" w:color="auto" w:fill="FFFFFF"/>
              <w:spacing w:after="200" w:line="253" w:lineRule="atLeast"/>
              <w:jc w:val="center"/>
              <w:rPr>
                <w:rFonts w:ascii="Calibri" w:eastAsia="Times New Roman" w:hAnsi="Calibri" w:cs="Calibri"/>
                <w:color w:val="222222"/>
                <w:kern w:val="0"/>
                <w:sz w:val="22"/>
                <w:szCs w:val="22"/>
                <w14:ligatures w14:val="none"/>
              </w:rPr>
            </w:pPr>
            <w:r w:rsidRPr="00C159F5">
              <w:rPr>
                <w:rFonts w:ascii="Times New Roman" w:eastAsia="Times New Roman" w:hAnsi="Times New Roman" w:cs="Times New Roman"/>
                <w:color w:val="222222"/>
                <w:kern w:val="0"/>
                <w:sz w:val="32"/>
                <w:szCs w:val="32"/>
                <w:lang w:val="es-ES"/>
                <w14:ligatures w14:val="none"/>
              </w:rPr>
              <w:t>Coordinador de Informática y Telecomunicaciones</w:t>
            </w:r>
          </w:p>
          <w:p w14:paraId="41F8E973" w14:textId="77777777" w:rsidR="00C159F5" w:rsidRPr="00C159F5" w:rsidRDefault="00C159F5" w:rsidP="00C159F5">
            <w:pPr>
              <w:rPr>
                <w:rFonts w:ascii="Times New Roman" w:eastAsia="Times New Roman" w:hAnsi="Times New Roman" w:cs="Times New Roman"/>
                <w:kern w:val="0"/>
                <w14:ligatures w14:val="none"/>
              </w:rPr>
            </w:pPr>
          </w:p>
        </w:tc>
      </w:tr>
    </w:tbl>
    <w:p w14:paraId="3C1E71BA" w14:textId="77777777" w:rsidR="0028360A" w:rsidRDefault="0028360A"/>
    <w:sectPr w:rsidR="00283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F5"/>
    <w:rsid w:val="001353E5"/>
    <w:rsid w:val="0028360A"/>
    <w:rsid w:val="004D6BDE"/>
    <w:rsid w:val="00C159F5"/>
    <w:rsid w:val="00D365AA"/>
    <w:rsid w:val="00E82E9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8020DA8"/>
  <w15:chartTrackingRefBased/>
  <w15:docId w15:val="{378CF8D8-BD96-7A4F-8ACC-1BBFF526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9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9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9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9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9F5"/>
    <w:rPr>
      <w:rFonts w:eastAsiaTheme="majorEastAsia" w:cstheme="majorBidi"/>
      <w:color w:val="272727" w:themeColor="text1" w:themeTint="D8"/>
    </w:rPr>
  </w:style>
  <w:style w:type="paragraph" w:styleId="Title">
    <w:name w:val="Title"/>
    <w:basedOn w:val="Normal"/>
    <w:next w:val="Normal"/>
    <w:link w:val="TitleChar"/>
    <w:uiPriority w:val="10"/>
    <w:qFormat/>
    <w:rsid w:val="00C159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9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9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59F5"/>
    <w:rPr>
      <w:i/>
      <w:iCs/>
      <w:color w:val="404040" w:themeColor="text1" w:themeTint="BF"/>
    </w:rPr>
  </w:style>
  <w:style w:type="paragraph" w:styleId="ListParagraph">
    <w:name w:val="List Paragraph"/>
    <w:basedOn w:val="Normal"/>
    <w:uiPriority w:val="34"/>
    <w:qFormat/>
    <w:rsid w:val="00C159F5"/>
    <w:pPr>
      <w:ind w:left="720"/>
      <w:contextualSpacing/>
    </w:pPr>
  </w:style>
  <w:style w:type="character" w:styleId="IntenseEmphasis">
    <w:name w:val="Intense Emphasis"/>
    <w:basedOn w:val="DefaultParagraphFont"/>
    <w:uiPriority w:val="21"/>
    <w:qFormat/>
    <w:rsid w:val="00C159F5"/>
    <w:rPr>
      <w:i/>
      <w:iCs/>
      <w:color w:val="0F4761" w:themeColor="accent1" w:themeShade="BF"/>
    </w:rPr>
  </w:style>
  <w:style w:type="paragraph" w:styleId="IntenseQuote">
    <w:name w:val="Intense Quote"/>
    <w:basedOn w:val="Normal"/>
    <w:next w:val="Normal"/>
    <w:link w:val="IntenseQuoteChar"/>
    <w:uiPriority w:val="30"/>
    <w:qFormat/>
    <w:rsid w:val="00C15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9F5"/>
    <w:rPr>
      <w:i/>
      <w:iCs/>
      <w:color w:val="0F4761" w:themeColor="accent1" w:themeShade="BF"/>
    </w:rPr>
  </w:style>
  <w:style w:type="character" w:styleId="IntenseReference">
    <w:name w:val="Intense Reference"/>
    <w:basedOn w:val="DefaultParagraphFont"/>
    <w:uiPriority w:val="32"/>
    <w:qFormat/>
    <w:rsid w:val="00C15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18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2024-04-24T18:27:00Z</dcterms:created>
  <dcterms:modified xsi:type="dcterms:W3CDTF">2024-04-24T18:30:00Z</dcterms:modified>
</cp:coreProperties>
</file>