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Experimental Properties of Sulfonated Polyimide at Room Temperature</w:t>
      </w:r>
    </w:p>
    <w:p>
      <w:pPr>
        <w:pStyle w:val="Heading1"/>
      </w:pPr>
      <w:r>
        <w:t>1. Permeability of Carbon Dioxide (CO₂)</w:t>
      </w:r>
    </w:p>
    <w:p>
      <w:r>
        <w:t>Sulfonated Polyimide (SPI) membranes show CO₂ permeability values typically ranging from 50 to 400 Barrer, depending on the specific membrane composition and conditions.</w:t>
      </w:r>
    </w:p>
    <w:p>
      <w:r>
        <w:t>Reference: Sulfonated polyimide/ionic liquid composite membranes for carbon dioxide separation. *Polymer Journal*. Available at: https://www.nature.com/articles/s41427-019-0155-5.pdf.</w:t>
      </w:r>
    </w:p>
    <w:p>
      <w:pPr>
        <w:pStyle w:val="Heading1"/>
      </w:pPr>
      <w:r>
        <w:t>2. Permeability of Oxygen (O₂)</w:t>
      </w:r>
    </w:p>
    <w:p>
      <w:r>
        <w:t>The permeability of O₂ through SPI membranes is generally lower than that of CO₂, typically in the range of 10 to 30 Barrer.</w:t>
      </w:r>
    </w:p>
    <w:p>
      <w:r>
        <w:t>Reference: Chaidou, C.I., Pantoleontos, G., Koutsonikolas, D.E., Kaldis, S.P., Sakellaropoulos, G.P. (2012). Gas separation properties of polyimide-zeolite mixed matrix membranes. *Separation Science &amp; Technology*, 47, 950–962. DOI: 10.1080/01496395.2011.645263.</w:t>
      </w:r>
    </w:p>
    <w:p>
      <w:pPr>
        <w:pStyle w:val="Heading1"/>
      </w:pPr>
      <w:r>
        <w:t>3. Activation Energy</w:t>
      </w:r>
    </w:p>
    <w:p>
      <w:r>
        <w:t>The activation energy for gas diffusion in SPI can vary based on the gas type and membrane configuration. For CO₂, the activation energy is typically found to be in the range of 10 to 25 kJ/mol.</w:t>
      </w:r>
    </w:p>
    <w:p>
      <w:r>
        <w:t>Reference: Dinari, M., Ahmadizadegan, H., Asadi, P. (2015). Thermal, mechanical, and optical transport properties of nanocomposite materials based on triethoxysilane-terminated polyimide and TiO₂ nanoparticles. *RSC Advances*, 5, 60745–60753. DOI: 10.1039/C5RA12562F.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