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HIGH-LEVEL DESIGN (HDD)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Academic Writing Journey</w:t>
      </w:r>
    </w:p>
    <w:p>
      <w:pPr>
        <w:spacing w:after="13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 retrospective High-Level Design — written as if authored before development began, applying enterprise Learning Experience Architecture standards to an existing, independently evaluated eLearning product.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Author: </w:t>
      </w:r>
      <w:r>
        <w:rPr>
          <w:rFonts w:ascii="Calibri" w:cs="Calibri" w:eastAsia="Calibri" w:hAnsi="Calibri"/>
          <w:sz w:val="19"/>
          <w:szCs w:val="19"/>
        </w:rPr>
        <w:t xml:space="preserve">Ana Eslava-Graterol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│   Version: </w:t>
      </w:r>
      <w:r>
        <w:rPr>
          <w:rFonts w:ascii="Calibri" w:cs="Calibri" w:eastAsia="Calibri" w:hAnsi="Calibri"/>
          <w:sz w:val="19"/>
          <w:szCs w:val="19"/>
        </w:rPr>
        <w:t xml:space="preserve">1.0 (Portfolio Case Study)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│   Date: </w:t>
      </w:r>
      <w:r>
        <w:rPr>
          <w:rFonts w:ascii="Calibri" w:cs="Calibri" w:eastAsia="Calibri" w:hAnsi="Calibri"/>
          <w:sz w:val="19"/>
          <w:szCs w:val="19"/>
        </w:rPr>
        <w:t xml:space="preserve">June 2026</w:t>
      </w:r>
    </w:p>
    <w:p>
      <w:pPr>
        <w:pBdr>
          <w:left w:val="single" w:color="2E5395" w:sz="18" w:space="10"/>
        </w:pBdr>
        <w:spacing w:after="140" w:line="264"/>
        <w:ind w:left="215"/>
      </w:pPr>
      <w:r>
        <w:rPr>
          <w:rFonts w:ascii="Calibri" w:cs="Calibri" w:eastAsia="Calibri" w:hAnsi="Calibri"/>
          <w:b/>
          <w:bCs/>
          <w:i/>
          <w:iCs/>
          <w:sz w:val="19"/>
          <w:szCs w:val="19"/>
        </w:rPr>
        <w:t xml:space="preserve">Note on this document: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The Academic Writing Journey (AWJ) was built and independently evaluated before this HDD was written. This document reconstructs the design architecture retrospectively, in the format and rigour expected of a High-Level Design at the Learning Experience Architect level — demonstrating the ability to think in HDD structure, not only to produce finished learning content.</w:t>
      </w:r>
    </w:p>
    <w:p>
      <w:pPr>
        <w:pBdr>
          <w:bottom w:val="single" w:color="2E5395" w:sz="8" w:space="3"/>
        </w:pBdr>
        <w:spacing w:after="13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EXECUTIVE SUMMARY</w:t>
      </w:r>
    </w:p>
    <w:p>
      <w:pPr>
        <w:spacing w:after="120" w:line="264"/>
      </w:pPr>
      <w:r>
        <w:rPr>
          <w:rFonts w:ascii="Calibri" w:cs="Calibri" w:eastAsia="Calibri" w:hAnsi="Calibri"/>
          <w:sz w:val="20"/>
          <w:szCs w:val="20"/>
        </w:rPr>
        <w:t xml:space="preserve">Academic Writing Journey (AWJ) is a fully self-paced, gamified eLearning solution designed to close a specific performance gap: university-level learners in English for Specific/Academic Purposes (ESP/EAP) consistently struggle to produce a structurally sound, publishable academic abstract and to deliver a confident spoken conference pitch. The solution architecture spans six progressive levels, a bonus escape-room module, AI-assisted authorship support, and a full accessibility layer aligned to WCAG and the EU Accessibility Act (EAA).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Independent evaluation by Universitat Politècnica de València (UPV, 2026) rated the solution 10/10 for inclusive eLearning design — validating both the instructional architecture and the accessibility strategy described in Section 6.</w:t>
      </w:r>
    </w:p>
    <w:p>
      <w:pPr>
        <w:pBdr>
          <w:bottom w:val="single" w:color="2E5395" w:sz="8" w:space="3"/>
        </w:pBdr>
        <w:spacing w:after="13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BUSINESS CONTEXT &amp; PERFORMANCE GAP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2.1  Stakeholder &amp; Sponsor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Department of Applied Linguistics, Universitat Politècnica de València — course: “Simulation, Games and Technology Applied to Teaching Strategies and Research Methodology,” Prof. Casañ Pitarch, Ricardo.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2.2  Performance Gap Identified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Learners enter academic writing tasks with strong general English proficiency (B2) but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lack the genre-specific rhetorical structure</w:t>
      </w:r>
      <w:r>
        <w:rPr>
          <w:rFonts w:ascii="Calibri" w:cs="Calibri" w:eastAsia="Calibri" w:hAnsi="Calibri"/>
          <w:sz w:val="20"/>
          <w:szCs w:val="20"/>
        </w:rPr>
        <w:t xml:space="preserve"> required for academic abstracts (Swales’ Move Analysis) and the metadiscourse competence needed for persuasive academic register (Hyland’s framework).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Existing static course materials produced passive recognition of academic structure but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did not transfer into independent production</w:t>
      </w:r>
      <w:r>
        <w:rPr>
          <w:rFonts w:ascii="Calibri" w:cs="Calibri" w:eastAsia="Calibri" w:hAnsi="Calibri"/>
          <w:sz w:val="20"/>
          <w:szCs w:val="20"/>
        </w:rPr>
        <w:t xml:space="preserve"> — a classic input-without-output gap (Swain’s Output Hypothesis).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No existing institutional solution combined rigorous SLA theory with sustained learner engagement across a fully asynchronous, self-paced format — engagement, not content availability, was the primary risk to program success.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2.3  Target Audience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Undergraduate (Years 2–4) and Master’s-level (Years 1–2) students requiring B2→C1 academic English for research writing and conference presentation, across mixed in-person, online, and hybrid modalities.</w:t>
      </w:r>
    </w:p>
    <w:p>
      <w:pPr>
        <w:pBdr>
          <w:bottom w:val="single" w:color="2E5395" w:sz="8" w:space="3"/>
        </w:pBdr>
        <w:spacing w:after="13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SOLUTION ARCHITECTURE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3.1  Instructional Model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</w:t>
      </w:r>
      <w:r>
        <w:rPr>
          <w:rFonts w:ascii="Calibri" w:cs="Calibri" w:eastAsia="Calibri" w:hAnsi="Calibri"/>
          <w:sz w:val="20"/>
          <w:szCs w:val="20"/>
        </w:rPr>
        <w:t xml:space="preserve"> (Successive Approximation Model): iterative analyse–prototype–review cycles replacing linear waterfall development, allowing each level to be pedagogically refined against real learner UX testing.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IPO Model</w:t>
      </w:r>
      <w:r>
        <w:rPr>
          <w:rFonts w:ascii="Calibri" w:cs="Calibri" w:eastAsia="Calibri" w:hAnsi="Calibri"/>
          <w:sz w:val="20"/>
          <w:szCs w:val="20"/>
        </w:rPr>
        <w:t xml:space="preserve"> (Casañ-Pitarch): six levels mapped explicitly to Input (L1–2) → Processing (L3–4) → Output (L5–6), ensuring a structured progression from receptive to productive skill.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ESA + CLIL 4Cs: Engage–Study–Activate combined with Content, Communication, Cognition, and Culture within authentic academic contexts.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3.2  Modality Approach</w:t>
      </w:r>
    </w:p>
    <w:tbl>
      <w:tblPr>
        <w:tblW w:type="dxa" w:w="9600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B4C2D9" w:sz="4"/>
          <w:insideV w:val="single" w:color="B4C2D9" w:sz="4"/>
        </w:tblBorders>
      </w:tblPr>
      <w:tblGrid>
        <w:gridCol w:w="2100"/>
        <w:gridCol w:w="4200"/>
        <w:gridCol w:w="3300"/>
      </w:tblGrid>
      <w:tr>
        <w:trPr>
          <w:tblHeader/>
        </w:trPr>
        <w:tc>
          <w:tcPr>
            <w:tcW w:type="dxa" w:w="2100"/>
            <w:shd w:fill="E8E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Modality</w:t>
            </w:r>
          </w:p>
        </w:tc>
        <w:tc>
          <w:tcPr>
            <w:tcW w:type="dxa" w:w="4200"/>
            <w:shd w:fill="E8E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Role in Solution</w:t>
            </w:r>
          </w:p>
        </w:tc>
        <w:tc>
          <w:tcPr>
            <w:tcW w:type="dxa" w:w="3300"/>
            <w:shd w:fill="E8E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Delivery Tooling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Self-paced digital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Core delivery — all 6 levels + bonus escape room, fully asynchronous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HTML5 / Tailwind CSS / GitHub Pages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AI-assisted tutoring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On-demand scaffolding via conversational AI tutor for in-the-moment learner support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“PhD Chema GPT” (custom GPT)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Asynchronous social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Peer feedback and community reinforcement without synchronous scheduling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Padlet, Flip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Multimedia / video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Worked examples and AI-avatar instructional delivery for key concepts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Synthesia, YouTube/TED-Ed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3.3  Gamification &amp; Engagement Architecture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Progressive levelling</w:t>
      </w:r>
      <w:r>
        <w:rPr>
          <w:rFonts w:ascii="Calibri" w:cs="Calibri" w:eastAsia="Calibri" w:hAnsi="Calibri"/>
          <w:sz w:val="20"/>
          <w:szCs w:val="20"/>
        </w:rPr>
        <w:t xml:space="preserve">: 6 sequential levels, each gated on completion of the prior, preventing cognitive overload while maintaining narrative momentum.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XP economy</w:t>
      </w:r>
      <w:r>
        <w:rPr>
          <w:rFonts w:ascii="Calibri" w:cs="Calibri" w:eastAsia="Calibri" w:hAnsi="Calibri"/>
          <w:sz w:val="20"/>
          <w:szCs w:val="20"/>
        </w:rPr>
        <w:t xml:space="preserve">: 100–1,000 XP per level (2,500 XP total) plus a 180 XP bonus escape-room module — calibrated reward density to sustain motivation across a multi-week, fully self-paced journey.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Narrative identity arc: learner progresses from “Curious Student” to “Academic Challenger” (boss level), applying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Self-Determination Theory</w:t>
      </w:r>
      <w:r>
        <w:rPr>
          <w:rFonts w:ascii="Calibri" w:cs="Calibri" w:eastAsia="Calibri" w:hAnsi="Calibri"/>
          <w:sz w:val="20"/>
          <w:szCs w:val="20"/>
        </w:rPr>
        <w:t xml:space="preserve"> (autonomy, competence, relatedness) to an asynchronous format that cannot rely on instructor-driven motivation.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Boss-level gate: Level 6 (Conference Pitch) is unlocked only via the bonus escape room — a deliberate friction point ensuring mastery of Levels 1–4 metadiscourse content before the highest-stakes production task.</w:t>
      </w:r>
    </w:p>
    <w:p>
      <w:pPr>
        <w:pBdr>
          <w:bottom w:val="single" w:color="2E5395" w:sz="8" w:space="3"/>
        </w:pBdr>
        <w:spacing w:after="13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AI INTEGRATION &amp; RESPONSIBLE USE</w:t>
      </w:r>
    </w:p>
    <w:p>
      <w:pPr>
        <w:spacing w:after="120" w:line="264"/>
      </w:pPr>
      <w:r>
        <w:rPr>
          <w:rFonts w:ascii="Calibri" w:cs="Calibri" w:eastAsia="Calibri" w:hAnsi="Calibri"/>
          <w:sz w:val="20"/>
          <w:szCs w:val="20"/>
        </w:rPr>
        <w:t xml:space="preserve">AI was used as a documented technical co-author (Claude Code, Anthropic) for implementation — never as a substitute for pedagogical decision-making, which remained the sole responsibility of the Subject Matter Expert. This distinction was formalised as an explicit governance principle, not an informal practice:</w:t>
      </w:r>
    </w:p>
    <w:tbl>
      <w:tblPr>
        <w:tblW w:type="dxa" w:w="9600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B4C2D9" w:sz="4"/>
          <w:insideV w:val="single" w:color="B4C2D9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E8E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Decision Domain</w:t>
            </w:r>
          </w:p>
        </w:tc>
        <w:tc>
          <w:tcPr>
            <w:tcW w:type="dxa" w:w="4800"/>
            <w:shd w:fill="E8E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Pedagogical sequencing, SLA framework selection, assessment criteria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Human (Subject Matter Expert)</w:t>
            </w:r>
          </w:p>
        </w:tc>
      </w:tr>
      <w:tr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HTML/CSS/JS implementation, UX build, accessibility layer coding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(Claude Code) — under human direction and review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This model anticipates the kind of responsible AI-enabled design practice required for enterprise learning architecture: AI accelerates production and exploration of solution options, while domain expertise retains final authority over learner-facing decisions.</w:t>
      </w:r>
    </w:p>
    <w:p>
      <w:pPr>
        <w:pBdr>
          <w:bottom w:val="single" w:color="2E5395" w:sz="8" w:space="3"/>
        </w:pBdr>
        <w:spacing w:after="13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5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MEASUREMENT &amp; EVALUATION APPROACH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Independent third-party evaluation</w:t>
      </w:r>
      <w:r>
        <w:rPr>
          <w:rFonts w:ascii="Calibri" w:cs="Calibri" w:eastAsia="Calibri" w:hAnsi="Calibri"/>
          <w:sz w:val="20"/>
          <w:szCs w:val="20"/>
        </w:rPr>
        <w:t xml:space="preserve">: UPV (2026) scored the solution against four pillars — technological/content accessibility, flexibility/personalisation, interaction/collaboration, and digital competencies/AI integration — achieving a 9.0+ average and 10/10 overall for inclusive design.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UX testing signal: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zero learner navigation errors</w:t>
      </w:r>
      <w:r>
        <w:rPr>
          <w:rFonts w:ascii="Calibri" w:cs="Calibri" w:eastAsia="Calibri" w:hAnsi="Calibri"/>
          <w:sz w:val="20"/>
          <w:szCs w:val="20"/>
        </w:rPr>
        <w:t xml:space="preserve"> recorded during structured usability testing, validating the IPO-aligned information architecture and Cognitive Load Theory (Sweller) chunking strategy.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Built-in iteration hooks: the evaluator’s documented “areas for improvement” (e.g. anonymous leaderboard option, pre-Level-1 tool tutorial, formal WCAG audit) were captured as a structured backlog for the next design iteration — modelling a pilot-and-refine mindset rather than a one-time build.</w:t>
      </w:r>
    </w:p>
    <w:p>
      <w:pPr>
        <w:pBdr>
          <w:bottom w:val="single" w:color="2E5395" w:sz="8" w:space="3"/>
        </w:pBdr>
        <w:spacing w:after="13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6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ACCESSIBILITY, INCLUSION &amp; GOVERNANCE</w:t>
      </w:r>
    </w:p>
    <w:p>
      <w:pPr>
        <w:spacing w:after="120" w:line="264"/>
      </w:pPr>
      <w:r>
        <w:rPr>
          <w:rFonts w:ascii="Calibri" w:cs="Calibri" w:eastAsia="Calibri" w:hAnsi="Calibri"/>
          <w:sz w:val="20"/>
          <w:szCs w:val="20"/>
        </w:rPr>
        <w:t xml:space="preserve">Accessibility was treated as a core design constraint from the outset, not a post-launch remediation: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A floating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Universal Design for Learning</w:t>
      </w:r>
      <w:r>
        <w:rPr>
          <w:rFonts w:ascii="Calibri" w:cs="Calibri" w:eastAsia="Calibri" w:hAnsi="Calibri"/>
          <w:sz w:val="20"/>
          <w:szCs w:val="20"/>
        </w:rPr>
        <w:t xml:space="preserve"> (UDL) control layer — voice dictation (Web Speech API), high-contrast mode, adjustable text size, and audio read-back — built natively into the application shell, available on every level.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Design choices were evaluated against WCAG principles and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EU Accessibility Act (EAA)</w:t>
      </w:r>
      <w:r>
        <w:rPr>
          <w:rFonts w:ascii="Calibri" w:cs="Calibri" w:eastAsia="Calibri" w:hAnsi="Calibri"/>
          <w:sz w:val="20"/>
          <w:szCs w:val="20"/>
        </w:rPr>
        <w:t xml:space="preserve"> compliance trajectory, anticipating regulatory requirements relevant to any multi-region rollout.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Multimodal redundancy (text, audio, video, interactive) ensures no single representation channel is a single point of failure for any learner profile.</w:t>
      </w:r>
    </w:p>
    <w:p>
      <w:pPr>
        <w:pBdr>
          <w:bottom w:val="single" w:color="2E5395" w:sz="8" w:space="3"/>
        </w:pBdr>
        <w:spacing w:after="13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7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CONTENT STRATEGY, MODULARITY &amp; REUSE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Each level is built as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self-contained module</w:t>
      </w:r>
      <w:r>
        <w:rPr>
          <w:rFonts w:ascii="Calibri" w:cs="Calibri" w:eastAsia="Calibri" w:hAnsi="Calibri"/>
          <w:sz w:val="20"/>
          <w:szCs w:val="20"/>
        </w:rPr>
        <w:t xml:space="preserve"> (Instruction → Mission → Checkpoint) — enabling reuse or resequencing of individual levels for shorter-format derivative courses without rebuilding the full journey.</w:t>
      </w:r>
    </w:p>
    <w:p>
      <w:pPr>
        <w:pStyle w:val="ListParagraph"/>
        <w:numPr>
          <w:ilvl w:val="0"/>
          <w:numId w:val="1"/>
        </w:numPr>
        <w:spacing w:after="90" w:line="264"/>
        <w:ind w:left="403" w:hanging="230"/>
      </w:pPr>
      <w:r>
        <w:rPr>
          <w:rFonts w:ascii="Calibri" w:cs="Calibri" w:eastAsia="Calibri" w:hAnsi="Calibri"/>
          <w:sz w:val="20"/>
          <w:szCs w:val="20"/>
        </w:rPr>
        <w:t xml:space="preserve">The underlying Swales/Hyland rhetorical-structure engine (dynamic dropdown menus for hedges, boosters, logical markers) is decoupled from the gamification layer, allowing the core linguistic scaffolding to be reused in non-gamified contexts if a future audience requires it.</w:t>
      </w:r>
    </w:p>
    <w:p>
      <w:pPr>
        <w:pBdr>
          <w:bottom w:val="single" w:color="2E5395" w:sz="8" w:space="3"/>
        </w:pBdr>
        <w:spacing w:after="13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8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RISKS, DEPENDENCIES &amp; HANDOFF CONSIDERATIONS</w:t>
      </w:r>
    </w:p>
    <w:tbl>
      <w:tblPr>
        <w:tblW w:type="dxa" w:w="9600"/>
        <w:tblBorders>
          <w:top w:val="single" w:color="B4C2D9" w:sz="4"/>
          <w:left w:val="single" w:color="B4C2D9" w:sz="4"/>
          <w:bottom w:val="single" w:color="B4C2D9" w:sz="4"/>
          <w:right w:val="single" w:color="B4C2D9" w:sz="4"/>
          <w:insideH w:val="single" w:color="B4C2D9" w:sz="4"/>
          <w:insideV w:val="single" w:color="B4C2D9" w:sz="4"/>
        </w:tblBorders>
      </w:tblPr>
      <w:tblGrid>
        <w:gridCol w:w="4400"/>
        <w:gridCol w:w="5200"/>
      </w:tblGrid>
      <w:tr>
        <w:trPr>
          <w:tblHeader/>
        </w:trPr>
        <w:tc>
          <w:tcPr>
            <w:tcW w:type="dxa" w:w="4400"/>
            <w:shd w:fill="E8E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Risk / Dependency</w:t>
            </w:r>
          </w:p>
        </w:tc>
        <w:tc>
          <w:tcPr>
            <w:tcW w:type="dxa" w:w="5200"/>
            <w:shd w:fill="E8ED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Engagement drop-off in fully asynchronous format with no instructor cadence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XP economy + narrative identity arc + boss-level gating to sustain intrinsic motivation without synchronous touchpoints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Reliance on third-party AI tutor (custom GPT) availability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tutor positioned as supplementary scaffolding, not a single point of failure for core content delivery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Formal WCAG audit not yet completed at time of launch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Captured explicitly as next-iteration backlog item following independent evaluator recommendation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2E5395" w:sz="8" w:space="3"/>
        </w:pBdr>
        <w:spacing w:after="130" w:before="3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9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REFERENCE</w:t>
      </w:r>
    </w:p>
    <w:p>
      <w:pPr>
        <w:spacing w:after="0" w:line="264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Eslava-Graterol, A. (2026).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Academic Writing Journey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[Gamified eLearning unit]. Universitat Politècnica de València. profeanaeslavaedtech.github.io/Gamification/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2026-08-06T00:34:38.596Z</dcterms:created>
  <dcterms:modified xsi:type="dcterms:W3CDTF">2026-08-06T00:34:38.616Z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