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Experiencia académica universitaria: docencia e investigación</w:t>
      </w:r>
    </w:p>
    <w:p>
      <w:r>
        <w:rPr>
          <w:rFonts w:ascii="Inter" w:hAnsi="Inter" w:cs="Inter"/>
          <w:b/>
          <w:i w:val="0"/>
          <w:color w:val="1C1E2E"/>
          <w:sz w:val="22"/>
        </w:rPr>
        <w:t>Ana Zoraimy Eslava Graterol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ORCID 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Para qué sirve este documento.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Hasta ahora la docencia y la investigación aparecían en bloques separados —y repetidos— en el CV por baremo, el CV académico y el §3.3 del plan. Esto los unifica en </w:t>
      </w:r>
      <w:r>
        <w:rPr>
          <w:rFonts w:ascii="Inter" w:hAnsi="Inter" w:cs="Inter"/>
          <w:b/>
          <w:i w:val="0"/>
          <w:color w:val="5B5F77"/>
          <w:sz w:val="21"/>
        </w:rPr>
        <w:t>una sola fuente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: cada periodo se presenta con lo que enseñaste </w:t>
      </w:r>
      <w:r>
        <w:rPr>
          <w:rFonts w:ascii="Inter" w:hAnsi="Inter" w:cs="Inter"/>
          <w:b/>
          <w:i w:val="0"/>
          <w:color w:val="5B5F77"/>
          <w:sz w:val="21"/>
        </w:rPr>
        <w:t>y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lo que investigaste, porque para una comisión de doctorado son la misma trayectoria. De aquí salen las tres versiones que necesitas (§5).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1 · Resumen en cifras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Indicador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Valor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Fuente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Docencia universitaria acreditada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1.568 horas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Certificación de servicio docente, UDO </w:t>
            </w:r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[DOC-16]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Años de docencia universitaria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10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(2005–2015)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UDO, Núcleo Nueva Esparta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Años de docencia de lenguas a adultos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20+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(2004–actualidad)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Trayectoria continuada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Instituciones universitarias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3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ULA (formación y práctica docente), UDO (docencia), UPV (investigación)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—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Publicación arbitrada e indexada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Kaleidoscopio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2(3), 51–56 (2005), CLASE–UNAM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[DOC-19]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Ponencia arbitrada en congreso internacional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II CIES, Cumaná, 2008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[DOC-24]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Reconocimiento en agradecimientos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Elsevier, 2019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[DOC-14]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Estudios de corpus dirigidos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1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— TFM, 180 resúmenes, 6 disciplinas (UPV, 2026)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—</w:t>
            </w:r>
          </w:p>
        </w:tc>
      </w:tr>
    </w:tbl>
    <w:p/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2 · Trayectoria por periodos — docencia e investigación juntas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2.1 · Universidad de Los Andes (ULA), Núcleo Táchira · 1999 – 2004</w:t>
      </w:r>
    </w:p>
    <w:p>
      <w:r>
        <w:rPr>
          <w:rFonts w:ascii="Inter" w:hAnsi="Inter" w:cs="Inter"/>
          <w:b/>
          <w:i w:val="0"/>
          <w:color w:val="1C1E2E"/>
          <w:sz w:val="22"/>
        </w:rPr>
        <w:t>Formación e iniciación docente e investigadora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Docencia.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Cuatro </w:t>
      </w:r>
      <w:r>
        <w:rPr>
          <w:rFonts w:ascii="Inter" w:hAnsi="Inter" w:cs="Inter"/>
          <w:b/>
          <w:i w:val="0"/>
          <w:color w:val="1C1E2E"/>
          <w:sz w:val="22"/>
        </w:rPr>
        <w:t>Prácticas Profesionales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supervisadas (I–IV, cursos 2000 a 2003), que constituyen la formación práctica docente reglada de la titulación, todas superadas con calificaciones entre 18 y 20 sobre 20.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Trabajo Especial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sobre el perfil del egresado de Educación mención Inglés, contrastado con la reforma curricular de la carrera: análisis descriptivo-interpretativo con análisis documental de programas, entrevistas a especialistas y encuestas al alumnado. Calificado </w:t>
      </w:r>
      <w:r>
        <w:rPr>
          <w:rFonts w:ascii="Inter" w:hAnsi="Inter" w:cs="Inter"/>
          <w:b/>
          <w:i w:val="0"/>
          <w:color w:val="1C1E2E"/>
          <w:sz w:val="22"/>
        </w:rPr>
        <w:t>20/20, Sobresaliente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</w:t>
      </w:r>
      <w:r>
        <w:rPr>
          <w:rFonts w:ascii="Inter" w:hAnsi="Inter" w:cs="Inter"/>
          <w:b/>
          <w:i w:val="0"/>
          <w:color w:val="1C1E2E"/>
          <w:sz w:val="22"/>
        </w:rPr>
        <w:t>Diploma de Honor del Rector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(15 nov. 2004).</w:t>
      </w:r>
    </w:p>
    <w:p>
      <w:r>
        <w:rPr>
          <w:rFonts w:ascii="Inter" w:hAnsi="Inter" w:cs="Inter"/>
          <w:b/>
          <w:i w:val="0"/>
          <w:color w:val="1C1E2E"/>
          <w:sz w:val="22"/>
        </w:rPr>
        <w:t>Formación metodológica del periodo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acreditada en el expediente: </w:t>
      </w:r>
      <w:r>
        <w:rPr>
          <w:rFonts w:ascii="Inter" w:hAnsi="Inter" w:cs="Inter"/>
          <w:b w:val="0"/>
          <w:i/>
          <w:color w:val="1C1E2E"/>
          <w:sz w:val="22"/>
        </w:rPr>
        <w:t>Diseño de Investigación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(19/20), </w:t>
      </w:r>
      <w:r>
        <w:rPr>
          <w:rFonts w:ascii="Inter" w:hAnsi="Inter" w:cs="Inter"/>
          <w:b w:val="0"/>
          <w:i/>
          <w:color w:val="1C1E2E"/>
          <w:sz w:val="22"/>
        </w:rPr>
        <w:t>Estadística Aplicada a la Investigación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(16/20), </w:t>
      </w:r>
      <w:r>
        <w:rPr>
          <w:rFonts w:ascii="Inter" w:hAnsi="Inter" w:cs="Inter"/>
          <w:b w:val="0"/>
          <w:i/>
          <w:color w:val="1C1E2E"/>
          <w:sz w:val="22"/>
        </w:rPr>
        <w:t>Investigación Cualitativa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(20/20), </w:t>
      </w:r>
      <w:r>
        <w:rPr>
          <w:rFonts w:ascii="Inter" w:hAnsi="Inter" w:cs="Inter"/>
          <w:b w:val="0"/>
          <w:i/>
          <w:color w:val="1C1E2E"/>
          <w:sz w:val="22"/>
        </w:rPr>
        <w:t>Información y Divulgación de la Investigación Socioeducativa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(20/20) y </w:t>
      </w:r>
      <w:r>
        <w:rPr>
          <w:rFonts w:ascii="Inter" w:hAnsi="Inter" w:cs="Inter"/>
          <w:b w:val="0"/>
          <w:i/>
          <w:color w:val="1C1E2E"/>
          <w:sz w:val="22"/>
        </w:rPr>
        <w:t>Desarrollo Curricular e Innovaciones Educativas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(20/20).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Por qué incluir esto.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No es relleno: acredita </w:t>
      </w:r>
      <w:r>
        <w:rPr>
          <w:rFonts w:ascii="Inter" w:hAnsi="Inter" w:cs="Inter"/>
          <w:b/>
          <w:i w:val="0"/>
          <w:color w:val="5B5F77"/>
          <w:sz w:val="21"/>
        </w:rPr>
        <w:t>formación metodológica reglada en investigación educativa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—diseño, estadística, cualitativa y difusión— que sostiene la metodología mixta del plan doctoral. Una comisión que dude de tu base metodológica encuentra aquí la respuesta.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2.2 · Universidad de Oriente (UDO), Núcleo Nueva Esparta · 2005 – 2015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Docencia universitaria y escritura científica</w:t>
      </w:r>
    </w:p>
    <w:p>
      <w:r>
        <w:rPr>
          <w:rFonts w:ascii="Inter" w:hAnsi="Inter" w:cs="Inter"/>
          <w:b/>
          <w:i w:val="0"/>
          <w:color w:val="1C1E2E"/>
          <w:sz w:val="22"/>
        </w:rPr>
        <w:t>Docencia — 1.568 horas acreditadas.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Profesora de </w:t>
      </w:r>
      <w:r>
        <w:rPr>
          <w:rFonts w:ascii="Inter" w:hAnsi="Inter" w:cs="Inter"/>
          <w:b/>
          <w:i w:val="0"/>
          <w:color w:val="1C1E2E"/>
          <w:sz w:val="22"/>
        </w:rPr>
        <w:t>Inglés Científico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titulaciones de ciencias. Docencia de inglés con fines específicos (ESP/EAP) para alumnado de grado en áreas científicas.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 y escritura científica.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Redacción y revisión de contenido científico en inglés para revistas revisadas por pares de alto impacto, en </w:t>
      </w:r>
      <w:r>
        <w:rPr>
          <w:rFonts w:ascii="Inter" w:hAnsi="Inter" w:cs="Inter"/>
          <w:b/>
          <w:i w:val="0"/>
          <w:color w:val="1C1E2E"/>
          <w:sz w:val="22"/>
        </w:rPr>
        <w:t>odontología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</w:t>
      </w:r>
      <w:r>
        <w:rPr>
          <w:rFonts w:ascii="Inter" w:hAnsi="Inter" w:cs="Inter"/>
          <w:b/>
          <w:i w:val="0"/>
          <w:color w:val="1C1E2E"/>
          <w:sz w:val="22"/>
        </w:rPr>
        <w:t>biología marina</w:t>
      </w:r>
      <w:r>
        <w:rPr>
          <w:rFonts w:ascii="Inter" w:hAnsi="Inter" w:cs="Inter"/>
          <w:b w:val="0"/>
          <w:i w:val="0"/>
          <w:color w:val="1C1E2E"/>
          <w:sz w:val="22"/>
        </w:rPr>
        <w:t>. Este trabajo se reconoce en los agradecimientos de: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Sotelo-Casas, R. C., Rodríguez-Troncoso, A. P., Rodríguez-Zaragoza, F. A., Solís-Marín, F. A., Godínez-Domínguez, E., &amp; Cupul-Magaña, A. L. (2019). Spatial-temporal variations in echinoderm diversity within coral communities in a transitional region of the northeast of the eastern Pacific. </w:t>
      </w:r>
      <w:r>
        <w:rPr>
          <w:rFonts w:ascii="Inter" w:hAnsi="Inter" w:cs="Inter"/>
          <w:b w:val="0"/>
          <w:i/>
          <w:color w:val="5B5F77"/>
          <w:sz w:val="21"/>
        </w:rPr>
        <w:t>Estuarine, Coastal and Shelf Science, 227</w:t>
      </w:r>
      <w:r>
        <w:rPr>
          <w:rFonts w:ascii="Inter" w:hAnsi="Inter" w:cs="Inter"/>
          <w:b w:val="0"/>
          <w:i w:val="0"/>
          <w:color w:val="5B5F77"/>
          <w:sz w:val="21"/>
        </w:rPr>
        <w:t>, 106346 — agradecida por «</w:t>
      </w:r>
      <w:r>
        <w:rPr>
          <w:rFonts w:ascii="Inter" w:hAnsi="Inter" w:cs="Inter"/>
          <w:b w:val="0"/>
          <w:i/>
          <w:color w:val="5B5F77"/>
          <w:sz w:val="21"/>
        </w:rPr>
        <w:t>valuable comments on the manuscript's English and scientific content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» (p. 8, como A. Z. Eslava de Morales). </w:t>
      </w:r>
      <w:r>
        <w:rPr>
          <w:rFonts w:ascii="Inter" w:hAnsi="Inter" w:cs="Inter"/>
          <w:b/>
          <w:i w:val="0"/>
          <w:color w:val="5B5F77"/>
          <w:sz w:val="21"/>
        </w:rPr>
        <w:t>[DOC-14]</w:t>
      </w:r>
    </w:p>
    <w:p>
      <w:r>
        <w:rPr>
          <w:rFonts w:ascii="Inter" w:hAnsi="Inter" w:cs="Inter"/>
          <w:b/>
          <w:i w:val="0"/>
          <w:color w:val="1C1E2E"/>
          <w:sz w:val="22"/>
        </w:rPr>
        <w:t>Difusión.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Ponencia </w:t>
      </w:r>
      <w:r>
        <w:rPr>
          <w:rFonts w:ascii="Inter" w:hAnsi="Inter" w:cs="Inter"/>
          <w:b/>
          <w:i w:val="0"/>
          <w:color w:val="1C1E2E"/>
          <w:sz w:val="22"/>
        </w:rPr>
        <w:t>aceptada por arbitraje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presentada, con afiliación a la UDO Núcleo Nueva Esparta, en el </w:t>
      </w:r>
      <w:r>
        <w:rPr>
          <w:rFonts w:ascii="Inter" w:hAnsi="Inter" w:cs="Inter"/>
          <w:b/>
          <w:i w:val="0"/>
          <w:color w:val="1C1E2E"/>
          <w:sz w:val="22"/>
        </w:rPr>
        <w:t>II Congreso Internacional de Educación Superior — «Tendencias y Perspectivas de la Educación Superior en América Latina»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(Asociación de Educadores de Latinoamérica y del Caribe · Universidad de Oriente), Cumaná, 31 jul. – 2 ago. 2008 (ref. CIES/P 048). </w:t>
      </w:r>
      <w:r>
        <w:rPr>
          <w:rFonts w:ascii="Inter" w:hAnsi="Inter" w:cs="Inter"/>
          <w:b/>
          <w:i w:val="0"/>
          <w:color w:val="1C1E2E"/>
          <w:sz w:val="22"/>
        </w:rPr>
        <w:t>[DOC-24]</w:t>
      </w:r>
    </w:p>
    <w:p>
      <w:r>
        <w:rPr>
          <w:rFonts w:ascii="Inter" w:hAnsi="Inter" w:cs="Inter"/>
          <w:b/>
          <w:i w:val="0"/>
          <w:color w:val="1C1E2E"/>
          <w:sz w:val="22"/>
        </w:rPr>
        <w:t>Publicación del periodo previo, arbitrada e indexada: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Eslava Graterol, A. Z. (2005). Estudio sobre el perfil del alumno en Educación Mención Inglés de la ULA-Táchira. </w:t>
      </w:r>
      <w:r>
        <w:rPr>
          <w:rFonts w:ascii="Inter" w:hAnsi="Inter" w:cs="Inter"/>
          <w:b w:val="0"/>
          <w:i/>
          <w:color w:val="5B5F77"/>
          <w:sz w:val="21"/>
        </w:rPr>
        <w:t>Kaleidoscopio, 2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(3), 51–56. Universidad Nacional Experimental de Guayana. ISSN 1690-6054. Indexada en </w:t>
      </w:r>
      <w:r>
        <w:rPr>
          <w:rFonts w:ascii="Inter" w:hAnsi="Inter" w:cs="Inter"/>
          <w:b/>
          <w:i w:val="0"/>
          <w:color w:val="5B5F77"/>
          <w:sz w:val="21"/>
        </w:rPr>
        <w:t>CLASE (UNAM)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.  ·  </w:t>
      </w:r>
      <w:r>
        <w:rPr>
          <w:rFonts w:ascii="Inter" w:hAnsi="Inter" w:cs="Inter"/>
          <w:b/>
          <w:i w:val="0"/>
          <w:color w:val="5B5F77"/>
          <w:sz w:val="21"/>
        </w:rPr>
        <w:t>[DOC-19]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</w:t>
      </w:r>
      <w:r>
        <w:rPr>
          <w:rFonts w:ascii="Inter" w:hAnsi="Inter" w:cs="Inter"/>
          <w:b w:val="0"/>
          <w:i/>
          <w:color w:val="5B5F77"/>
          <w:sz w:val="21"/>
        </w:rPr>
        <w:t>La revista dejó de publicarse en 2015; el registro indexado en CLASE es la evidencia permanente del arbitraje y la publicación.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Cómo leer este periodo.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Docencia de inglés científico </w:t>
      </w:r>
      <w:r>
        <w:rPr>
          <w:rFonts w:ascii="Inter" w:hAnsi="Inter" w:cs="Inter"/>
          <w:b/>
          <w:i w:val="0"/>
          <w:color w:val="5B5F77"/>
          <w:sz w:val="21"/>
        </w:rPr>
        <w:t>y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producción de contenido científico en inglés para publicación internacional, a la vez y durante diez años. Es exactamente el perfil que una tesis sobre escritura académica y evaluación de la competencia lingüística necesita: no solo has enseñado el género, lo has producido y revisado para revistas indexadas.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 xml:space="preserve">2.3 · Instituto Cervantes · desde </w:t>
      </w:r>
      <w:r>
        <w:rPr>
          <w:rFonts w:ascii="Inter" w:hAnsi="Inter" w:cs="Inter"/>
          <w:b/>
          <w:i w:val="0"/>
          <w:color w:val="1C1E2E"/>
          <w:sz w:val="26"/>
        </w:rPr>
        <w:t>[año a confirmar]</w:t>
      </w:r>
    </w:p>
    <w:p>
      <w:r>
        <w:rPr>
          <w:rFonts w:ascii="Inter" w:hAnsi="Inter" w:cs="Inter"/>
          <w:b/>
          <w:i w:val="0"/>
          <w:color w:val="1C1E2E"/>
          <w:sz w:val="22"/>
        </w:rPr>
        <w:t>Tutoría en aula virtual y evaluación oficial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Tutora en AVE Global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el aula virtual de español del Instituto Cervantes: tutorización de aprendices en entorno LMS. </w:t>
      </w:r>
      <w:r>
        <w:rPr>
          <w:rFonts w:ascii="Inter" w:hAnsi="Inter" w:cs="Inter"/>
          <w:b/>
          <w:i w:val="0"/>
          <w:color w:val="1C1E2E"/>
          <w:sz w:val="22"/>
        </w:rPr>
        <w:t>[DOC-18]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Examinadora acreditada DELE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acreditación oficial para </w:t>
      </w:r>
      <w:r>
        <w:rPr>
          <w:rFonts w:ascii="Inter" w:hAnsi="Inter" w:cs="Inter"/>
          <w:b/>
          <w:i w:val="0"/>
          <w:color w:val="1C1E2E"/>
          <w:sz w:val="22"/>
        </w:rPr>
        <w:t>evaluar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el español conforme al MCER. </w:t>
      </w:r>
      <w:r>
        <w:rPr>
          <w:rFonts w:ascii="Inter" w:hAnsi="Inter" w:cs="Inter"/>
          <w:b/>
          <w:i w:val="0"/>
          <w:color w:val="1C1E2E"/>
          <w:sz w:val="22"/>
        </w:rPr>
        <w:t>[DOC-11]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Relevancia directa para la tesis.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La acreditación DELE no es un mérito de idiomas sin más: acredita </w:t>
      </w:r>
      <w:r>
        <w:rPr>
          <w:rFonts w:ascii="Inter" w:hAnsi="Inter" w:cs="Inter"/>
          <w:b/>
          <w:i w:val="0"/>
          <w:color w:val="5B5F77"/>
          <w:sz w:val="21"/>
        </w:rPr>
        <w:t>capacidad de evaluar conforme al MCER</w:t>
      </w:r>
      <w:r>
        <w:rPr>
          <w:rFonts w:ascii="Inter" w:hAnsi="Inter" w:cs="Inter"/>
          <w:b w:val="0"/>
          <w:i w:val="0"/>
          <w:color w:val="5B5F77"/>
          <w:sz w:val="21"/>
        </w:rPr>
        <w:t>, que es el criterio experto sobre el que se validará el Tier 1 del Módulo de Medición. Sitúa a la doctoranda dentro del propio marco de evaluación que la tesis estudia.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2.4 · Práctica profesional en diseño instruccional · octubre 2019 – actualidad</w:t>
      </w:r>
    </w:p>
    <w:p>
      <w:r>
        <w:rPr>
          <w:rFonts w:ascii="Inter" w:hAnsi="Inter" w:cs="Inter"/>
          <w:b/>
          <w:i w:val="0"/>
          <w:color w:val="1C1E2E"/>
          <w:sz w:val="22"/>
        </w:rPr>
        <w:t>Diseño de aprendizaje con evaluación académica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Diseñadora instruccional y arquitecta de eLearning, profesional autónoma (España). Aunque es actividad profesional, produce artefactos </w:t>
      </w:r>
      <w:r>
        <w:rPr>
          <w:rFonts w:ascii="Inter" w:hAnsi="Inter" w:cs="Inter"/>
          <w:b/>
          <w:i w:val="0"/>
          <w:color w:val="1C1E2E"/>
          <w:sz w:val="22"/>
        </w:rPr>
        <w:t>evaluados académicamente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y es el banco de pruebas del método doctoral: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Academic Writing Journey (AWJ)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curso gamificado de inglés académico B2→C1, seis niveles, alineado al MCER. </w:t>
      </w:r>
      <w:r>
        <w:rPr>
          <w:rFonts w:ascii="Inter" w:hAnsi="Inter" w:cs="Inter"/>
          <w:b/>
          <w:i w:val="0"/>
          <w:color w:val="1C1E2E"/>
          <w:sz w:val="22"/>
        </w:rPr>
        <w:t>Calificado 10/10 por diseño inclusivo (UPV, 2026)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cero errores de navegación del alumnado. Agnóstico de plataforma: reconstruido de Canva a Articulate 360 Rise con SCORM/xAPI y desplegado en cuatro familias de LMS. </w:t>
      </w:r>
      <w:r>
        <w:rPr>
          <w:rFonts w:ascii="Inter" w:hAnsi="Inter" w:cs="Inter"/>
          <w:b/>
          <w:i w:val="0"/>
          <w:color w:val="1C1E2E"/>
          <w:sz w:val="22"/>
        </w:rPr>
        <w:t>[DOC-15]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Prototipo mobile-native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(PWA sin conexión, WCAG-AA, mentor de IA que andamia sin dar respuestas) — demo funcional de la fase </w:t>
      </w:r>
      <w:r>
        <w:rPr>
          <w:rFonts w:ascii="Inter" w:hAnsi="Inter" w:cs="Inter"/>
          <w:b w:val="0"/>
          <w:i/>
          <w:color w:val="1C1E2E"/>
          <w:sz w:val="22"/>
        </w:rPr>
        <w:t>Output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del modelo IPO en móvil.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Módulo de Medición en producción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TK Coach («Capi», Talkétika), tutor de inglés de negocios por voz: Tier 1 de extremo a extremo, emitiendo evidencia xAPI a un </w:t>
      </w:r>
      <w:r>
        <w:rPr>
          <w:rFonts w:ascii="Inter" w:hAnsi="Inter" w:cs="Inter"/>
          <w:b/>
          <w:i w:val="0"/>
          <w:color w:val="1C1E2E"/>
          <w:sz w:val="22"/>
        </w:rPr>
        <w:t>LRS conformante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Modelo documentado de gobernanza humano–IA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formalizado en un </w:t>
      </w:r>
      <w:r>
        <w:rPr>
          <w:rFonts w:ascii="Inter" w:hAnsi="Inter" w:cs="Inter"/>
          <w:b w:val="0"/>
          <w:i/>
          <w:color w:val="1C1E2E"/>
          <w:sz w:val="22"/>
        </w:rPr>
        <w:t>High-Level Design Document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el antecedente directo del principio </w:t>
      </w:r>
      <w:r>
        <w:rPr>
          <w:rFonts w:ascii="Inter" w:hAnsi="Inter" w:cs="Inter"/>
          <w:b/>
          <w:i w:val="0"/>
          <w:color w:val="1C1E2E"/>
          <w:sz w:val="22"/>
        </w:rPr>
        <w:t>*Measure ≠ Decide</w:t>
      </w:r>
      <w:r>
        <w:rPr>
          <w:rFonts w:ascii="Inter" w:hAnsi="Inter" w:cs="Inter"/>
          <w:b w:val="0"/>
          <w:i w:val="0"/>
          <w:color w:val="1C1E2E"/>
          <w:sz w:val="22"/>
        </w:rPr>
        <w:t>* de la tesis.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Administradora de Chamilo (LMS) desde 2019</w:t>
      </w:r>
      <w:r>
        <w:rPr>
          <w:rFonts w:ascii="Inter" w:hAnsi="Inter" w:cs="Inter"/>
          <w:b w:val="0"/>
          <w:i w:val="0"/>
          <w:color w:val="1C1E2E"/>
          <w:sz w:val="22"/>
        </w:rPr>
        <w:t>; contenido gamificado en Moodle, Canvas LMS y Chamilo.</w:t>
      </w:r>
    </w:p>
    <w:p>
      <w:pPr>
        <w:pBdr>
          <w:bottom w:val="single" w:sz="6" w:space="1" w:color="E6E8F2"/>
        </w:pBdr>
      </w:pP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2.5 · Universitat Politècnica de València · hasta julio de 2026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 de corpus en lingüística aplicada</w:t>
      </w:r>
    </w:p>
    <w:p>
      <w:r>
        <w:rPr>
          <w:rFonts w:ascii="Inter" w:hAnsi="Inter" w:cs="Inter"/>
          <w:b/>
          <w:i w:val="0"/>
          <w:color w:val="1C1E2E"/>
          <w:sz w:val="22"/>
        </w:rPr>
        <w:t>Máster Universitario en Lenguas y Tecnología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especialidad Didáctica — nota media </w:t>
      </w:r>
      <w:r>
        <w:rPr>
          <w:rFonts w:ascii="Inter" w:hAnsi="Inter" w:cs="Inter"/>
          <w:b/>
          <w:i w:val="0"/>
          <w:color w:val="1C1E2E"/>
          <w:sz w:val="22"/>
        </w:rPr>
        <w:t>9,4/10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</w:t>
      </w:r>
      <w:r>
        <w:rPr>
          <w:rFonts w:ascii="Inter" w:hAnsi="Inter" w:cs="Inter"/>
          <w:b/>
          <w:i w:val="0"/>
          <w:color w:val="1C1E2E"/>
          <w:sz w:val="22"/>
        </w:rPr>
        <w:t>2 Matrículas de Honor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Estudio de corpus sobre </w:t>
      </w:r>
      <w:r>
        <w:rPr>
          <w:rFonts w:ascii="Inter" w:hAnsi="Inter" w:cs="Inter"/>
          <w:b/>
          <w:i w:val="0"/>
          <w:color w:val="1C1E2E"/>
          <w:sz w:val="22"/>
        </w:rPr>
        <w:t>variación disciplinar en el uso del metadiscurso en resúmenes de trabajos de fin de máster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: 180 resúmenes de seis disciplinas (18.000 palabras, 920 marcadores), etiquetado con </w:t>
      </w:r>
      <w:r>
        <w:rPr>
          <w:rFonts w:ascii="Inter" w:hAnsi="Inter" w:cs="Inter"/>
          <w:b/>
          <w:i w:val="0"/>
          <w:color w:val="1C1E2E"/>
          <w:sz w:val="22"/>
        </w:rPr>
        <w:t>METOOL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(Carrió-Pastor, 2020) bajo el marco de </w:t>
      </w:r>
      <w:r>
        <w:rPr>
          <w:rFonts w:ascii="Inter" w:hAnsi="Inter" w:cs="Inter"/>
          <w:b/>
          <w:i w:val="0"/>
          <w:color w:val="1C1E2E"/>
          <w:sz w:val="22"/>
        </w:rPr>
        <w:t>Hyland (2005)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con estadística inferencial (chi-cuadrado, tamaños del efecto, dispersión de Juilland, factores de Bayes) contrastada con Lancaster Stats Tools. </w:t>
      </w:r>
      <w:r>
        <w:rPr>
          <w:rFonts w:ascii="Inter" w:hAnsi="Inter" w:cs="Inter"/>
          <w:b/>
          <w:i w:val="0"/>
          <w:color w:val="1C1E2E"/>
          <w:sz w:val="22"/>
        </w:rPr>
        <w:t>Dirección: Prof.ª Mª Luisa Carrió-Pastor</w:t>
      </w:r>
      <w:r>
        <w:rPr>
          <w:rFonts w:ascii="Inter" w:hAnsi="Inter" w:cs="Inter"/>
          <w:b w:val="0"/>
          <w:i w:val="0"/>
          <w:color w:val="1C1E2E"/>
          <w:sz w:val="22"/>
        </w:rPr>
        <w:t>, Departamento de Lingüística Aplicada.</w:t>
      </w:r>
    </w:p>
    <w:p>
      <w:r>
        <w:rPr>
          <w:rFonts w:ascii="Inter" w:hAnsi="Inter" w:cs="Inter"/>
          <w:b/>
          <w:i w:val="0"/>
          <w:color w:val="1C1E2E"/>
          <w:sz w:val="22"/>
        </w:rPr>
        <w:t>Difusión de resultados.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Libro de datos interactivo de acceso abierto, con vista de tabla en cada gráfico y paleta validada para deficiencias de visión cromática: 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Continuidad con la tesis.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El </w:t>
      </w:r>
      <w:r>
        <w:rPr>
          <w:rFonts w:ascii="Inter" w:hAnsi="Inter" w:cs="Inter"/>
          <w:b/>
          <w:i w:val="0"/>
          <w:color w:val="5B5F77"/>
          <w:sz w:val="21"/>
        </w:rPr>
        <w:t>Objetivo 4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de este TFM es el punto de partida directo de la primera aportación del plan doctoral (escritura y alfabetización en IA). La tesis no cambia de línea: la extiende.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3 · Lectura de conjunto — cómo presentar esta trayectoria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Cuatro rasgos que conviene que una comisión vea de un golpe: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Docencia universitaria certificada, no estimada.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1.568 horas con certificación de servicio, no «más de veinte años» sin más.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Investigación en los dos extremos de la trayectoria.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Un TFG que llegó a revista indexada y a congreso internacional (2004–2008) y un estudio de corpus dirigido en la UPV (2026). No es una vuelta a la investigación después de un paréntesis: es una línea con dos momentos documentados y el mismo objeto de fondo —cómo alinear formación y competencia con un marco verificable.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Escritura científica desde dentro.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Diez años produciendo y revisando texto científico en inglés para revistas de alto impacto, con reconocimiento en Elsevier. Para una tesis sobre escritura académica asistida por LLM, es experiencia de campo.</w:t>
      </w:r>
    </w:p>
    <w:p>
      <w:pPr>
        <w:pStyle w:val="ListNumber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Evaluación acreditada conforme al MCER.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Examinadora DELE del Instituto Cervantes: el criterio experto que la propia tesis usará para validar la medición automática.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4 · Lo que falta confirmar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Año de inicio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tutoría en AVE Global y de la acreditación DELE.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Asignaturas concretas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impartidas en la UDO y titulaciones en que se impartieron (el certificado da las horas; el detalle refuerza).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Categoría docente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la UDO (profesora contratada, instructora, asistente…) — la comisión lo suele pedir.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Si hubo </w:t>
      </w:r>
      <w:r>
        <w:rPr>
          <w:rFonts w:ascii="Inter" w:hAnsi="Inter" w:cs="Inter"/>
          <w:b/>
          <w:i w:val="0"/>
          <w:color w:val="1C1E2E"/>
          <w:sz w:val="22"/>
        </w:rPr>
        <w:t>docencia en la ULA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más allá de las Prácticas Profesionales (preparaduría, ayudantía), acreditarla.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☐ </w:t>
      </w:r>
      <w:r>
        <w:rPr>
          <w:rFonts w:ascii="Inter" w:hAnsi="Inter" w:cs="Inter"/>
          <w:b/>
          <w:i w:val="0"/>
          <w:color w:val="1C1E2E"/>
          <w:sz w:val="22"/>
        </w:rPr>
        <w:t>Curso de inicio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del máster en la UPV.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5 · Las tres versiones que salen de aquí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Destino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Qué usar</w:t>
            </w:r>
          </w:p>
        </w:tc>
        <w:tc>
          <w:tcPr>
            <w:tcW w:type="dxa" w:w="3216"/>
            <w:shd w:val="clear" w:color="auto" w:fill="EEF2FD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22307C"/>
                <w:sz w:val="19"/>
              </w:rPr>
              <w:t>Extensión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CV académico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(§6 Experiencia docente e investigadora)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§2 condensado a un párrafo por periodo, sin las cajas de comentario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~½ página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CV por baremo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(§B.6)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§1 (cifras) + §2 completo, con los códigos DOC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~1½ páginas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Plan de Investigación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 (§3.3, resultados previos de la doctoranda)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§1 + los rasgos 1–4 de §3, en prosa continua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~1 párrafo denso</w:t>
            </w:r>
          </w:p>
        </w:tc>
      </w:tr>
      <w:tr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ORCID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§2 →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Employment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; §2.5 y §2.1 →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Education</w:t>
            </w:r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 xml:space="preserve">; publicaciones → </w:t>
            </w:r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Works</w:t>
            </w:r>
          </w:p>
        </w:tc>
        <w:tc>
          <w:tcPr>
            <w:tcW w:type="dxa" w:w="3216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por campos</w:t>
            </w:r>
          </w:p>
        </w:tc>
      </w:tr>
    </w:tbl>
    <w:p/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Zoraimy Eslava Graterol. Todos los datos proceden de documentación oficial verificada en este expediente. Documento elaborado con asistencia de IA bajo supervisión y verificación humanas.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