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CURRÍCULUM VITAE — ADMISIÓN A DOCTORADO</w:t>
      </w:r>
    </w:p>
    <w:p>
      <w:pPr>
        <w:spacing w:before="320" w:after="120"/>
      </w:pPr>
      <w:r>
        <w:rPr>
          <w:rFonts w:ascii="Fraunces" w:hAnsi="Fraunces" w:cs="Fraunces"/>
          <w:b/>
          <w:i w:val="0"/>
          <w:color w:val="22307C"/>
          <w:sz w:val="32"/>
        </w:rPr>
        <w:t>Ana Eslava-Graterol</w:t>
      </w:r>
    </w:p>
    <w:p>
      <w:r>
        <w:rPr>
          <w:rFonts w:ascii="Inter" w:hAnsi="Inter" w:cs="Inter"/>
          <w:b/>
          <w:i w:val="0"/>
          <w:color w:val="1C1E2E"/>
          <w:sz w:val="22"/>
        </w:rPr>
        <w:t>Programa solicitado:</w:t>
      </w:r>
      <w:r>
        <w:rPr>
          <w:rFonts w:ascii="Inter" w:hAnsi="Inter" w:cs="Inter"/>
          <w:b w:val="0"/>
          <w:i w:val="0"/>
          <w:color w:val="1C1E2E"/>
          <w:sz w:val="22"/>
        </w:rPr>
        <w:t xml:space="preserve"> Programa de Doctorado — Lingüística Aplicada</w:t>
      </w:r>
    </w:p>
    <w:p>
      <w:r>
        <w:rPr>
          <w:rFonts w:ascii="Inter" w:hAnsi="Inter" w:cs="Inter"/>
          <w:b/>
          <w:i w:val="0"/>
          <w:color w:val="1C1E2E"/>
          <w:sz w:val="22"/>
        </w:rPr>
        <w:t>Departamento de Lingüística Aplicada · Universitat Politècnica de València (UPV)</w:t>
      </w:r>
    </w:p>
    <w:p>
      <w:r>
        <w:rPr>
          <w:rFonts w:ascii="Inter" w:hAnsi="Inter" w:cs="Inter"/>
          <w:b/>
          <w:i w:val="0"/>
          <w:color w:val="1C1E2E"/>
          <w:sz w:val="22"/>
        </w:rPr>
        <w:t>Línea de investigación:</w:t>
      </w:r>
      <w:r>
        <w:rPr>
          <w:rFonts w:ascii="Inter" w:hAnsi="Inter" w:cs="Inter"/>
          <w:b w:val="0"/>
          <w:i w:val="0"/>
          <w:color w:val="1C1E2E"/>
          <w:sz w:val="22"/>
        </w:rPr>
        <w:t xml:space="preserve"> Tecnologías del lenguaje y diseño instruccional para el aprendizaje de lenguas</w:t>
      </w:r>
    </w:p>
    <w:p>
      <w:r>
        <w:rPr>
          <w:rFonts w:ascii="Inter" w:hAnsi="Inter" w:cs="Inter"/>
          <w:b/>
          <w:i w:val="0"/>
          <w:color w:val="1C1E2E"/>
          <w:sz w:val="22"/>
        </w:rPr>
        <w:t>Propuesta de tesis:</w:t>
      </w:r>
      <w:r>
        <w:rPr>
          <w:rFonts w:ascii="Inter" w:hAnsi="Inter" w:cs="Inter"/>
          <w:b w:val="0"/>
          <w:i w:val="0"/>
          <w:color w:val="1C1E2E"/>
          <w:sz w:val="22"/>
        </w:rPr>
        <w:t xml:space="preserve"> </w:t>
      </w:r>
      <w:r>
        <w:rPr>
          <w:rFonts w:ascii="Inter" w:hAnsi="Inter" w:cs="Inter"/>
          <w:b w:val="0"/>
          <w:i/>
          <w:color w:val="1C1E2E"/>
          <w:sz w:val="22"/>
        </w:rPr>
        <w:t>MLLDE — Mobile Language Learning Design Environment: método para integrar tutores LLM y literacidad en IA en el diseño curricular CEFR</w:t>
      </w:r>
    </w:p>
    <w:p>
      <w:pPr>
        <w:pBdr>
          <w:left w:val="single" w:sz="18" w:space="8" w:color="9A5B00"/>
        </w:pBdr>
        <w:spacing w:before="120" w:after="200"/>
        <w:ind w:left="317"/>
      </w:pPr>
      <w:r>
        <w:rPr>
          <w:rFonts w:ascii="Inter" w:hAnsi="Inter" w:cs="Inter"/>
          <w:b/>
          <w:i w:val="0"/>
          <w:color w:val="5B5F77"/>
          <w:sz w:val="21"/>
        </w:rPr>
        <w:t>Nota de estructura.</w:t>
      </w:r>
      <w:r>
        <w:rPr>
          <w:rFonts w:ascii="Inter" w:hAnsi="Inter" w:cs="Inter"/>
          <w:b w:val="0"/>
          <w:i w:val="0"/>
          <w:color w:val="5B5F77"/>
          <w:sz w:val="21"/>
        </w:rPr>
        <w:t xml:space="preserve"> Este CV está organizado </w:t>
      </w:r>
      <w:r>
        <w:rPr>
          <w:rFonts w:ascii="Inter" w:hAnsi="Inter" w:cs="Inter"/>
          <w:b/>
          <w:i w:val="0"/>
          <w:color w:val="5B5F77"/>
          <w:sz w:val="21"/>
        </w:rPr>
        <w:t>exactamente según el baremo de la convocatoria</w:t>
      </w:r>
      <w:r>
        <w:rPr>
          <w:rFonts w:ascii="Inter" w:hAnsi="Inter" w:cs="Inter"/>
          <w:b w:val="0"/>
          <w:i w:val="0"/>
          <w:color w:val="5B5F77"/>
          <w:sz w:val="21"/>
        </w:rPr>
        <w:t xml:space="preserve"> (Expediente académico 70% + Otros méritos 30%, con seis méritos de 5% cada uno), de modo que la comisión pueda puntuar cada apartado sin buscar la información. Cada mérito remite a su documento acreditativo mediante un código </w:t>
      </w:r>
      <w:r>
        <w:rPr>
          <w:rFonts w:ascii="Inter" w:hAnsi="Inter" w:cs="Inter"/>
          <w:b/>
          <w:i w:val="0"/>
          <w:color w:val="5B5F77"/>
          <w:sz w:val="21"/>
        </w:rPr>
        <w:t>[DOC-nn]</w:t>
      </w:r>
      <w:r>
        <w:rPr>
          <w:rFonts w:ascii="Inter" w:hAnsi="Inter" w:cs="Inter"/>
          <w:b w:val="0"/>
          <w:i w:val="0"/>
          <w:color w:val="5B5F77"/>
          <w:sz w:val="21"/>
        </w:rPr>
        <w:t xml:space="preserve"> que corresponde al índice del Anexo (§8) y al orden del PDF de documentación.</w:t>
      </w:r>
    </w:p>
    <w:p>
      <w:pPr>
        <w:pBdr>
          <w:bottom w:val="single" w:sz="6" w:space="1" w:color="E6E8F2"/>
        </w:pBdr>
      </w:pPr>
    </w:p>
    <w:p>
      <w:pPr>
        <w:spacing w:before="320" w:after="120"/>
      </w:pPr>
      <w:r>
        <w:rPr>
          <w:rFonts w:ascii="Fraunces" w:hAnsi="Fraunces" w:cs="Fraunces"/>
          <w:b/>
          <w:i w:val="0"/>
          <w:color w:val="22307C"/>
          <w:sz w:val="32"/>
        </w:rPr>
        <w:t>0. Datos de identificación</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Campo</w:t>
            </w:r>
          </w:p>
        </w:tc>
        <w:tc>
          <w:tcPr>
            <w:tcW w:type="dxa" w:w="4824"/>
            <w:shd w:val="clear" w:color="auto" w:fill="EEF2FD"/>
          </w:tcPr>
          <w:p>
            <w:pPr>
              <w:spacing w:after="40"/>
            </w:pPr>
            <w:r/>
            <w:r>
              <w:rPr>
                <w:rFonts w:ascii="Inter" w:hAnsi="Inter" w:cs="Inter"/>
                <w:b/>
                <w:i w:val="0"/>
                <w:color w:val="22307C"/>
                <w:sz w:val="19"/>
              </w:rPr>
              <w:t>Dato</w:t>
            </w:r>
          </w:p>
        </w:tc>
      </w:tr>
      <w:tr>
        <w:tc>
          <w:tcPr>
            <w:tcW w:type="dxa" w:w="4824"/>
          </w:tcPr>
          <w:p>
            <w:pPr>
              <w:spacing w:after="40"/>
            </w:pPr>
            <w:r/>
            <w:r>
              <w:rPr>
                <w:rFonts w:ascii="Inter" w:hAnsi="Inter" w:cs="Inter"/>
                <w:b w:val="0"/>
                <w:i w:val="0"/>
                <w:color w:val="1C1E2E"/>
                <w:sz w:val="19"/>
              </w:rPr>
              <w:t>Nombre y apellidos</w:t>
            </w:r>
          </w:p>
        </w:tc>
        <w:tc>
          <w:tcPr>
            <w:tcW w:type="dxa" w:w="4824"/>
          </w:tcPr>
          <w:p>
            <w:pPr>
              <w:spacing w:after="40"/>
            </w:pPr>
            <w:r/>
            <w:r>
              <w:rPr>
                <w:rFonts w:ascii="Inter" w:hAnsi="Inter" w:cs="Inter"/>
                <w:b/>
                <w:i w:val="0"/>
                <w:color w:val="1C1E2E"/>
                <w:sz w:val="19"/>
              </w:rPr>
              <w:t>Ana Zoraimy Eslava Graterol</w:t>
            </w:r>
          </w:p>
        </w:tc>
      </w:tr>
      <w:tr>
        <w:tc>
          <w:tcPr>
            <w:tcW w:type="dxa" w:w="4824"/>
          </w:tcPr>
          <w:p>
            <w:pPr>
              <w:spacing w:after="40"/>
            </w:pPr>
            <w:r/>
            <w:r>
              <w:rPr>
                <w:rFonts w:ascii="Inter" w:hAnsi="Inter" w:cs="Inter"/>
                <w:b w:val="0"/>
                <w:i w:val="0"/>
                <w:color w:val="1C1E2E"/>
                <w:sz w:val="19"/>
              </w:rPr>
              <w:t>Correo electrónico</w:t>
            </w:r>
          </w:p>
        </w:tc>
        <w:tc>
          <w:tcPr>
            <w:tcW w:type="dxa" w:w="4824"/>
          </w:tcPr>
          <w:p>
            <w:pPr>
              <w:spacing w:after="40"/>
            </w:pPr>
            <w:r/>
            <w:r>
              <w:rPr>
                <w:rFonts w:ascii="Inter" w:hAnsi="Inter" w:cs="Inter"/>
                <w:b w:val="0"/>
                <w:i w:val="0"/>
                <w:color w:val="1C1E2E"/>
                <w:sz w:val="19"/>
              </w:rPr>
              <w:t>profeanaeslava@gmail.com</w:t>
            </w:r>
          </w:p>
        </w:tc>
      </w:tr>
      <w:tr>
        <w:tc>
          <w:tcPr>
            <w:tcW w:type="dxa" w:w="4824"/>
          </w:tcPr>
          <w:p>
            <w:pPr>
              <w:spacing w:after="40"/>
            </w:pPr>
            <w:r/>
            <w:r>
              <w:rPr>
                <w:rFonts w:ascii="Inter" w:hAnsi="Inter" w:cs="Inter"/>
                <w:b w:val="0"/>
                <w:i w:val="0"/>
                <w:color w:val="1C1E2E"/>
                <w:sz w:val="19"/>
              </w:rPr>
              <w:t>Residencia</w:t>
            </w:r>
          </w:p>
        </w:tc>
        <w:tc>
          <w:tcPr>
            <w:tcW w:type="dxa" w:w="4824"/>
          </w:tcPr>
          <w:p>
            <w:pPr>
              <w:spacing w:after="40"/>
            </w:pPr>
            <w:r/>
            <w:r>
              <w:rPr>
                <w:rFonts w:ascii="Inter" w:hAnsi="Inter" w:cs="Inter"/>
                <w:b w:val="0"/>
                <w:i w:val="0"/>
                <w:color w:val="1C1E2E"/>
                <w:sz w:val="19"/>
              </w:rPr>
              <w:t>Valencia, España (disponibilidad inmediata)</w:t>
            </w:r>
          </w:p>
        </w:tc>
      </w:tr>
      <w:tr>
        <w:tc>
          <w:tcPr>
            <w:tcW w:type="dxa" w:w="4824"/>
          </w:tcPr>
          <w:p>
            <w:pPr>
              <w:spacing w:after="40"/>
            </w:pPr>
            <w:r/>
            <w:r>
              <w:rPr>
                <w:rFonts w:ascii="Inter" w:hAnsi="Inter" w:cs="Inter"/>
                <w:b w:val="0"/>
                <w:i w:val="0"/>
                <w:color w:val="1C1E2E"/>
                <w:sz w:val="19"/>
              </w:rPr>
              <w:t>LinkedIn</w:t>
            </w:r>
          </w:p>
        </w:tc>
        <w:tc>
          <w:tcPr>
            <w:tcW w:type="dxa" w:w="4824"/>
          </w:tcPr>
          <w:p>
            <w:pPr>
              <w:spacing w:after="40"/>
            </w:pPr>
            <w:r/>
            <w:r>
              <w:rPr>
                <w:rFonts w:ascii="Inter" w:hAnsi="Inter" w:cs="Inter"/>
                <w:b w:val="0"/>
                <w:i w:val="0"/>
                <w:color w:val="1C1E2E"/>
                <w:sz w:val="19"/>
              </w:rPr>
              <w:t>https://www.linkedin.com/in/anaeslava</w:t>
            </w:r>
          </w:p>
        </w:tc>
      </w:tr>
      <w:tr>
        <w:tc>
          <w:tcPr>
            <w:tcW w:type="dxa" w:w="4824"/>
          </w:tcPr>
          <w:p>
            <w:pPr>
              <w:spacing w:after="40"/>
            </w:pPr>
            <w:r/>
            <w:r>
              <w:rPr>
                <w:rFonts w:ascii="Inter" w:hAnsi="Inter" w:cs="Inter"/>
                <w:b w:val="0"/>
                <w:i w:val="0"/>
                <w:color w:val="1C1E2E"/>
                <w:sz w:val="19"/>
              </w:rPr>
              <w:t>Portafolio EdTech (6 áreas)</w:t>
            </w:r>
          </w:p>
        </w:tc>
        <w:tc>
          <w:tcPr>
            <w:tcW w:type="dxa" w:w="4824"/>
          </w:tcPr>
          <w:p>
            <w:pPr>
              <w:spacing w:after="40"/>
            </w:pPr>
            <w:r/>
            <w:r>
              <w:rPr>
                <w:rFonts w:ascii="Inter" w:hAnsi="Inter" w:cs="Inter"/>
                <w:b w:val="0"/>
                <w:i w:val="0"/>
                <w:color w:val="1C1E2E"/>
                <w:sz w:val="19"/>
              </w:rPr>
              <w:t>https://profeanaeslavaedtech.github.io/eLearningportfolio/</w:t>
            </w:r>
          </w:p>
        </w:tc>
      </w:tr>
      <w:tr>
        <w:tc>
          <w:tcPr>
            <w:tcW w:type="dxa" w:w="4824"/>
          </w:tcPr>
          <w:p>
            <w:pPr>
              <w:spacing w:after="40"/>
            </w:pPr>
            <w:r/>
            <w:r>
              <w:rPr>
                <w:rFonts w:ascii="Inter" w:hAnsi="Inter" w:cs="Inter"/>
                <w:b w:val="0"/>
                <w:i w:val="0"/>
                <w:color w:val="1C1E2E"/>
                <w:sz w:val="19"/>
              </w:rPr>
              <w:t>Portafolio de investigación e ID</w:t>
            </w:r>
          </w:p>
        </w:tc>
        <w:tc>
          <w:tcPr>
            <w:tcW w:type="dxa" w:w="4824"/>
          </w:tcPr>
          <w:p>
            <w:pPr>
              <w:spacing w:after="40"/>
            </w:pPr>
            <w:r/>
            <w:r>
              <w:rPr>
                <w:rFonts w:ascii="Inter" w:hAnsi="Inter" w:cs="Inter"/>
                <w:b w:val="0"/>
                <w:i w:val="0"/>
                <w:color w:val="1C1E2E"/>
                <w:sz w:val="19"/>
              </w:rPr>
              <w:t>https://profeanaeslavaedtech.github.io/portofolio/</w:t>
            </w:r>
          </w:p>
        </w:tc>
      </w:tr>
      <w:tr>
        <w:tc>
          <w:tcPr>
            <w:tcW w:type="dxa" w:w="4824"/>
          </w:tcPr>
          <w:p>
            <w:pPr>
              <w:spacing w:after="40"/>
            </w:pPr>
            <w:r/>
            <w:r>
              <w:rPr>
                <w:rFonts w:ascii="Inter" w:hAnsi="Inter" w:cs="Inter"/>
                <w:b w:val="0"/>
                <w:i w:val="0"/>
                <w:color w:val="1C1E2E"/>
                <w:sz w:val="19"/>
              </w:rPr>
              <w:t>Sitio profesional</w:t>
            </w:r>
          </w:p>
        </w:tc>
        <w:tc>
          <w:tcPr>
            <w:tcW w:type="dxa" w:w="4824"/>
          </w:tcPr>
          <w:p>
            <w:pPr>
              <w:spacing w:after="40"/>
            </w:pPr>
            <w:r/>
            <w:r>
              <w:rPr>
                <w:rFonts w:ascii="Inter" w:hAnsi="Inter" w:cs="Inter"/>
                <w:b w:val="0"/>
                <w:i w:val="0"/>
                <w:color w:val="1C1E2E"/>
                <w:sz w:val="19"/>
              </w:rPr>
              <w:t>https://www.profeanaeslava.com</w:t>
            </w:r>
          </w:p>
        </w:tc>
      </w:tr>
      <w:tr>
        <w:tc>
          <w:tcPr>
            <w:tcW w:type="dxa" w:w="4824"/>
          </w:tcPr>
          <w:p>
            <w:pPr>
              <w:spacing w:after="40"/>
            </w:pPr>
            <w:r/>
            <w:r>
              <w:rPr>
                <w:rFonts w:ascii="Inter" w:hAnsi="Inter" w:cs="Inter"/>
                <w:b w:val="0"/>
                <w:i w:val="0"/>
                <w:color w:val="1C1E2E"/>
                <w:sz w:val="19"/>
              </w:rPr>
              <w:t>Documentación acreditativa</w:t>
            </w:r>
          </w:p>
        </w:tc>
        <w:tc>
          <w:tcPr>
            <w:tcW w:type="dxa" w:w="4824"/>
          </w:tcPr>
          <w:p>
            <w:pPr>
              <w:spacing w:after="40"/>
            </w:pPr>
            <w:r/>
            <w:r>
              <w:rPr>
                <w:rFonts w:ascii="Inter" w:hAnsi="Inter" w:cs="Inter"/>
                <w:b w:val="0"/>
                <w:i w:val="0"/>
                <w:color w:val="1C1E2E"/>
                <w:sz w:val="19"/>
              </w:rPr>
              <w:t>Anexo §8 — un PDF por mérito, numerado [DOC-01]…[DOC-nn]</w:t>
            </w:r>
          </w:p>
        </w:tc>
      </w:tr>
    </w:tbl>
    <w:p/>
    <w:p>
      <w:pPr>
        <w:pBdr>
          <w:bottom w:val="single" w:sz="6" w:space="1" w:color="E6E8F2"/>
        </w:pBdr>
      </w:pPr>
    </w:p>
    <w:p>
      <w:pPr>
        <w:spacing w:before="320" w:after="120"/>
      </w:pPr>
      <w:r>
        <w:rPr>
          <w:rFonts w:ascii="Fraunces" w:hAnsi="Fraunces" w:cs="Fraunces"/>
          <w:b/>
          <w:i w:val="0"/>
          <w:color w:val="22307C"/>
          <w:sz w:val="42"/>
        </w:rPr>
        <w:t xml:space="preserve">BLOQUE A — EXPEDIENTE ACADÉMICO · </w:t>
      </w:r>
      <w:r>
        <w:rPr>
          <w:rFonts w:ascii="Fraunces" w:hAnsi="Fraunces" w:cs="Fraunces"/>
          <w:b/>
          <w:i w:val="0"/>
          <w:color w:val="22307C"/>
          <w:sz w:val="42"/>
        </w:rPr>
        <w:t>70 %</w:t>
      </w:r>
    </w:p>
    <w:p>
      <w:pPr>
        <w:pBdr>
          <w:left w:val="single" w:sz="18" w:space="8" w:color="9A5B00"/>
        </w:pBdr>
        <w:spacing w:before="120" w:after="200"/>
        <w:ind w:left="317"/>
      </w:pPr>
      <w:r>
        <w:rPr>
          <w:rFonts w:ascii="Inter" w:hAnsi="Inter" w:cs="Inter"/>
          <w:b w:val="0"/>
          <w:i w:val="0"/>
          <w:color w:val="5B5F77"/>
          <w:sz w:val="21"/>
        </w:rPr>
        <w:t xml:space="preserve">Este bloque es el de mayor peso. Se aportan </w:t>
      </w:r>
      <w:r>
        <w:rPr>
          <w:rFonts w:ascii="Inter" w:hAnsi="Inter" w:cs="Inter"/>
          <w:b/>
          <w:i w:val="0"/>
          <w:color w:val="5B5F77"/>
          <w:sz w:val="21"/>
        </w:rPr>
        <w:t>certificación académica personal</w:t>
      </w:r>
      <w:r>
        <w:rPr>
          <w:rFonts w:ascii="Inter" w:hAnsi="Inter" w:cs="Inter"/>
          <w:b w:val="0"/>
          <w:i w:val="0"/>
          <w:color w:val="5B5F77"/>
          <w:sz w:val="21"/>
        </w:rPr>
        <w:t xml:space="preserve"> de cada titulación con nota media en escala 0–10 y, para la titulación extranjera, la equivalencia oficial.</w:t>
      </w:r>
    </w:p>
    <w:p>
      <w:pPr>
        <w:spacing w:before="320" w:after="120"/>
      </w:pPr>
      <w:r>
        <w:rPr>
          <w:rFonts w:ascii="Fraunces" w:hAnsi="Fraunces" w:cs="Fraunces"/>
          <w:b/>
          <w:i w:val="0"/>
          <w:color w:val="22307C"/>
          <w:sz w:val="32"/>
        </w:rPr>
        <w:t>A.1 · Máster Universitario en Lenguas y Tecnología — especialidad Didáctica</w:t>
      </w:r>
    </w:p>
    <w:p>
      <w:r>
        <w:rPr>
          <w:rFonts w:ascii="Inter" w:hAnsi="Inter" w:cs="Inter"/>
          <w:b/>
          <w:i w:val="0"/>
          <w:color w:val="1C1E2E"/>
          <w:sz w:val="22"/>
        </w:rPr>
        <w:t>Universitat Politècnica de València (UPV), España — julio de 2026</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Indicador</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i w:val="0"/>
                <w:color w:val="1C1E2E"/>
                <w:sz w:val="19"/>
              </w:rPr>
              <w:t>Nota media del expediente</w:t>
            </w:r>
          </w:p>
        </w:tc>
        <w:tc>
          <w:tcPr>
            <w:tcW w:type="dxa" w:w="4824"/>
          </w:tcPr>
          <w:p>
            <w:pPr>
              <w:spacing w:after="40"/>
            </w:pPr>
            <w:r/>
            <w:r>
              <w:rPr>
                <w:rFonts w:ascii="Inter" w:hAnsi="Inter" w:cs="Inter"/>
                <w:b/>
                <w:i w:val="0"/>
                <w:color w:val="1C1E2E"/>
                <w:sz w:val="19"/>
              </w:rPr>
              <w:t>9,4 / 10</w:t>
            </w:r>
          </w:p>
        </w:tc>
      </w:tr>
      <w:tr>
        <w:tc>
          <w:tcPr>
            <w:tcW w:type="dxa" w:w="4824"/>
          </w:tcPr>
          <w:p>
            <w:pPr>
              <w:spacing w:after="40"/>
            </w:pPr>
            <w:r/>
            <w:r>
              <w:rPr>
                <w:rFonts w:ascii="Inter" w:hAnsi="Inter" w:cs="Inter"/>
                <w:b w:val="0"/>
                <w:i w:val="0"/>
                <w:color w:val="1C1E2E"/>
                <w:sz w:val="19"/>
              </w:rPr>
              <w:t>Matrículas de Honor</w:t>
            </w:r>
          </w:p>
        </w:tc>
        <w:tc>
          <w:tcPr>
            <w:tcW w:type="dxa" w:w="4824"/>
          </w:tcPr>
          <w:p>
            <w:pPr>
              <w:spacing w:after="40"/>
            </w:pPr>
            <w:r/>
            <w:r>
              <w:rPr>
                <w:rFonts w:ascii="Inter" w:hAnsi="Inter" w:cs="Inter"/>
                <w:b/>
                <w:i w:val="0"/>
                <w:color w:val="1C1E2E"/>
                <w:sz w:val="19"/>
              </w:rPr>
              <w:t>2</w:t>
            </w:r>
          </w:p>
        </w:tc>
      </w:tr>
      <w:tr>
        <w:tc>
          <w:tcPr>
            <w:tcW w:type="dxa" w:w="4824"/>
          </w:tcPr>
          <w:p>
            <w:pPr>
              <w:spacing w:after="40"/>
            </w:pPr>
            <w:r/>
            <w:r>
              <w:rPr>
                <w:rFonts w:ascii="Inter" w:hAnsi="Inter" w:cs="Inter"/>
                <w:b w:val="0"/>
                <w:i w:val="0"/>
                <w:color w:val="1C1E2E"/>
                <w:sz w:val="19"/>
              </w:rPr>
              <w:t xml:space="preserve">Calificación del proyecto </w:t>
            </w:r>
            <w:r>
              <w:rPr>
                <w:rFonts w:ascii="Inter" w:hAnsi="Inter" w:cs="Inter"/>
                <w:b w:val="0"/>
                <w:i/>
                <w:color w:val="1C1E2E"/>
                <w:sz w:val="19"/>
              </w:rPr>
              <w:t>Academic Writing Journey</w:t>
            </w:r>
          </w:p>
        </w:tc>
        <w:tc>
          <w:tcPr>
            <w:tcW w:type="dxa" w:w="4824"/>
          </w:tcPr>
          <w:p>
            <w:pPr>
              <w:spacing w:after="40"/>
            </w:pPr>
            <w:r/>
            <w:r>
              <w:rPr>
                <w:rFonts w:ascii="Inter" w:hAnsi="Inter" w:cs="Inter"/>
                <w:b/>
                <w:i w:val="0"/>
                <w:color w:val="1C1E2E"/>
                <w:sz w:val="19"/>
              </w:rPr>
              <w:t>10/10</w:t>
            </w:r>
            <w:r>
              <w:rPr>
                <w:rFonts w:ascii="Inter" w:hAnsi="Inter" w:cs="Inter"/>
                <w:b w:val="0"/>
                <w:i w:val="0"/>
                <w:color w:val="1C1E2E"/>
                <w:sz w:val="19"/>
              </w:rPr>
              <w:t xml:space="preserve"> (asignatura «Simulation, Games and Technology Applied to Teaching Strategies and Research Methodology», Prof. Ricardo Casañ-Pitarch)</w:t>
            </w:r>
          </w:p>
        </w:tc>
      </w:tr>
      <w:tr>
        <w:tc>
          <w:tcPr>
            <w:tcW w:type="dxa" w:w="4824"/>
          </w:tcPr>
          <w:p>
            <w:pPr>
              <w:spacing w:after="40"/>
            </w:pPr>
            <w:r/>
            <w:r>
              <w:rPr>
                <w:rFonts w:ascii="Inter" w:hAnsi="Inter" w:cs="Inter"/>
                <w:b w:val="0"/>
                <w:i w:val="0"/>
                <w:color w:val="1C1E2E"/>
                <w:sz w:val="19"/>
              </w:rPr>
              <w:t>Acreditación</w:t>
            </w:r>
          </w:p>
        </w:tc>
        <w:tc>
          <w:tcPr>
            <w:tcW w:type="dxa" w:w="4824"/>
          </w:tcPr>
          <w:p>
            <w:pPr>
              <w:spacing w:after="40"/>
            </w:pPr>
            <w:r/>
            <w:r>
              <w:rPr>
                <w:rFonts w:ascii="Inter" w:hAnsi="Inter" w:cs="Inter"/>
                <w:b w:val="0"/>
                <w:i w:val="0"/>
                <w:color w:val="1C1E2E"/>
                <w:sz w:val="19"/>
              </w:rPr>
              <w:t xml:space="preserve">Certificación académica personal UPV </w:t>
            </w:r>
            <w:r>
              <w:rPr>
                <w:rFonts w:ascii="Inter" w:hAnsi="Inter" w:cs="Inter"/>
                <w:b/>
                <w:i w:val="0"/>
                <w:color w:val="1C1E2E"/>
                <w:sz w:val="19"/>
              </w:rPr>
              <w:t>[DOC-01]</w:t>
            </w:r>
            <w:r>
              <w:rPr>
                <w:rFonts w:ascii="Inter" w:hAnsi="Inter" w:cs="Inter"/>
                <w:b w:val="0"/>
                <w:i w:val="0"/>
                <w:color w:val="1C1E2E"/>
                <w:sz w:val="19"/>
              </w:rPr>
              <w:t xml:space="preserve"> · Título o resguardo </w:t>
            </w:r>
            <w:r>
              <w:rPr>
                <w:rFonts w:ascii="Inter" w:hAnsi="Inter" w:cs="Inter"/>
                <w:b/>
                <w:i w:val="0"/>
                <w:color w:val="1C1E2E"/>
                <w:sz w:val="19"/>
              </w:rPr>
              <w:t>[DOC-02]</w:t>
            </w:r>
          </w:p>
        </w:tc>
      </w:tr>
    </w:tbl>
    <w:p/>
    <w:p>
      <w:r>
        <w:rPr>
          <w:rFonts w:ascii="Inter" w:hAnsi="Inter" w:cs="Inter"/>
          <w:b/>
          <w:i w:val="0"/>
          <w:color w:val="1C1E2E"/>
          <w:sz w:val="22"/>
        </w:rPr>
        <w:t>Relevancia para el doctorado.</w:t>
      </w:r>
      <w:r>
        <w:rPr>
          <w:rFonts w:ascii="Inter" w:hAnsi="Inter" w:cs="Inter"/>
          <w:b w:val="0"/>
          <w:i w:val="0"/>
          <w:color w:val="1C1E2E"/>
          <w:sz w:val="22"/>
        </w:rPr>
        <w:t xml:space="preserve"> El máster es la titulación de acceso directo al programa y sitúa el expediente en el tramo superior de la escala. La especialidad de Didáctica y el Departamento de Lingüística Aplicada de la UPV son exactamente el marco en el que se inscribe la propuesta de tesis (MLLDE), lo que garantiza continuidad metodológica y de dirección.</w:t>
      </w:r>
    </w:p>
    <w:p>
      <w:pPr>
        <w:spacing w:before="320" w:after="120"/>
      </w:pPr>
      <w:r>
        <w:rPr>
          <w:rFonts w:ascii="Fraunces" w:hAnsi="Fraunces" w:cs="Fraunces"/>
          <w:b/>
          <w:i w:val="0"/>
          <w:color w:val="22307C"/>
          <w:sz w:val="32"/>
        </w:rPr>
        <w:t>A.2 · Licenciada en Educación, mención Inglés</w:t>
      </w:r>
    </w:p>
    <w:p>
      <w:r>
        <w:rPr>
          <w:rFonts w:ascii="Inter" w:hAnsi="Inter" w:cs="Inter"/>
          <w:b/>
          <w:i w:val="0"/>
          <w:color w:val="1C1E2E"/>
          <w:sz w:val="22"/>
        </w:rPr>
        <w:t>Universidad de Los Andes (ULA) — Núcleo Universitario «Dr. Pedro Rincón Gutiérrez», San Cristóbal, Táchira, Venezuela</w:t>
      </w:r>
    </w:p>
    <w:p>
      <w:r>
        <w:rPr>
          <w:rFonts w:ascii="Inter" w:hAnsi="Inter" w:cs="Inter"/>
          <w:b/>
          <w:i w:val="0"/>
          <w:color w:val="1C1E2E"/>
          <w:sz w:val="22"/>
        </w:rPr>
        <w:t>Estudios 1999–2003 · egresada en el período lectivo U-2003 · grado conferido en 2004</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Indicador</w:t>
            </w:r>
          </w:p>
        </w:tc>
        <w:tc>
          <w:tcPr>
            <w:tcW w:type="dxa" w:w="3216"/>
            <w:shd w:val="clear" w:color="auto" w:fill="EEF2FD"/>
          </w:tcPr>
          <w:p>
            <w:pPr>
              <w:spacing w:after="40"/>
            </w:pPr>
            <w:r/>
            <w:r>
              <w:rPr>
                <w:rFonts w:ascii="Inter" w:hAnsi="Inter" w:cs="Inter"/>
                <w:b/>
                <w:i w:val="0"/>
                <w:color w:val="22307C"/>
                <w:sz w:val="19"/>
              </w:rPr>
              <w:t>Valor</w:t>
            </w:r>
          </w:p>
        </w:tc>
        <w:tc>
          <w:tcPr>
            <w:tcW w:type="dxa" w:w="3216"/>
            <w:shd w:val="clear" w:color="auto" w:fill="EEF2FD"/>
          </w:tcPr>
          <w:p>
            <w:pPr>
              <w:spacing w:after="40"/>
            </w:pPr>
            <w:r/>
            <w:r>
              <w:rPr>
                <w:rFonts w:ascii="Inter" w:hAnsi="Inter" w:cs="Inter"/>
                <w:b/>
                <w:i w:val="0"/>
                <w:color w:val="22307C"/>
                <w:sz w:val="19"/>
              </w:rPr>
              <w:t>Fuente</w:t>
            </w:r>
          </w:p>
        </w:tc>
      </w:tr>
      <w:tr>
        <w:tc>
          <w:tcPr>
            <w:tcW w:type="dxa" w:w="3216"/>
          </w:tcPr>
          <w:p>
            <w:pPr>
              <w:spacing w:after="40"/>
            </w:pPr>
            <w:r/>
            <w:r>
              <w:rPr>
                <w:rFonts w:ascii="Inter" w:hAnsi="Inter" w:cs="Inter"/>
                <w:b/>
                <w:i w:val="0"/>
                <w:color w:val="1C1E2E"/>
                <w:sz w:val="19"/>
              </w:rPr>
              <w:t>Nota media equivalente en la escala española</w:t>
            </w:r>
          </w:p>
        </w:tc>
        <w:tc>
          <w:tcPr>
            <w:tcW w:type="dxa" w:w="3216"/>
          </w:tcPr>
          <w:p>
            <w:pPr>
              <w:spacing w:after="40"/>
            </w:pPr>
            <w:r/>
            <w:r>
              <w:rPr>
                <w:rFonts w:ascii="Inter" w:hAnsi="Inter" w:cs="Inter"/>
                <w:b/>
                <w:i w:val="0"/>
                <w:color w:val="1C1E2E"/>
                <w:sz w:val="19"/>
              </w:rPr>
              <w:t>9,07 / 10</w:t>
            </w:r>
          </w:p>
        </w:tc>
        <w:tc>
          <w:tcPr>
            <w:tcW w:type="dxa" w:w="3216"/>
          </w:tcPr>
          <w:p>
            <w:pPr>
              <w:spacing w:after="40"/>
            </w:pPr>
            <w:r/>
            <w:r>
              <w:rPr>
                <w:rFonts w:ascii="Inter" w:hAnsi="Inter" w:cs="Inter"/>
                <w:b w:val="0"/>
                <w:i w:val="0"/>
                <w:color w:val="1C1E2E"/>
                <w:sz w:val="19"/>
              </w:rPr>
              <w:t xml:space="preserve">Declaración de equivalencia — Secretaría General de Universidades </w:t>
            </w:r>
            <w:r>
              <w:rPr>
                <w:rFonts w:ascii="Inter" w:hAnsi="Inter" w:cs="Inter"/>
                <w:b/>
                <w:i w:val="0"/>
                <w:color w:val="1C1E2E"/>
                <w:sz w:val="19"/>
              </w:rPr>
              <w:t>[DOC-05]</w:t>
            </w:r>
          </w:p>
        </w:tc>
      </w:tr>
      <w:tr>
        <w:tc>
          <w:tcPr>
            <w:tcW w:type="dxa" w:w="3216"/>
          </w:tcPr>
          <w:p>
            <w:pPr>
              <w:spacing w:after="40"/>
            </w:pPr>
            <w:r/>
            <w:r>
              <w:rPr>
                <w:rFonts w:ascii="Inter" w:hAnsi="Inter" w:cs="Inter"/>
                <w:b w:val="0"/>
                <w:i w:val="0"/>
                <w:color w:val="1C1E2E"/>
                <w:sz w:val="19"/>
              </w:rPr>
              <w:t>Nota media en la escala de origen</w:t>
            </w:r>
          </w:p>
        </w:tc>
        <w:tc>
          <w:tcPr>
            <w:tcW w:type="dxa" w:w="3216"/>
          </w:tcPr>
          <w:p>
            <w:pPr>
              <w:spacing w:after="40"/>
            </w:pPr>
            <w:r/>
            <w:r>
              <w:rPr>
                <w:rFonts w:ascii="Inter" w:hAnsi="Inter" w:cs="Inter"/>
                <w:b/>
                <w:i w:val="0"/>
                <w:color w:val="1C1E2E"/>
                <w:sz w:val="19"/>
              </w:rPr>
              <w:t>18,97 / 20</w:t>
            </w:r>
            <w:r>
              <w:rPr>
                <w:rFonts w:ascii="Inter" w:hAnsi="Inter" w:cs="Inter"/>
                <w:b w:val="0"/>
                <w:i w:val="0"/>
                <w:color w:val="1C1E2E"/>
                <w:sz w:val="19"/>
              </w:rPr>
              <w:t xml:space="preserve"> (escala venezolana 0–20, aprobado ≥ 10)</w:t>
            </w:r>
          </w:p>
        </w:tc>
        <w:tc>
          <w:tcPr>
            <w:tcW w:type="dxa" w:w="3216"/>
          </w:tcPr>
          <w:p>
            <w:pPr>
              <w:spacing w:after="40"/>
            </w:pPr>
            <w:r/>
            <w:r>
              <w:rPr>
                <w:rFonts w:ascii="Inter" w:hAnsi="Inter" w:cs="Inter"/>
                <w:b w:val="0"/>
                <w:i w:val="0"/>
                <w:color w:val="1C1E2E"/>
                <w:sz w:val="19"/>
              </w:rPr>
              <w:t xml:space="preserve">Constancia de Rango Académico </w:t>
            </w:r>
            <w:r>
              <w:rPr>
                <w:rFonts w:ascii="Inter" w:hAnsi="Inter" w:cs="Inter"/>
                <w:b/>
                <w:i w:val="0"/>
                <w:color w:val="1C1E2E"/>
                <w:sz w:val="19"/>
              </w:rPr>
              <w:t>[DOC-06]</w:t>
            </w:r>
          </w:p>
        </w:tc>
      </w:tr>
      <w:tr>
        <w:tc>
          <w:tcPr>
            <w:tcW w:type="dxa" w:w="3216"/>
          </w:tcPr>
          <w:p>
            <w:pPr>
              <w:spacing w:after="40"/>
            </w:pPr>
            <w:r/>
            <w:r>
              <w:rPr>
                <w:rFonts w:ascii="Inter" w:hAnsi="Inter" w:cs="Inter"/>
                <w:b/>
                <w:i w:val="0"/>
                <w:color w:val="1C1E2E"/>
                <w:sz w:val="19"/>
              </w:rPr>
              <w:t>Posición en la promoción</w:t>
            </w:r>
          </w:p>
        </w:tc>
        <w:tc>
          <w:tcPr>
            <w:tcW w:type="dxa" w:w="3216"/>
          </w:tcPr>
          <w:p>
            <w:pPr>
              <w:spacing w:after="40"/>
            </w:pPr>
            <w:r/>
            <w:r>
              <w:rPr>
                <w:rFonts w:ascii="Inter" w:hAnsi="Inter" w:cs="Inter"/>
                <w:b/>
                <w:i w:val="0"/>
                <w:color w:val="1C1E2E"/>
                <w:sz w:val="19"/>
              </w:rPr>
              <w:t>1.º de 56 graduandos</w:t>
            </w:r>
            <w:r>
              <w:rPr>
                <w:rFonts w:ascii="Inter" w:hAnsi="Inter" w:cs="Inter"/>
                <w:b w:val="0"/>
                <w:i w:val="0"/>
                <w:color w:val="1C1E2E"/>
                <w:sz w:val="19"/>
              </w:rPr>
              <w:t xml:space="preserve"> — promedio de la promoción: 15,77</w:t>
            </w:r>
          </w:p>
        </w:tc>
        <w:tc>
          <w:tcPr>
            <w:tcW w:type="dxa" w:w="3216"/>
          </w:tcPr>
          <w:p>
            <w:pPr>
              <w:spacing w:after="40"/>
            </w:pPr>
            <w:r/>
            <w:r>
              <w:rPr>
                <w:rFonts w:ascii="Inter" w:hAnsi="Inter" w:cs="Inter"/>
                <w:b w:val="0"/>
                <w:i w:val="0"/>
                <w:color w:val="1C1E2E"/>
                <w:sz w:val="19"/>
              </w:rPr>
              <w:t xml:space="preserve">Constancia de Rango Académico </w:t>
            </w:r>
            <w:r>
              <w:rPr>
                <w:rFonts w:ascii="Inter" w:hAnsi="Inter" w:cs="Inter"/>
                <w:b/>
                <w:i w:val="0"/>
                <w:color w:val="1C1E2E"/>
                <w:sz w:val="19"/>
              </w:rPr>
              <w:t>[DOC-06]</w:t>
            </w:r>
          </w:p>
        </w:tc>
      </w:tr>
      <w:tr>
        <w:tc>
          <w:tcPr>
            <w:tcW w:type="dxa" w:w="3216"/>
          </w:tcPr>
          <w:p>
            <w:pPr>
              <w:spacing w:after="40"/>
            </w:pPr>
            <w:r/>
            <w:r>
              <w:rPr>
                <w:rFonts w:ascii="Inter" w:hAnsi="Inter" w:cs="Inter"/>
                <w:b w:val="0"/>
                <w:i w:val="0"/>
                <w:color w:val="1C1E2E"/>
                <w:sz w:val="19"/>
              </w:rPr>
              <w:t>Distribución de calificaciones</w:t>
            </w:r>
          </w:p>
        </w:tc>
        <w:tc>
          <w:tcPr>
            <w:tcW w:type="dxa" w:w="3216"/>
          </w:tcPr>
          <w:p>
            <w:pPr>
              <w:spacing w:after="40"/>
            </w:pPr>
            <w:r/>
            <w:r>
              <w:rPr>
                <w:rFonts w:ascii="Inter" w:hAnsi="Inter" w:cs="Inter"/>
                <w:b w:val="0"/>
                <w:i w:val="0"/>
                <w:color w:val="1C1E2E"/>
                <w:sz w:val="19"/>
              </w:rPr>
              <w:t xml:space="preserve">0 % aprobado · 28,45 % notable · </w:t>
            </w:r>
            <w:r>
              <w:rPr>
                <w:rFonts w:ascii="Inter" w:hAnsi="Inter" w:cs="Inter"/>
                <w:b/>
                <w:i w:val="0"/>
                <w:color w:val="1C1E2E"/>
                <w:sz w:val="19"/>
              </w:rPr>
              <w:t>38,79 % sobresaliente</w:t>
            </w:r>
            <w:r>
              <w:rPr>
                <w:rFonts w:ascii="Inter" w:hAnsi="Inter" w:cs="Inter"/>
                <w:b w:val="0"/>
                <w:i w:val="0"/>
                <w:color w:val="1C1E2E"/>
                <w:sz w:val="19"/>
              </w:rPr>
              <w:t xml:space="preserve"> · </w:t>
            </w:r>
            <w:r>
              <w:rPr>
                <w:rFonts w:ascii="Inter" w:hAnsi="Inter" w:cs="Inter"/>
                <w:b/>
                <w:i w:val="0"/>
                <w:color w:val="1C1E2E"/>
                <w:sz w:val="19"/>
              </w:rPr>
              <w:t>32,76 % matrícula de honor</w:t>
            </w:r>
          </w:p>
        </w:tc>
        <w:tc>
          <w:tcPr>
            <w:tcW w:type="dxa" w:w="3216"/>
          </w:tcPr>
          <w:p>
            <w:pPr>
              <w:spacing w:after="40"/>
            </w:pPr>
            <w:r/>
            <w:r>
              <w:rPr>
                <w:rFonts w:ascii="Inter" w:hAnsi="Inter" w:cs="Inter"/>
                <w:b w:val="0"/>
                <w:i w:val="0"/>
                <w:color w:val="1C1E2E"/>
                <w:sz w:val="19"/>
              </w:rPr>
              <w:t xml:space="preserve">Declaración de equivalencia </w:t>
            </w:r>
            <w:r>
              <w:rPr>
                <w:rFonts w:ascii="Inter" w:hAnsi="Inter" w:cs="Inter"/>
                <w:b/>
                <w:i w:val="0"/>
                <w:color w:val="1C1E2E"/>
                <w:sz w:val="19"/>
              </w:rPr>
              <w:t>[DOC-05]</w:t>
            </w:r>
          </w:p>
        </w:tc>
      </w:tr>
      <w:tr>
        <w:tc>
          <w:tcPr>
            <w:tcW w:type="dxa" w:w="3216"/>
          </w:tcPr>
          <w:p>
            <w:pPr>
              <w:spacing w:after="40"/>
            </w:pPr>
            <w:r/>
            <w:r>
              <w:rPr>
                <w:rFonts w:ascii="Inter" w:hAnsi="Inter" w:cs="Inter"/>
                <w:b w:val="0"/>
                <w:i w:val="0"/>
                <w:color w:val="1C1E2E"/>
                <w:sz w:val="19"/>
              </w:rPr>
              <w:t>Volumen del expediente</w:t>
            </w:r>
          </w:p>
        </w:tc>
        <w:tc>
          <w:tcPr>
            <w:tcW w:type="dxa" w:w="3216"/>
          </w:tcPr>
          <w:p>
            <w:pPr>
              <w:spacing w:after="40"/>
            </w:pPr>
            <w:r/>
            <w:r>
              <w:rPr>
                <w:rFonts w:ascii="Inter" w:hAnsi="Inter" w:cs="Inter"/>
                <w:b w:val="0"/>
                <w:i w:val="0"/>
                <w:color w:val="1C1E2E"/>
                <w:sz w:val="19"/>
              </w:rPr>
              <w:t>119 asignaturas/créditos (116 con calificación)</w:t>
            </w:r>
          </w:p>
        </w:tc>
        <w:tc>
          <w:tcPr>
            <w:tcW w:type="dxa" w:w="3216"/>
          </w:tcPr>
          <w:p>
            <w:pPr>
              <w:spacing w:after="40"/>
            </w:pPr>
            <w:r/>
            <w:r>
              <w:rPr>
                <w:rFonts w:ascii="Inter" w:hAnsi="Inter" w:cs="Inter"/>
                <w:b w:val="0"/>
                <w:i w:val="0"/>
                <w:color w:val="1C1E2E"/>
                <w:sz w:val="19"/>
              </w:rPr>
              <w:t xml:space="preserve">Declaración de equivalencia </w:t>
            </w:r>
            <w:r>
              <w:rPr>
                <w:rFonts w:ascii="Inter" w:hAnsi="Inter" w:cs="Inter"/>
                <w:b/>
                <w:i w:val="0"/>
                <w:color w:val="1C1E2E"/>
                <w:sz w:val="19"/>
              </w:rPr>
              <w:t>[DOC-05]</w:t>
            </w:r>
          </w:p>
        </w:tc>
      </w:tr>
      <w:tr>
        <w:tc>
          <w:tcPr>
            <w:tcW w:type="dxa" w:w="3216"/>
          </w:tcPr>
          <w:p>
            <w:pPr>
              <w:spacing w:after="40"/>
            </w:pPr>
            <w:r/>
            <w:r>
              <w:rPr>
                <w:rFonts w:ascii="Inter" w:hAnsi="Inter" w:cs="Inter"/>
                <w:b/>
                <w:i w:val="0"/>
                <w:color w:val="1C1E2E"/>
                <w:sz w:val="19"/>
              </w:rPr>
              <w:t>Equivalencia del título</w:t>
            </w:r>
          </w:p>
        </w:tc>
        <w:tc>
          <w:tcPr>
            <w:tcW w:type="dxa" w:w="3216"/>
          </w:tcPr>
          <w:p>
            <w:pPr>
              <w:spacing w:after="40"/>
            </w:pPr>
            <w:r/>
            <w:r>
              <w:rPr>
                <w:rFonts w:ascii="Inter" w:hAnsi="Inter" w:cs="Inter"/>
                <w:b/>
                <w:i w:val="0"/>
                <w:color w:val="1C1E2E"/>
                <w:sz w:val="19"/>
              </w:rPr>
              <w:t>Declarada al nivel académico de GRADO</w:t>
            </w:r>
            <w:r>
              <w:rPr>
                <w:rFonts w:ascii="Inter" w:hAnsi="Inter" w:cs="Inter"/>
                <w:b w:val="0"/>
                <w:i w:val="0"/>
                <w:color w:val="1C1E2E"/>
                <w:sz w:val="19"/>
              </w:rPr>
              <w:t xml:space="preserve">, rama de </w:t>
            </w:r>
            <w:r>
              <w:rPr>
                <w:rFonts w:ascii="Inter" w:hAnsi="Inter" w:cs="Inter"/>
                <w:b/>
                <w:i w:val="0"/>
                <w:color w:val="1C1E2E"/>
                <w:sz w:val="19"/>
              </w:rPr>
              <w:t>Artes y Humanidades</w:t>
            </w:r>
            <w:r>
              <w:rPr>
                <w:rFonts w:ascii="Inter" w:hAnsi="Inter" w:cs="Inter"/>
                <w:b w:val="0"/>
                <w:i w:val="0"/>
                <w:color w:val="1C1E2E"/>
                <w:sz w:val="19"/>
              </w:rPr>
              <w:t xml:space="preserve">, campo específico </w:t>
            </w:r>
            <w:r>
              <w:rPr>
                <w:rFonts w:ascii="Inter" w:hAnsi="Inter" w:cs="Inter"/>
                <w:b/>
                <w:i w:val="0"/>
                <w:color w:val="1C1E2E"/>
                <w:sz w:val="19"/>
              </w:rPr>
              <w:t>Idiomas</w:t>
            </w:r>
            <w:r>
              <w:rPr>
                <w:rFonts w:ascii="Inter" w:hAnsi="Inter" w:cs="Inter"/>
                <w:b w:val="0"/>
                <w:i w:val="0"/>
                <w:color w:val="1C1E2E"/>
                <w:sz w:val="19"/>
              </w:rPr>
              <w:t xml:space="preserve"> — Ministerio de Universidades, RD 967/2014, Madrid, 17 de junio de 2020</w:t>
            </w:r>
          </w:p>
        </w:tc>
        <w:tc>
          <w:tcPr>
            <w:tcW w:type="dxa" w:w="3216"/>
          </w:tcPr>
          <w:p>
            <w:pPr>
              <w:spacing w:after="40"/>
            </w:pPr>
            <w:r/>
            <w:r>
              <w:rPr>
                <w:rFonts w:ascii="Inter" w:hAnsi="Inter" w:cs="Inter"/>
                <w:b w:val="0"/>
                <w:i w:val="0"/>
                <w:color w:val="1C1E2E"/>
                <w:sz w:val="19"/>
              </w:rPr>
              <w:t xml:space="preserve">Resolución de equivalencia </w:t>
            </w:r>
            <w:r>
              <w:rPr>
                <w:rFonts w:ascii="Inter" w:hAnsi="Inter" w:cs="Inter"/>
                <w:b/>
                <w:i w:val="0"/>
                <w:color w:val="1C1E2E"/>
                <w:sz w:val="19"/>
              </w:rPr>
              <w:t>[DOC-05B]</w:t>
            </w:r>
          </w:p>
        </w:tc>
      </w:tr>
      <w:tr>
        <w:tc>
          <w:tcPr>
            <w:tcW w:type="dxa" w:w="3216"/>
          </w:tcPr>
          <w:p>
            <w:pPr>
              <w:spacing w:after="40"/>
            </w:pPr>
            <w:r/>
            <w:r>
              <w:rPr>
                <w:rFonts w:ascii="Inter" w:hAnsi="Inter" w:cs="Inter"/>
                <w:b w:val="0"/>
                <w:i w:val="0"/>
                <w:color w:val="1C1E2E"/>
                <w:sz w:val="19"/>
              </w:rPr>
              <w:t>Rama de conocimiento · ISCED</w:t>
            </w:r>
          </w:p>
        </w:tc>
        <w:tc>
          <w:tcPr>
            <w:tcW w:type="dxa" w:w="3216"/>
          </w:tcPr>
          <w:p>
            <w:pPr>
              <w:spacing w:after="40"/>
            </w:pPr>
            <w:r/>
            <w:r>
              <w:rPr>
                <w:rFonts w:ascii="Inter" w:hAnsi="Inter" w:cs="Inter"/>
                <w:b w:val="0"/>
                <w:i w:val="0"/>
                <w:color w:val="1C1E2E"/>
                <w:sz w:val="19"/>
              </w:rPr>
              <w:t xml:space="preserve">Artes y Humanidades / Idiomas (resolución del título) · ISCED </w:t>
            </w:r>
            <w:r>
              <w:rPr>
                <w:rFonts w:ascii="Inter" w:hAnsi="Inter" w:cs="Inter"/>
                <w:b/>
                <w:i w:val="0"/>
                <w:color w:val="1C1E2E"/>
                <w:sz w:val="19"/>
              </w:rPr>
              <w:t>0114</w:t>
            </w:r>
            <w:r>
              <w:rPr>
                <w:rFonts w:ascii="Inter" w:hAnsi="Inter" w:cs="Inter"/>
                <w:b w:val="0"/>
                <w:i w:val="0"/>
                <w:color w:val="1C1E2E"/>
                <w:sz w:val="19"/>
              </w:rPr>
              <w:t>, formación de docentes (formulario de nota media)</w:t>
            </w:r>
          </w:p>
        </w:tc>
        <w:tc>
          <w:tcPr>
            <w:tcW w:type="dxa" w:w="3216"/>
          </w:tcPr>
          <w:p>
            <w:pPr>
              <w:spacing w:after="40"/>
            </w:pPr>
            <w:r/>
            <w:r>
              <w:rPr>
                <w:rFonts w:ascii="Inter" w:hAnsi="Inter" w:cs="Inter"/>
                <w:b/>
                <w:i w:val="0"/>
                <w:color w:val="1C1E2E"/>
                <w:sz w:val="19"/>
              </w:rPr>
              <w:t>[DOC-05B]</w:t>
            </w:r>
            <w:r>
              <w:rPr>
                <w:rFonts w:ascii="Inter" w:hAnsi="Inter" w:cs="Inter"/>
                <w:b w:val="0"/>
                <w:i w:val="0"/>
                <w:color w:val="1C1E2E"/>
                <w:sz w:val="19"/>
              </w:rPr>
              <w:t xml:space="preserve"> · </w:t>
            </w:r>
            <w:r>
              <w:rPr>
                <w:rFonts w:ascii="Inter" w:hAnsi="Inter" w:cs="Inter"/>
                <w:b/>
                <w:i w:val="0"/>
                <w:color w:val="1C1E2E"/>
                <w:sz w:val="19"/>
              </w:rPr>
              <w:t>[DOC-05]</w:t>
            </w:r>
          </w:p>
        </w:tc>
      </w:tr>
      <w:tr>
        <w:tc>
          <w:tcPr>
            <w:tcW w:type="dxa" w:w="3216"/>
          </w:tcPr>
          <w:p>
            <w:pPr>
              <w:spacing w:after="40"/>
            </w:pPr>
            <w:r/>
            <w:r>
              <w:rPr>
                <w:rFonts w:ascii="Inter" w:hAnsi="Inter" w:cs="Inter"/>
                <w:b w:val="0"/>
                <w:i w:val="0"/>
                <w:color w:val="1C1E2E"/>
                <w:sz w:val="19"/>
              </w:rPr>
              <w:t>Distinción académica</w:t>
            </w:r>
          </w:p>
        </w:tc>
        <w:tc>
          <w:tcPr>
            <w:tcW w:type="dxa" w:w="3216"/>
          </w:tcPr>
          <w:p>
            <w:pPr>
              <w:spacing w:after="40"/>
            </w:pPr>
            <w:r/>
            <w:r>
              <w:rPr>
                <w:rFonts w:ascii="Inter" w:hAnsi="Inter" w:cs="Inter"/>
                <w:b/>
                <w:i w:val="0"/>
                <w:color w:val="1C1E2E"/>
                <w:sz w:val="19"/>
              </w:rPr>
              <w:t>Summa Cum Laude</w:t>
            </w:r>
          </w:p>
        </w:tc>
        <w:tc>
          <w:tcPr>
            <w:tcW w:type="dxa" w:w="3216"/>
          </w:tcPr>
          <w:p>
            <w:pPr>
              <w:spacing w:after="40"/>
            </w:pPr>
            <w:r/>
            <w:r>
              <w:rPr>
                <w:rFonts w:ascii="Inter" w:hAnsi="Inter" w:cs="Inter"/>
                <w:b w:val="0"/>
                <w:i w:val="0"/>
                <w:color w:val="1C1E2E"/>
                <w:sz w:val="19"/>
              </w:rPr>
              <w:t xml:space="preserve">Acta de grado / diploma </w:t>
            </w:r>
            <w:r>
              <w:rPr>
                <w:rFonts w:ascii="Inter" w:hAnsi="Inter" w:cs="Inter"/>
                <w:b/>
                <w:i w:val="0"/>
                <w:color w:val="1C1E2E"/>
                <w:sz w:val="19"/>
              </w:rPr>
              <w:t>[DOC-04]</w:t>
            </w:r>
          </w:p>
        </w:tc>
      </w:tr>
      <w:tr>
        <w:tc>
          <w:tcPr>
            <w:tcW w:type="dxa" w:w="3216"/>
          </w:tcPr>
          <w:p>
            <w:pPr>
              <w:spacing w:after="40"/>
            </w:pPr>
            <w:r/>
            <w:r>
              <w:rPr>
                <w:rFonts w:ascii="Inter" w:hAnsi="Inter" w:cs="Inter"/>
                <w:b/>
                <w:i w:val="0"/>
                <w:color w:val="1C1E2E"/>
                <w:sz w:val="19"/>
              </w:rPr>
              <w:t>Trabajo Especial de Grado</w:t>
            </w:r>
          </w:p>
        </w:tc>
        <w:tc>
          <w:tcPr>
            <w:tcW w:type="dxa" w:w="3216"/>
          </w:tcPr>
          <w:p>
            <w:pPr>
              <w:spacing w:after="40"/>
            </w:pPr>
            <w:r/>
            <w:r>
              <w:rPr>
                <w:rFonts w:ascii="Inter" w:hAnsi="Inter" w:cs="Inter"/>
                <w:b/>
                <w:i w:val="0"/>
                <w:color w:val="1C1E2E"/>
                <w:sz w:val="19"/>
              </w:rPr>
              <w:t>20 / 20 — Sobresaliente</w:t>
            </w:r>
            <w:r>
              <w:rPr>
                <w:rFonts w:ascii="Inter" w:hAnsi="Inter" w:cs="Inter"/>
                <w:b w:val="0"/>
                <w:i w:val="0"/>
                <w:color w:val="1C1E2E"/>
                <w:sz w:val="19"/>
              </w:rPr>
              <w:t xml:space="preserve">, con </w:t>
            </w:r>
            <w:r>
              <w:rPr>
                <w:rFonts w:ascii="Inter" w:hAnsi="Inter" w:cs="Inter"/>
                <w:b/>
                <w:i w:val="0"/>
                <w:color w:val="1C1E2E"/>
                <w:sz w:val="19"/>
              </w:rPr>
              <w:t>Diploma de Honor concedido por el Rector de la ULA</w:t>
            </w:r>
            <w:r>
              <w:rPr>
                <w:rFonts w:ascii="Inter" w:hAnsi="Inter" w:cs="Inter"/>
                <w:b w:val="0"/>
                <w:i w:val="0"/>
                <w:color w:val="1C1E2E"/>
                <w:sz w:val="19"/>
              </w:rPr>
              <w:t xml:space="preserve"> (Mérida, 15 nov. 2004)</w:t>
            </w:r>
          </w:p>
        </w:tc>
        <w:tc>
          <w:tcPr>
            <w:tcW w:type="dxa" w:w="3216"/>
          </w:tcPr>
          <w:p>
            <w:pPr>
              <w:spacing w:after="40"/>
            </w:pPr>
            <w:r/>
            <w:r>
              <w:rPr>
                <w:rFonts w:ascii="Inter" w:hAnsi="Inter" w:cs="Inter"/>
                <w:b w:val="0"/>
                <w:i w:val="0"/>
                <w:color w:val="1C1E2E"/>
                <w:sz w:val="19"/>
              </w:rPr>
              <w:t xml:space="preserve">Diploma de Honor </w:t>
            </w:r>
            <w:r>
              <w:rPr>
                <w:rFonts w:ascii="Inter" w:hAnsi="Inter" w:cs="Inter"/>
                <w:b/>
                <w:i w:val="0"/>
                <w:color w:val="1C1E2E"/>
                <w:sz w:val="19"/>
              </w:rPr>
              <w:t>[DOC-07]</w:t>
            </w:r>
          </w:p>
        </w:tc>
      </w:tr>
      <w:tr>
        <w:tc>
          <w:tcPr>
            <w:tcW w:type="dxa" w:w="3216"/>
          </w:tcPr>
          <w:p>
            <w:pPr>
              <w:spacing w:after="40"/>
            </w:pPr>
            <w:r/>
            <w:r>
              <w:rPr>
                <w:rFonts w:ascii="Inter" w:hAnsi="Inter" w:cs="Inter"/>
                <w:b/>
                <w:i w:val="0"/>
                <w:color w:val="1C1E2E"/>
                <w:sz w:val="19"/>
              </w:rPr>
              <w:t>Distinción sostenida durante la carrera</w:t>
            </w:r>
          </w:p>
        </w:tc>
        <w:tc>
          <w:tcPr>
            <w:tcW w:type="dxa" w:w="3216"/>
          </w:tcPr>
          <w:p>
            <w:pPr>
              <w:spacing w:after="40"/>
            </w:pPr>
            <w:r/>
            <w:r>
              <w:rPr>
                <w:rFonts w:ascii="Inter" w:hAnsi="Inter" w:cs="Inter"/>
                <w:b/>
                <w:i w:val="0"/>
                <w:color w:val="1C1E2E"/>
                <w:sz w:val="19"/>
              </w:rPr>
              <w:t>Orden «Luis María Ribas Dávila»</w:t>
            </w:r>
            <w:r>
              <w:rPr>
                <w:rFonts w:ascii="Inter" w:hAnsi="Inter" w:cs="Inter"/>
                <w:b w:val="0"/>
                <w:i w:val="0"/>
                <w:color w:val="1C1E2E"/>
                <w:sz w:val="19"/>
              </w:rPr>
              <w:t xml:space="preserve"> conferida por la ULA </w:t>
            </w:r>
            <w:r>
              <w:rPr>
                <w:rFonts w:ascii="Inter" w:hAnsi="Inter" w:cs="Inter"/>
                <w:b/>
                <w:i w:val="0"/>
                <w:color w:val="1C1E2E"/>
                <w:sz w:val="19"/>
              </w:rPr>
              <w:t>cuatro años consecutivos — 2000, 2001, 2002 y 2003</w:t>
            </w:r>
            <w:r>
              <w:rPr>
                <w:rFonts w:ascii="Inter" w:hAnsi="Inter" w:cs="Inter"/>
                <w:b w:val="0"/>
                <w:i w:val="0"/>
                <w:color w:val="1C1E2E"/>
                <w:sz w:val="19"/>
              </w:rPr>
              <w:t xml:space="preserve"> — por el </w:t>
            </w:r>
            <w:r>
              <w:rPr>
                <w:rFonts w:ascii="Inter" w:hAnsi="Inter" w:cs="Inter"/>
                <w:b/>
                <w:i w:val="0"/>
                <w:color w:val="1C1E2E"/>
                <w:sz w:val="19"/>
              </w:rPr>
              <w:t>más alto rendimiento académico</w:t>
            </w:r>
            <w:r>
              <w:rPr>
                <w:rFonts w:ascii="Inter" w:hAnsi="Inter" w:cs="Inter"/>
                <w:b w:val="0"/>
                <w:i w:val="0"/>
                <w:color w:val="1C1E2E"/>
                <w:sz w:val="19"/>
              </w:rPr>
              <w:t xml:space="preserve"> de la Escuela de Educación, Núcleo Universitario del Táchira</w:t>
            </w:r>
          </w:p>
        </w:tc>
        <w:tc>
          <w:tcPr>
            <w:tcW w:type="dxa" w:w="3216"/>
          </w:tcPr>
          <w:p>
            <w:pPr>
              <w:spacing w:after="40"/>
            </w:pPr>
            <w:r/>
            <w:r>
              <w:rPr>
                <w:rFonts w:ascii="Inter" w:hAnsi="Inter" w:cs="Inter"/>
                <w:b w:val="0"/>
                <w:i w:val="0"/>
                <w:color w:val="1C1E2E"/>
                <w:sz w:val="19"/>
              </w:rPr>
              <w:t xml:space="preserve">Cuatro diplomas rectorales </w:t>
            </w:r>
            <w:r>
              <w:rPr>
                <w:rFonts w:ascii="Inter" w:hAnsi="Inter" w:cs="Inter"/>
                <w:b/>
                <w:i w:val="0"/>
                <w:color w:val="1C1E2E"/>
                <w:sz w:val="19"/>
              </w:rPr>
              <w:t>[DOC-07B]</w:t>
            </w:r>
          </w:p>
        </w:tc>
      </w:tr>
      <w:tr>
        <w:tc>
          <w:tcPr>
            <w:tcW w:type="dxa" w:w="3216"/>
          </w:tcPr>
          <w:p>
            <w:pPr>
              <w:spacing w:after="40"/>
            </w:pPr>
            <w:r/>
            <w:r>
              <w:rPr>
                <w:rFonts w:ascii="Inter" w:hAnsi="Inter" w:cs="Inter"/>
                <w:b w:val="0"/>
                <w:i w:val="0"/>
                <w:color w:val="1C1E2E"/>
                <w:sz w:val="19"/>
              </w:rPr>
              <w:t>Recorrido investigador del TFG</w:t>
            </w:r>
          </w:p>
        </w:tc>
        <w:tc>
          <w:tcPr>
            <w:tcW w:type="dxa" w:w="3216"/>
          </w:tcPr>
          <w:p>
            <w:pPr>
              <w:spacing w:after="40"/>
            </w:pPr>
            <w:r/>
            <w:r>
              <w:rPr>
                <w:rFonts w:ascii="Inter" w:hAnsi="Inter" w:cs="Inter"/>
                <w:b w:val="0"/>
                <w:i w:val="0"/>
                <w:color w:val="1C1E2E"/>
                <w:sz w:val="19"/>
              </w:rPr>
              <w:t>Publicado tras arbitraje en revista indexada y presentado como ponencia arbitrada en congreso internacional (§5.1)</w:t>
            </w:r>
          </w:p>
        </w:tc>
        <w:tc>
          <w:tcPr>
            <w:tcW w:type="dxa" w:w="3216"/>
          </w:tcPr>
          <w:p>
            <w:pPr>
              <w:spacing w:after="40"/>
            </w:pPr>
            <w:r/>
            <w:r>
              <w:rPr>
                <w:rFonts w:ascii="Inter" w:hAnsi="Inter" w:cs="Inter"/>
                <w:b/>
                <w:i w:val="0"/>
                <w:color w:val="1C1E2E"/>
                <w:sz w:val="19"/>
              </w:rPr>
              <w:t>[DOC-19]</w:t>
            </w:r>
            <w:r>
              <w:rPr>
                <w:rFonts w:ascii="Inter" w:hAnsi="Inter" w:cs="Inter"/>
                <w:b w:val="0"/>
                <w:i w:val="0"/>
                <w:color w:val="1C1E2E"/>
                <w:sz w:val="19"/>
              </w:rPr>
              <w:t xml:space="preserve"> · </w:t>
            </w:r>
            <w:r>
              <w:rPr>
                <w:rFonts w:ascii="Inter" w:hAnsi="Inter" w:cs="Inter"/>
                <w:b/>
                <w:i w:val="0"/>
                <w:color w:val="1C1E2E"/>
                <w:sz w:val="19"/>
              </w:rPr>
              <w:t>[DOC-24]</w:t>
            </w:r>
          </w:p>
        </w:tc>
      </w:tr>
      <w:tr>
        <w:tc>
          <w:tcPr>
            <w:tcW w:type="dxa" w:w="3216"/>
          </w:tcPr>
          <w:p>
            <w:pPr>
              <w:spacing w:after="40"/>
            </w:pPr>
            <w:r/>
            <w:r>
              <w:rPr>
                <w:rFonts w:ascii="Inter" w:hAnsi="Inter" w:cs="Inter"/>
                <w:b w:val="0"/>
                <w:i w:val="0"/>
                <w:color w:val="1C1E2E"/>
                <w:sz w:val="19"/>
              </w:rPr>
              <w:t>Líneas de investigación de la titulación</w:t>
            </w:r>
          </w:p>
        </w:tc>
        <w:tc>
          <w:tcPr>
            <w:tcW w:type="dxa" w:w="3216"/>
          </w:tcPr>
          <w:p>
            <w:pPr>
              <w:spacing w:after="40"/>
            </w:pPr>
            <w:r/>
            <w:r>
              <w:rPr>
                <w:rFonts w:ascii="Inter" w:hAnsi="Inter" w:cs="Inter"/>
                <w:b w:val="0"/>
                <w:i w:val="0"/>
                <w:color w:val="1C1E2E"/>
                <w:sz w:val="19"/>
              </w:rPr>
              <w:t>Diseño curricular y enseñanza del inglés</w:t>
            </w:r>
          </w:p>
        </w:tc>
        <w:tc>
          <w:tcPr>
            <w:tcW w:type="dxa" w:w="3216"/>
          </w:tcPr>
          <w:p>
            <w:pPr>
              <w:spacing w:after="40"/>
            </w:pPr>
            <w:r/>
            <w:r>
              <w:rPr>
                <w:rFonts w:ascii="Inter" w:hAnsi="Inter" w:cs="Inter"/>
                <w:b w:val="0"/>
                <w:i w:val="0"/>
                <w:color w:val="1C1E2E"/>
                <w:sz w:val="19"/>
              </w:rPr>
              <w:t>—</w:t>
            </w:r>
          </w:p>
        </w:tc>
      </w:tr>
    </w:tbl>
    <w:p/>
    <w:p>
      <w:r>
        <w:rPr>
          <w:rFonts w:ascii="Inter" w:hAnsi="Inter" w:cs="Inter"/>
          <w:b/>
          <w:i w:val="0"/>
          <w:color w:val="1C1E2E"/>
          <w:sz w:val="22"/>
        </w:rPr>
        <w:t>El dato que la comisión introduce en el 70 % es 9,07/10</w:t>
      </w:r>
      <w:r>
        <w:rPr>
          <w:rFonts w:ascii="Inter" w:hAnsi="Inter" w:cs="Inter"/>
          <w:b w:val="0"/>
          <w:i w:val="0"/>
          <w:color w:val="1C1E2E"/>
          <w:sz w:val="22"/>
        </w:rPr>
        <w:t xml:space="preserve">, ya calculado y certificado por la Administración española: la </w:t>
      </w:r>
      <w:r>
        <w:rPr>
          <w:rFonts w:ascii="Inter" w:hAnsi="Inter" w:cs="Inter"/>
          <w:b w:val="0"/>
          <w:i/>
          <w:color w:val="1C1E2E"/>
          <w:sz w:val="22"/>
        </w:rPr>
        <w:t>Declaración de equivalencia de la nota media del expediente académico de estudios cursados en el extranjero</w:t>
      </w:r>
      <w:r>
        <w:rPr>
          <w:rFonts w:ascii="Inter" w:hAnsi="Inter" w:cs="Inter"/>
          <w:b w:val="0"/>
          <w:i w:val="0"/>
          <w:color w:val="1C1E2E"/>
          <w:sz w:val="22"/>
        </w:rPr>
        <w:t xml:space="preserve"> (Secretaría General de Universidades, Dirección General de Política Universitaria), verificada por la Junta de Andalucía y comprobable en línea mediante el </w:t>
      </w:r>
      <w:r>
        <w:rPr>
          <w:rFonts w:ascii="Inter" w:hAnsi="Inter" w:cs="Inter"/>
          <w:b/>
          <w:i w:val="0"/>
          <w:color w:val="1C1E2E"/>
          <w:sz w:val="22"/>
        </w:rPr>
        <w:t>CSV ⟨CSV en la copia entregada a la comisión⟩</w:t>
      </w:r>
      <w:r>
        <w:rPr>
          <w:rFonts w:ascii="Inter" w:hAnsi="Inter" w:cs="Inter"/>
          <w:b w:val="0"/>
          <w:i w:val="0"/>
          <w:color w:val="1C1E2E"/>
          <w:sz w:val="22"/>
        </w:rPr>
        <w:t xml:space="preserve"> en . No hay que estimarlo ni convertirlo: basta adjuntar la declaración.</w:t>
      </w:r>
    </w:p>
    <w:p>
      <w:r>
        <w:rPr>
          <w:rFonts w:ascii="Inter" w:hAnsi="Inter" w:cs="Inter"/>
          <w:b/>
          <w:i w:val="0"/>
          <w:color w:val="1C1E2E"/>
          <w:sz w:val="22"/>
        </w:rPr>
        <w:t>Relevancia para el doctorado.</w:t>
      </w:r>
      <w:r>
        <w:rPr>
          <w:rFonts w:ascii="Inter" w:hAnsi="Inter" w:cs="Inter"/>
          <w:b w:val="0"/>
          <w:i w:val="0"/>
          <w:color w:val="1C1E2E"/>
          <w:sz w:val="22"/>
        </w:rPr>
        <w:t xml:space="preserve"> La titulación es de </w:t>
      </w:r>
      <w:r>
        <w:rPr>
          <w:rFonts w:ascii="Inter" w:hAnsi="Inter" w:cs="Inter"/>
          <w:b/>
          <w:i w:val="0"/>
          <w:color w:val="1C1E2E"/>
          <w:sz w:val="22"/>
        </w:rPr>
        <w:t>Educación mención Inglés</w:t>
      </w:r>
      <w:r>
        <w:rPr>
          <w:rFonts w:ascii="Inter" w:hAnsi="Inter" w:cs="Inter"/>
          <w:b w:val="0"/>
          <w:i w:val="0"/>
          <w:color w:val="1C1E2E"/>
          <w:sz w:val="22"/>
        </w:rPr>
        <w:t xml:space="preserve"> con líneas de diseño curricular y enseñanza del inglés — es decir, la formación de origen ya es de diseño curricular, que es el objeto de la tesis. El Trabajo Especial de Grado, calificado </w:t>
      </w:r>
      <w:r>
        <w:rPr>
          <w:rFonts w:ascii="Inter" w:hAnsi="Inter" w:cs="Inter"/>
          <w:b/>
          <w:i w:val="0"/>
          <w:color w:val="1C1E2E"/>
          <w:sz w:val="22"/>
        </w:rPr>
        <w:t>20/20 con Diploma de Honor del Rector</w:t>
      </w:r>
      <w:r>
        <w:rPr>
          <w:rFonts w:ascii="Inter" w:hAnsi="Inter" w:cs="Inter"/>
          <w:b w:val="0"/>
          <w:i w:val="0"/>
          <w:color w:val="1C1E2E"/>
          <w:sz w:val="22"/>
        </w:rPr>
        <w:t xml:space="preserve">, no quedó en el expediente: se arbitró y publicó en </w:t>
      </w:r>
      <w:r>
        <w:rPr>
          <w:rFonts w:ascii="Inter" w:hAnsi="Inter" w:cs="Inter"/>
          <w:b/>
          <w:i w:val="0"/>
          <w:color w:val="1C1E2E"/>
          <w:sz w:val="22"/>
        </w:rPr>
        <w:t>revista indexada</w:t>
      </w:r>
      <w:r>
        <w:rPr>
          <w:rFonts w:ascii="Inter" w:hAnsi="Inter" w:cs="Inter"/>
          <w:b w:val="0"/>
          <w:i w:val="0"/>
          <w:color w:val="1C1E2E"/>
          <w:sz w:val="22"/>
        </w:rPr>
        <w:t xml:space="preserve"> (</w:t>
      </w:r>
      <w:r>
        <w:rPr>
          <w:rFonts w:ascii="Inter" w:hAnsi="Inter" w:cs="Inter"/>
          <w:b w:val="0"/>
          <w:i/>
          <w:color w:val="1C1E2E"/>
          <w:sz w:val="22"/>
        </w:rPr>
        <w:t>Kaleidoscopio</w:t>
      </w:r>
      <w:r>
        <w:rPr>
          <w:rFonts w:ascii="Inter" w:hAnsi="Inter" w:cs="Inter"/>
          <w:b w:val="0"/>
          <w:i w:val="0"/>
          <w:color w:val="1C1E2E"/>
          <w:sz w:val="22"/>
        </w:rPr>
        <w:t xml:space="preserve">, ISSN 1690-6054, indexada en CLASE–UNAM) y se presentó como </w:t>
      </w:r>
      <w:r>
        <w:rPr>
          <w:rFonts w:ascii="Inter" w:hAnsi="Inter" w:cs="Inter"/>
          <w:b/>
          <w:i w:val="0"/>
          <w:color w:val="1C1E2E"/>
          <w:sz w:val="22"/>
        </w:rPr>
        <w:t>ponencia arbitrada en un congreso internacional</w:t>
      </w:r>
      <w:r>
        <w:rPr>
          <w:rFonts w:ascii="Inter" w:hAnsi="Inter" w:cs="Inter"/>
          <w:b w:val="0"/>
          <w:i w:val="0"/>
          <w:color w:val="1C1E2E"/>
          <w:sz w:val="22"/>
        </w:rPr>
        <w:t xml:space="preserve"> (§5.1). Es capacidad investigadora autónoma acreditada desde la titulación de grado.</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Acceso al doctorado — resuelto.</w:t>
      </w:r>
      <w:r>
        <w:rPr>
          <w:rFonts w:ascii="Inter" w:hAnsi="Inter" w:cs="Inter"/>
          <w:b w:val="0"/>
          <w:i w:val="0"/>
          <w:color w:val="5B5F77"/>
          <w:sz w:val="21"/>
        </w:rPr>
        <w:t xml:space="preserve"> El Ministerio de Universidades declaró el </w:t>
      </w:r>
      <w:r>
        <w:rPr>
          <w:rFonts w:ascii="Inter" w:hAnsi="Inter" w:cs="Inter"/>
          <w:b/>
          <w:i w:val="0"/>
          <w:color w:val="5B5F77"/>
          <w:sz w:val="21"/>
        </w:rPr>
        <w:t>17 de junio de 2020</w:t>
      </w:r>
      <w:r>
        <w:rPr>
          <w:rFonts w:ascii="Inter" w:hAnsi="Inter" w:cs="Inter"/>
          <w:b w:val="0"/>
          <w:i w:val="0"/>
          <w:color w:val="5B5F77"/>
          <w:sz w:val="21"/>
        </w:rPr>
        <w:t xml:space="preserve"> la </w:t>
      </w:r>
      <w:r>
        <w:rPr>
          <w:rFonts w:ascii="Inter" w:hAnsi="Inter" w:cs="Inter"/>
          <w:b/>
          <w:i w:val="0"/>
          <w:color w:val="5B5F77"/>
          <w:sz w:val="21"/>
        </w:rPr>
        <w:t>equivalencia del título</w:t>
      </w:r>
      <w:r>
        <w:rPr>
          <w:rFonts w:ascii="Inter" w:hAnsi="Inter" w:cs="Inter"/>
          <w:b w:val="0"/>
          <w:i w:val="0"/>
          <w:color w:val="5B5F77"/>
          <w:sz w:val="21"/>
        </w:rPr>
        <w:t xml:space="preserve"> de Licenciada en Educación mención Inglés </w:t>
      </w:r>
      <w:r>
        <w:rPr>
          <w:rFonts w:ascii="Inter" w:hAnsi="Inter" w:cs="Inter"/>
          <w:b/>
          <w:i w:val="0"/>
          <w:color w:val="5B5F77"/>
          <w:sz w:val="21"/>
        </w:rPr>
        <w:t>al nivel académico de Grado</w:t>
      </w:r>
      <w:r>
        <w:rPr>
          <w:rFonts w:ascii="Inter" w:hAnsi="Inter" w:cs="Inter"/>
          <w:b w:val="0"/>
          <w:i w:val="0"/>
          <w:color w:val="5B5F77"/>
          <w:sz w:val="21"/>
        </w:rPr>
        <w:t xml:space="preserve"> (rama de Artes y Humanidades, campo específico Idiomas), conforme al </w:t>
      </w:r>
      <w:r>
        <w:rPr>
          <w:rFonts w:ascii="Inter" w:hAnsi="Inter" w:cs="Inter"/>
          <w:b/>
          <w:i w:val="0"/>
          <w:color w:val="5B5F77"/>
          <w:sz w:val="21"/>
        </w:rPr>
        <w:t>RD 967/2014</w:t>
      </w:r>
      <w:r>
        <w:rPr>
          <w:rFonts w:ascii="Inter" w:hAnsi="Inter" w:cs="Inter"/>
          <w:b w:val="0"/>
          <w:i w:val="0"/>
          <w:color w:val="5B5F77"/>
          <w:sz w:val="21"/>
        </w:rPr>
        <w:t xml:space="preserve"> </w:t>
      </w:r>
      <w:r>
        <w:rPr>
          <w:rFonts w:ascii="Inter" w:hAnsi="Inter" w:cs="Inter"/>
          <w:b/>
          <w:i w:val="0"/>
          <w:color w:val="5B5F77"/>
          <w:sz w:val="21"/>
        </w:rPr>
        <w:t>[DOC-05B]</w:t>
      </w:r>
      <w:r>
        <w:rPr>
          <w:rFonts w:ascii="Inter" w:hAnsi="Inter" w:cs="Inter"/>
          <w:b w:val="0"/>
          <w:i w:val="0"/>
          <w:color w:val="5B5F77"/>
          <w:sz w:val="21"/>
        </w:rPr>
        <w:t xml:space="preserve">. Con eso, la vía de acceso al programa queda completa y sin trámites pendientes: </w:t>
      </w:r>
      <w:r>
        <w:rPr>
          <w:rFonts w:ascii="Inter" w:hAnsi="Inter" w:cs="Inter"/>
          <w:b/>
          <w:i w:val="0"/>
          <w:color w:val="5B5F77"/>
          <w:sz w:val="21"/>
        </w:rPr>
        <w:t>Título extranjero con equivalencia oficial a Grado (Ministerio, 2020)</w:t>
      </w:r>
      <w:r>
        <w:rPr>
          <w:rFonts w:ascii="Inter" w:hAnsi="Inter" w:cs="Inter"/>
          <w:b w:val="0"/>
          <w:i w:val="0"/>
          <w:color w:val="5B5F77"/>
          <w:sz w:val="21"/>
        </w:rPr>
        <w:t xml:space="preserve"> + </w:t>
      </w:r>
      <w:r>
        <w:rPr>
          <w:rFonts w:ascii="Inter" w:hAnsi="Inter" w:cs="Inter"/>
          <w:b/>
          <w:i w:val="0"/>
          <w:color w:val="5B5F77"/>
          <w:sz w:val="21"/>
        </w:rPr>
        <w:t>Máster Universitario oficial español en Lenguas y Tecnología (UPV, 2026)</w:t>
      </w:r>
      <w:r>
        <w:rPr>
          <w:rFonts w:ascii="Inter" w:hAnsi="Inter" w:cs="Inter"/>
          <w:b w:val="0"/>
          <w:i w:val="0"/>
          <w:color w:val="5B5F77"/>
          <w:sz w:val="21"/>
        </w:rPr>
        <w:t xml:space="preserve"> → </w:t>
      </w:r>
      <w:r>
        <w:rPr>
          <w:rFonts w:ascii="Inter" w:hAnsi="Inter" w:cs="Inter"/>
          <w:b/>
          <w:i w:val="0"/>
          <w:color w:val="5B5F77"/>
          <w:sz w:val="21"/>
        </w:rPr>
        <w:t>acceso general al doctorado por el art. 6 del RD 99/2011.</w:t>
      </w:r>
      <w:r>
        <w:rPr>
          <w:rFonts w:ascii="Inter" w:hAnsi="Inter" w:cs="Inter"/>
          <w:b w:val="0"/>
          <w:i w:val="0"/>
          <w:color w:val="5B5F77"/>
          <w:sz w:val="21"/>
        </w:rPr>
        <w:t xml:space="preserve"> Dos matices que conviene tener claros al redactar la solicitud: 1. </w:t>
      </w:r>
      <w:r>
        <w:rPr>
          <w:rFonts w:ascii="Inter" w:hAnsi="Inter" w:cs="Inter"/>
          <w:b/>
          <w:i w:val="0"/>
          <w:color w:val="5B5F77"/>
          <w:sz w:val="21"/>
        </w:rPr>
        <w:t>La equivalencia es a nivel de Grado, no de Máster.</w:t>
      </w:r>
      <w:r>
        <w:rPr>
          <w:rFonts w:ascii="Inter" w:hAnsi="Inter" w:cs="Inter"/>
          <w:b w:val="0"/>
          <w:i w:val="0"/>
          <w:color w:val="5B5F77"/>
          <w:sz w:val="21"/>
        </w:rPr>
        <w:t xml:space="preserve"> La titulación que da el acceso es, por tanto, el </w:t>
      </w:r>
      <w:r>
        <w:rPr>
          <w:rFonts w:ascii="Inter" w:hAnsi="Inter" w:cs="Inter"/>
          <w:b/>
          <w:i w:val="0"/>
          <w:color w:val="5B5F77"/>
          <w:sz w:val="21"/>
        </w:rPr>
        <w:t>máster oficial de la UPV</w:t>
      </w:r>
      <w:r>
        <w:rPr>
          <w:rFonts w:ascii="Inter" w:hAnsi="Inter" w:cs="Inter"/>
          <w:b w:val="0"/>
          <w:i w:val="0"/>
          <w:color w:val="5B5F77"/>
          <w:sz w:val="21"/>
        </w:rPr>
        <w:t xml:space="preserve">; la licenciatura entra en el expediente como titulación previa, ya reconocida oficialmente. No hace falta pedir ninguna «comprobación de nivel» adicional a la Escuela de Doctorado. 2. </w:t>
      </w:r>
      <w:r>
        <w:rPr>
          <w:rFonts w:ascii="Inter" w:hAnsi="Inter" w:cs="Inter"/>
          <w:b/>
          <w:i w:val="0"/>
          <w:color w:val="5B5F77"/>
          <w:sz w:val="21"/>
        </w:rPr>
        <w:t>Equivalencia ≠ homologación.</w:t>
      </w:r>
      <w:r>
        <w:rPr>
          <w:rFonts w:ascii="Inter" w:hAnsi="Inter" w:cs="Inter"/>
          <w:b w:val="0"/>
          <w:i w:val="0"/>
          <w:color w:val="5B5F77"/>
          <w:sz w:val="21"/>
        </w:rPr>
        <w:t xml:space="preserve"> El formulario de la nota media marca «Título homologado/equivalente: NO» porque la </w:t>
      </w:r>
      <w:r>
        <w:rPr>
          <w:rFonts w:ascii="Inter" w:hAnsi="Inter" w:cs="Inter"/>
          <w:b w:val="0"/>
          <w:i/>
          <w:color w:val="5B5F77"/>
          <w:sz w:val="21"/>
        </w:rPr>
        <w:t>homologación</w:t>
      </w:r>
      <w:r>
        <w:rPr>
          <w:rFonts w:ascii="Inter" w:hAnsi="Inter" w:cs="Inter"/>
          <w:b w:val="0"/>
          <w:i w:val="0"/>
          <w:color w:val="5B5F77"/>
          <w:sz w:val="21"/>
        </w:rPr>
        <w:t xml:space="preserve"> (a un título español concreto que habilita para profesión regulada) es otra figura, y la propia resolución advierte que la equivalencia </w:t>
      </w:r>
      <w:r>
        <w:rPr>
          <w:rFonts w:ascii="Inter" w:hAnsi="Inter" w:cs="Inter"/>
          <w:b/>
          <w:i w:val="0"/>
          <w:color w:val="5B5F77"/>
          <w:sz w:val="21"/>
        </w:rPr>
        <w:t>no habilita para el ejercicio de profesiones reguladas</w:t>
      </w:r>
      <w:r>
        <w:rPr>
          <w:rFonts w:ascii="Inter" w:hAnsi="Inter" w:cs="Inter"/>
          <w:b w:val="0"/>
          <w:i w:val="0"/>
          <w:color w:val="5B5F77"/>
          <w:sz w:val="21"/>
        </w:rPr>
        <w:t>. Para acceder a un doctorado eso es irrelevante: lo que se exige es el nivel académico, y está declarado.</w:t>
      </w:r>
    </w:p>
    <w:p>
      <w:pPr>
        <w:pBdr>
          <w:left w:val="single" w:sz="18" w:space="8" w:color="9A5B00"/>
        </w:pBdr>
        <w:spacing w:before="120" w:after="200"/>
        <w:ind w:left="317"/>
      </w:pPr>
      <w:r>
        <w:rPr>
          <w:rFonts w:ascii="Inter" w:hAnsi="Inter" w:cs="Inter"/>
          <w:b w:val="0"/>
          <w:i w:val="0"/>
          <w:color w:val="5B5F77"/>
          <w:sz w:val="21"/>
        </w:rPr>
        <w:t xml:space="preserve">⚠️ </w:t>
      </w:r>
      <w:r>
        <w:rPr>
          <w:rFonts w:ascii="Inter" w:hAnsi="Inter" w:cs="Inter"/>
          <w:b/>
          <w:i w:val="0"/>
          <w:color w:val="5B5F77"/>
          <w:sz w:val="21"/>
        </w:rPr>
        <w:t>Un detalle administrativo que sí conviene resolver — la cadena de identidad.</w:t>
      </w:r>
      <w:r>
        <w:rPr>
          <w:rFonts w:ascii="Inter" w:hAnsi="Inter" w:cs="Inter"/>
          <w:b w:val="0"/>
          <w:i w:val="0"/>
          <w:color w:val="5B5F77"/>
          <w:sz w:val="21"/>
        </w:rPr>
        <w:t xml:space="preserve"> Los documentos llegan a nombre de </w:t>
      </w:r>
      <w:r>
        <w:rPr>
          <w:rFonts w:ascii="Inter" w:hAnsi="Inter" w:cs="Inter"/>
          <w:b/>
          <w:i w:val="0"/>
          <w:color w:val="5B5F77"/>
          <w:sz w:val="21"/>
        </w:rPr>
        <w:t>dos formas distintas</w:t>
      </w:r>
      <w:r>
        <w:rPr>
          <w:rFonts w:ascii="Inter" w:hAnsi="Inter" w:cs="Inter"/>
          <w:b w:val="0"/>
          <w:i w:val="0"/>
          <w:color w:val="5B5F77"/>
          <w:sz w:val="21"/>
        </w:rPr>
        <w:t xml:space="preserve">: - </w:t>
      </w:r>
      <w:r>
        <w:rPr>
          <w:rFonts w:ascii="Inter" w:hAnsi="Inter" w:cs="Inter"/>
          <w:b/>
          <w:i w:val="0"/>
          <w:color w:val="5B5F77"/>
          <w:sz w:val="21"/>
        </w:rPr>
        <w:t>Ana Zoraimy Eslava Graterol</w:t>
      </w:r>
      <w:r>
        <w:rPr>
          <w:rFonts w:ascii="Inter" w:hAnsi="Inter" w:cs="Inter"/>
          <w:b w:val="0"/>
          <w:i w:val="0"/>
          <w:color w:val="5B5F77"/>
          <w:sz w:val="21"/>
        </w:rPr>
        <w:t xml:space="preserve"> — certificación académica y Constancia de Rango Académico de la ULA, publicación en </w:t>
      </w:r>
      <w:r>
        <w:rPr>
          <w:rFonts w:ascii="Inter" w:hAnsi="Inter" w:cs="Inter"/>
          <w:b w:val="0"/>
          <w:i/>
          <w:color w:val="5B5F77"/>
          <w:sz w:val="21"/>
        </w:rPr>
        <w:t>Kaleidoscopio</w:t>
      </w:r>
      <w:r>
        <w:rPr>
          <w:rFonts w:ascii="Inter" w:hAnsi="Inter" w:cs="Inter"/>
          <w:b w:val="0"/>
          <w:i w:val="0"/>
          <w:color w:val="5B5F77"/>
          <w:sz w:val="21"/>
        </w:rPr>
        <w:t xml:space="preserve">, constancia de beca, Órdenes «Ribas Dávila» (una de ellas con la errata </w:t>
      </w:r>
      <w:r>
        <w:rPr>
          <w:rFonts w:ascii="Inter" w:hAnsi="Inter" w:cs="Inter"/>
          <w:b/>
          <w:i w:val="0"/>
          <w:color w:val="5B5F77"/>
          <w:sz w:val="21"/>
        </w:rPr>
        <w:t>«Ana Soraymi»</w:t>
      </w:r>
      <w:r>
        <w:rPr>
          <w:rFonts w:ascii="Inter" w:hAnsi="Inter" w:cs="Inter"/>
          <w:b w:val="0"/>
          <w:i w:val="0"/>
          <w:color w:val="5B5F77"/>
          <w:sz w:val="21"/>
        </w:rPr>
        <w:t xml:space="preserve">). - </w:t>
      </w:r>
      <w:r>
        <w:rPr>
          <w:rFonts w:ascii="Inter" w:hAnsi="Inter" w:cs="Inter"/>
          <w:b/>
          <w:i w:val="0"/>
          <w:color w:val="5B5F77"/>
          <w:sz w:val="21"/>
        </w:rPr>
        <w:t>Ana Zoraimy Eslava de Morales</w:t>
      </w:r>
      <w:r>
        <w:rPr>
          <w:rFonts w:ascii="Inter" w:hAnsi="Inter" w:cs="Inter"/>
          <w:b w:val="0"/>
          <w:i w:val="0"/>
          <w:color w:val="5B5F77"/>
          <w:sz w:val="21"/>
        </w:rPr>
        <w:t xml:space="preserve"> — resolución de equivalencia del Ministerio (2020) y carta del congreso internacional (2008). Es el apellido de casada, pero </w:t>
      </w:r>
      <w:r>
        <w:rPr>
          <w:rFonts w:ascii="Inter" w:hAnsi="Inter" w:cs="Inter"/>
          <w:b/>
          <w:i w:val="0"/>
          <w:color w:val="5B5F77"/>
          <w:sz w:val="21"/>
        </w:rPr>
        <w:t>la comisión no tiene por qué saberlo</w:t>
      </w:r>
      <w:r>
        <w:rPr>
          <w:rFonts w:ascii="Inter" w:hAnsi="Inter" w:cs="Inter"/>
          <w:b w:val="0"/>
          <w:i w:val="0"/>
          <w:color w:val="5B5F77"/>
          <w:sz w:val="21"/>
        </w:rPr>
        <w:t xml:space="preserve"> y verá dos nombres en el mismo expediente. </w:t>
      </w:r>
      <w:r>
        <w:rPr>
          <w:rFonts w:ascii="Inter" w:hAnsi="Inter" w:cs="Inter"/>
          <w:b/>
          <w:i w:val="0"/>
          <w:color w:val="5B5F77"/>
          <w:sz w:val="21"/>
        </w:rPr>
        <w:t>Acción:</w:t>
      </w:r>
      <w:r>
        <w:rPr>
          <w:rFonts w:ascii="Inter" w:hAnsi="Inter" w:cs="Inter"/>
          <w:b w:val="0"/>
          <w:i w:val="0"/>
          <w:color w:val="5B5F77"/>
          <w:sz w:val="21"/>
        </w:rPr>
        <w:t xml:space="preserve"> incluir en el PDF de documentación una </w:t>
      </w:r>
      <w:r>
        <w:rPr>
          <w:rFonts w:ascii="Inter" w:hAnsi="Inter" w:cs="Inter"/>
          <w:b/>
          <w:i w:val="0"/>
          <w:color w:val="5B5F77"/>
          <w:sz w:val="21"/>
        </w:rPr>
        <w:t>nota de identidad</w:t>
      </w:r>
      <w:r>
        <w:rPr>
          <w:rFonts w:ascii="Inter" w:hAnsi="Inter" w:cs="Inter"/>
          <w:b w:val="0"/>
          <w:i w:val="0"/>
          <w:color w:val="5B5F77"/>
          <w:sz w:val="21"/>
        </w:rPr>
        <w:t xml:space="preserve"> de una línea junto con el documento que enlaza ambos nombres (DNI/NIE, acta de matrimonio o certificado de la ULA que recoja las dos formas), y usar </w:t>
      </w:r>
      <w:r>
        <w:rPr>
          <w:rFonts w:ascii="Inter" w:hAnsi="Inter" w:cs="Inter"/>
          <w:b/>
          <w:i w:val="0"/>
          <w:color w:val="5B5F77"/>
          <w:sz w:val="21"/>
        </w:rPr>
        <w:t>un solo nombre de manera consistente</w:t>
      </w:r>
      <w:r>
        <w:rPr>
          <w:rFonts w:ascii="Inter" w:hAnsi="Inter" w:cs="Inter"/>
          <w:b w:val="0"/>
          <w:i w:val="0"/>
          <w:color w:val="5B5F77"/>
          <w:sz w:val="21"/>
        </w:rPr>
        <w:t xml:space="preserve"> en el CV y en la propuesta. Es un trámite de cinco minutos que evita una incidencia en la revisión formal.</w:t>
      </w:r>
    </w:p>
    <w:p>
      <w:pPr>
        <w:pBdr>
          <w:bottom w:val="single" w:sz="6" w:space="1" w:color="E6E8F2"/>
        </w:pBdr>
      </w:pPr>
    </w:p>
    <w:p>
      <w:pPr>
        <w:spacing w:before="320" w:after="120"/>
      </w:pPr>
      <w:r>
        <w:rPr>
          <w:rFonts w:ascii="Fraunces" w:hAnsi="Fraunces" w:cs="Fraunces"/>
          <w:b/>
          <w:i w:val="0"/>
          <w:color w:val="22307C"/>
          <w:sz w:val="42"/>
        </w:rPr>
        <w:t xml:space="preserve">BLOQUE B — OTROS MÉRITOS · </w:t>
      </w:r>
      <w:r>
        <w:rPr>
          <w:rFonts w:ascii="Fraunces" w:hAnsi="Fraunces" w:cs="Fraunces"/>
          <w:b/>
          <w:i w:val="0"/>
          <w:color w:val="22307C"/>
          <w:sz w:val="42"/>
        </w:rPr>
        <w:t>30 %</w:t>
      </w:r>
    </w:p>
    <w:p>
      <w:pPr>
        <w:pBdr>
          <w:left w:val="single" w:sz="18" w:space="8" w:color="9A5B00"/>
        </w:pBdr>
        <w:spacing w:before="120" w:after="200"/>
        <w:ind w:left="317"/>
      </w:pPr>
      <w:r>
        <w:rPr>
          <w:rFonts w:ascii="Inter" w:hAnsi="Inter" w:cs="Inter"/>
          <w:b w:val="0"/>
          <w:i w:val="0"/>
          <w:color w:val="5B5F77"/>
          <w:sz w:val="21"/>
        </w:rPr>
        <w:t xml:space="preserve">Los seis méritos se presentan </w:t>
      </w:r>
      <w:r>
        <w:rPr>
          <w:rFonts w:ascii="Inter" w:hAnsi="Inter" w:cs="Inter"/>
          <w:b/>
          <w:i w:val="0"/>
          <w:color w:val="5B5F77"/>
          <w:sz w:val="21"/>
        </w:rPr>
        <w:t>en el mismo orden y con la misma redacción que la convocatoria</w:t>
      </w:r>
      <w:r>
        <w:rPr>
          <w:rFonts w:ascii="Inter" w:hAnsi="Inter" w:cs="Inter"/>
          <w:b w:val="0"/>
          <w:i w:val="0"/>
          <w:color w:val="5B5F77"/>
          <w:sz w:val="21"/>
        </w:rPr>
        <w:t>, cada uno con su valor (5 %), su estado y su documento acreditativo.</w:t>
      </w:r>
    </w:p>
    <w:p>
      <w:pPr>
        <w:pBdr>
          <w:bottom w:val="single" w:sz="6" w:space="1" w:color="E6E8F2"/>
        </w:pBdr>
      </w:pPr>
    </w:p>
    <w:p>
      <w:pPr>
        <w:spacing w:before="320" w:after="120"/>
      </w:pPr>
      <w:r>
        <w:rPr>
          <w:rFonts w:ascii="Fraunces" w:hAnsi="Fraunces" w:cs="Fraunces"/>
          <w:b/>
          <w:i w:val="0"/>
          <w:color w:val="22307C"/>
          <w:sz w:val="32"/>
        </w:rPr>
        <w:t xml:space="preserve">B.1 · Premio extraordinario de licenciatura o grado — </w:t>
      </w:r>
      <w:r>
        <w:rPr>
          <w:rFonts w:ascii="Fraunces" w:hAnsi="Fraunces" w:cs="Fraunces"/>
          <w:b/>
          <w:i w:val="0"/>
          <w:color w:val="22307C"/>
          <w:sz w:val="32"/>
        </w:rPr>
        <w:t>5 %</w:t>
      </w:r>
      <w:r>
        <w:rPr>
          <w:rFonts w:ascii="Fraunces" w:hAnsi="Fraunces" w:cs="Fraunces"/>
          <w:b/>
          <w:i w:val="0"/>
          <w:color w:val="22307C"/>
          <w:sz w:val="32"/>
        </w:rPr>
        <w:t xml:space="preserve"> ✅ ACREDITADO Y </w:t>
      </w:r>
      <w:r>
        <w:rPr>
          <w:rFonts w:ascii="Fraunces" w:hAnsi="Fraunces" w:cs="Fraunces"/>
          <w:b/>
          <w:i w:val="0"/>
          <w:color w:val="22307C"/>
          <w:sz w:val="32"/>
        </w:rPr>
        <w:t>APOSTILLADO</w:t>
      </w:r>
    </w:p>
    <w:p>
      <w:r>
        <w:rPr>
          <w:rFonts w:ascii="Inter" w:hAnsi="Inter" w:cs="Inter"/>
          <w:b/>
          <w:i w:val="0"/>
          <w:color w:val="1C1E2E"/>
          <w:sz w:val="22"/>
        </w:rPr>
        <w:t>Primer lugar de la promoción — 1.º de 56 graduandos</w:t>
      </w:r>
      <w:r>
        <w:rPr>
          <w:rFonts w:ascii="Inter" w:hAnsi="Inter" w:cs="Inter"/>
          <w:b w:val="0"/>
          <w:i w:val="0"/>
          <w:color w:val="1C1E2E"/>
          <w:sz w:val="22"/>
        </w:rPr>
        <w:t>, Licenciatura en Educación mención Inglés, ULA – Núcleo Universitario «Dr. Pedro Rincón Gutiérrez», Táchira.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Dato certificado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Puesto en la promoción</w:t>
            </w:r>
          </w:p>
        </w:tc>
        <w:tc>
          <w:tcPr>
            <w:tcW w:type="dxa" w:w="4824"/>
          </w:tcPr>
          <w:p>
            <w:pPr>
              <w:spacing w:after="40"/>
            </w:pPr>
            <w:r/>
            <w:r>
              <w:rPr>
                <w:rFonts w:ascii="Inter" w:hAnsi="Inter" w:cs="Inter"/>
                <w:b/>
                <w:i w:val="0"/>
                <w:color w:val="1C1E2E"/>
                <w:sz w:val="19"/>
              </w:rPr>
              <w:t>PRIMERO (1.º) de CINCUENTA Y SEIS (56) graduandos</w:t>
            </w:r>
          </w:p>
        </w:tc>
      </w:tr>
      <w:tr>
        <w:tc>
          <w:tcPr>
            <w:tcW w:type="dxa" w:w="4824"/>
          </w:tcPr>
          <w:p>
            <w:pPr>
              <w:spacing w:after="40"/>
            </w:pPr>
            <w:r/>
            <w:r>
              <w:rPr>
                <w:rFonts w:ascii="Inter" w:hAnsi="Inter" w:cs="Inter"/>
                <w:b w:val="0"/>
                <w:i w:val="0"/>
                <w:color w:val="1C1E2E"/>
                <w:sz w:val="19"/>
              </w:rPr>
              <w:t>Promedio de la candidata</w:t>
            </w:r>
          </w:p>
        </w:tc>
        <w:tc>
          <w:tcPr>
            <w:tcW w:type="dxa" w:w="4824"/>
          </w:tcPr>
          <w:p>
            <w:pPr>
              <w:spacing w:after="40"/>
            </w:pPr>
            <w:r/>
            <w:r>
              <w:rPr>
                <w:rFonts w:ascii="Inter" w:hAnsi="Inter" w:cs="Inter"/>
                <w:b/>
                <w:i w:val="0"/>
                <w:color w:val="1C1E2E"/>
                <w:sz w:val="19"/>
              </w:rPr>
              <w:t>18,97 / 20</w:t>
            </w:r>
          </w:p>
        </w:tc>
      </w:tr>
      <w:tr>
        <w:tc>
          <w:tcPr>
            <w:tcW w:type="dxa" w:w="4824"/>
          </w:tcPr>
          <w:p>
            <w:pPr>
              <w:spacing w:after="40"/>
            </w:pPr>
            <w:r/>
            <w:r>
              <w:rPr>
                <w:rFonts w:ascii="Inter" w:hAnsi="Inter" w:cs="Inter"/>
                <w:b w:val="0"/>
                <w:i w:val="0"/>
                <w:color w:val="1C1E2E"/>
                <w:sz w:val="19"/>
              </w:rPr>
              <w:t>Promedio de la promoción</w:t>
            </w:r>
          </w:p>
        </w:tc>
        <w:tc>
          <w:tcPr>
            <w:tcW w:type="dxa" w:w="4824"/>
          </w:tcPr>
          <w:p>
            <w:pPr>
              <w:spacing w:after="40"/>
            </w:pPr>
            <w:r/>
            <w:r>
              <w:rPr>
                <w:rFonts w:ascii="Inter" w:hAnsi="Inter" w:cs="Inter"/>
                <w:b w:val="0"/>
                <w:i w:val="0"/>
                <w:color w:val="1C1E2E"/>
                <w:sz w:val="19"/>
              </w:rPr>
              <w:t>15,77 / 20</w:t>
            </w:r>
          </w:p>
        </w:tc>
      </w:tr>
      <w:tr>
        <w:tc>
          <w:tcPr>
            <w:tcW w:type="dxa" w:w="4824"/>
          </w:tcPr>
          <w:p>
            <w:pPr>
              <w:spacing w:after="40"/>
            </w:pPr>
            <w:r/>
            <w:r>
              <w:rPr>
                <w:rFonts w:ascii="Inter" w:hAnsi="Inter" w:cs="Inter"/>
                <w:b w:val="0"/>
                <w:i w:val="0"/>
                <w:color w:val="1C1E2E"/>
                <w:sz w:val="19"/>
              </w:rPr>
              <w:t>Diferencia sobre la promoción</w:t>
            </w:r>
          </w:p>
        </w:tc>
        <w:tc>
          <w:tcPr>
            <w:tcW w:type="dxa" w:w="4824"/>
          </w:tcPr>
          <w:p>
            <w:pPr>
              <w:spacing w:after="40"/>
            </w:pPr>
            <w:r/>
            <w:r>
              <w:rPr>
                <w:rFonts w:ascii="Inter" w:hAnsi="Inter" w:cs="Inter"/>
                <w:b/>
                <w:i w:val="0"/>
                <w:color w:val="1C1E2E"/>
                <w:sz w:val="19"/>
              </w:rPr>
              <w:t>+3,20 puntos</w:t>
            </w:r>
          </w:p>
        </w:tc>
      </w:tr>
      <w:tr>
        <w:tc>
          <w:tcPr>
            <w:tcW w:type="dxa" w:w="4824"/>
          </w:tcPr>
          <w:p>
            <w:pPr>
              <w:spacing w:after="40"/>
            </w:pPr>
            <w:r/>
            <w:r>
              <w:rPr>
                <w:rFonts w:ascii="Inter" w:hAnsi="Inter" w:cs="Inter"/>
                <w:b w:val="0"/>
                <w:i w:val="0"/>
                <w:color w:val="1C1E2E"/>
                <w:sz w:val="19"/>
              </w:rPr>
              <w:t>Documento</w:t>
            </w:r>
          </w:p>
        </w:tc>
        <w:tc>
          <w:tcPr>
            <w:tcW w:type="dxa" w:w="4824"/>
          </w:tcPr>
          <w:p>
            <w:pPr>
              <w:spacing w:after="40"/>
            </w:pPr>
            <w:r/>
            <w:r>
              <w:rPr>
                <w:rFonts w:ascii="Inter" w:hAnsi="Inter" w:cs="Inter"/>
                <w:b/>
                <w:i w:val="0"/>
                <w:color w:val="1C1E2E"/>
                <w:sz w:val="19"/>
              </w:rPr>
              <w:t>Constancia de Rango Académico</w:t>
            </w:r>
            <w:r>
              <w:rPr>
                <w:rFonts w:ascii="Inter" w:hAnsi="Inter" w:cs="Inter"/>
                <w:b w:val="0"/>
                <w:i w:val="0"/>
                <w:color w:val="1C1E2E"/>
                <w:sz w:val="19"/>
              </w:rPr>
              <w:t>, Oficina de Registros Estudiantiles, ULA-Táchira, 13 de enero de 2026 — firmada por la Coordinadora (E) de la ORE y el Vicerrector-Decano</w:t>
            </w:r>
          </w:p>
        </w:tc>
      </w:tr>
      <w:tr>
        <w:tc>
          <w:tcPr>
            <w:tcW w:type="dxa" w:w="4824"/>
          </w:tcPr>
          <w:p>
            <w:pPr>
              <w:spacing w:after="40"/>
            </w:pPr>
            <w:r/>
            <w:r>
              <w:rPr>
                <w:rFonts w:ascii="Inter" w:hAnsi="Inter" w:cs="Inter"/>
                <w:b w:val="0"/>
                <w:i w:val="0"/>
                <w:color w:val="1C1E2E"/>
                <w:sz w:val="19"/>
              </w:rPr>
              <w:t>Certificación de firmas</w:t>
            </w:r>
          </w:p>
        </w:tc>
        <w:tc>
          <w:tcPr>
            <w:tcW w:type="dxa" w:w="4824"/>
          </w:tcPr>
          <w:p>
            <w:pPr>
              <w:spacing w:after="40"/>
            </w:pPr>
            <w:r/>
            <w:r>
              <w:rPr>
                <w:rFonts w:ascii="Inter" w:hAnsi="Inter" w:cs="Inter"/>
                <w:b w:val="0"/>
                <w:i w:val="0"/>
                <w:color w:val="1C1E2E"/>
                <w:sz w:val="19"/>
              </w:rPr>
              <w:t xml:space="preserve">Secretaría de la ULA, papel de seguridad </w:t>
            </w:r>
            <w:r>
              <w:rPr>
                <w:rFonts w:ascii="Inter" w:hAnsi="Inter" w:cs="Inter"/>
                <w:b/>
                <w:i w:val="0"/>
                <w:color w:val="1C1E2E"/>
                <w:sz w:val="19"/>
              </w:rPr>
              <w:t>n.º ⟨n.º en la copia entregada a la comisión⟩</w:t>
            </w:r>
            <w:r>
              <w:rPr>
                <w:rFonts w:ascii="Inter" w:hAnsi="Inter" w:cs="Inter"/>
                <w:b w:val="0"/>
                <w:i w:val="0"/>
                <w:color w:val="1C1E2E"/>
                <w:sz w:val="19"/>
              </w:rPr>
              <w:t xml:space="preserve">, 30 de enero de 2026; refrendo del Rector. Verificable en  con el n.º </w:t>
            </w:r>
            <w:r>
              <w:rPr>
                <w:rFonts w:ascii="Inter" w:hAnsi="Inter" w:cs="Inter"/>
                <w:b/>
                <w:i w:val="0"/>
                <w:color w:val="1C1E2E"/>
                <w:sz w:val="19"/>
              </w:rPr>
              <w:t>⟨n.º en la copia entregada a la comisión⟩</w:t>
            </w:r>
          </w:p>
        </w:tc>
      </w:tr>
      <w:tr>
        <w:tc>
          <w:tcPr>
            <w:tcW w:type="dxa" w:w="4824"/>
          </w:tcPr>
          <w:p>
            <w:pPr>
              <w:spacing w:after="40"/>
            </w:pPr>
            <w:r/>
            <w:r>
              <w:rPr>
                <w:rFonts w:ascii="Inter" w:hAnsi="Inter" w:cs="Inter"/>
                <w:b/>
                <w:i w:val="0"/>
                <w:color w:val="1C1E2E"/>
                <w:sz w:val="19"/>
              </w:rPr>
              <w:t>Legalización internacional</w:t>
            </w:r>
          </w:p>
        </w:tc>
        <w:tc>
          <w:tcPr>
            <w:tcW w:type="dxa" w:w="4824"/>
          </w:tcPr>
          <w:p>
            <w:pPr>
              <w:spacing w:after="40"/>
            </w:pPr>
            <w:r/>
            <w:r>
              <w:rPr>
                <w:rFonts w:ascii="Inter" w:hAnsi="Inter" w:cs="Inter"/>
                <w:b/>
                <w:i w:val="0"/>
                <w:color w:val="1C1E2E"/>
                <w:sz w:val="19"/>
              </w:rPr>
              <w:t>Apostilla de La Haya n.º ⟨n.º en la copia entregada a la comisión⟩</w:t>
            </w:r>
            <w:r>
              <w:rPr>
                <w:rFonts w:ascii="Inter" w:hAnsi="Inter" w:cs="Inter"/>
                <w:b w:val="0"/>
                <w:i w:val="0"/>
                <w:color w:val="1C1E2E"/>
                <w:sz w:val="19"/>
              </w:rPr>
              <w:t xml:space="preserve">, Ministerio del Poder Popular para Relaciones Exteriores, Caracas, 20-03-2026 — validable con el código </w:t>
            </w:r>
            <w:r>
              <w:rPr>
                <w:rFonts w:ascii="Inter" w:hAnsi="Inter" w:cs="Inter"/>
                <w:b/>
                <w:i w:val="0"/>
                <w:color w:val="1C1E2E"/>
                <w:sz w:val="19"/>
              </w:rPr>
              <w:t>⟨código en la copia entregada a la comisión⟩</w:t>
            </w:r>
            <w:r>
              <w:rPr>
                <w:rFonts w:ascii="Inter" w:hAnsi="Inter" w:cs="Inter"/>
                <w:b w:val="0"/>
                <w:i w:val="0"/>
                <w:color w:val="1C1E2E"/>
                <w:sz w:val="19"/>
              </w:rPr>
              <w:t xml:space="preserve"> en </w:t>
            </w:r>
          </w:p>
        </w:tc>
      </w:tr>
    </w:tbl>
    <w:p/>
    <w:p>
      <w:r>
        <w:rPr>
          <w:rFonts w:ascii="Inter" w:hAnsi="Inter" w:cs="Inter"/>
          <w:b/>
          <w:i w:val="0"/>
          <w:color w:val="1C1E2E"/>
          <w:sz w:val="22"/>
        </w:rPr>
        <w:t>Distinciones asociadas:</w:t>
      </w:r>
      <w:r>
        <w:rPr>
          <w:rFonts w:ascii="Inter" w:hAnsi="Inter" w:cs="Inter"/>
          <w:b w:val="0"/>
          <w:i w:val="0"/>
          <w:color w:val="1C1E2E"/>
          <w:sz w:val="22"/>
        </w:rPr>
        <w:t xml:space="preserve"> </w:t>
      </w:r>
      <w:r>
        <w:rPr>
          <w:rFonts w:ascii="Inter" w:hAnsi="Inter" w:cs="Inter"/>
          <w:b/>
          <w:i w:val="0"/>
          <w:color w:val="1C1E2E"/>
          <w:sz w:val="22"/>
        </w:rPr>
        <w:t>Summa Cum Laude</w:t>
      </w:r>
      <w:r>
        <w:rPr>
          <w:rFonts w:ascii="Inter" w:hAnsi="Inter" w:cs="Inter"/>
          <w:b w:val="0"/>
          <w:i w:val="0"/>
          <w:color w:val="1C1E2E"/>
          <w:sz w:val="22"/>
        </w:rPr>
        <w:t xml:space="preserve"> y, por el Trabajo Especial de Grado, </w:t>
      </w:r>
      <w:r>
        <w:rPr>
          <w:rFonts w:ascii="Inter" w:hAnsi="Inter" w:cs="Inter"/>
          <w:b/>
          <w:i w:val="0"/>
          <w:color w:val="1C1E2E"/>
          <w:sz w:val="22"/>
        </w:rPr>
        <w:t>Diploma de Honor concedido por el Rector de la ULA</w:t>
      </w:r>
      <w:r>
        <w:rPr>
          <w:rFonts w:ascii="Inter" w:hAnsi="Inter" w:cs="Inter"/>
          <w:b w:val="0"/>
          <w:i w:val="0"/>
          <w:color w:val="1C1E2E"/>
          <w:sz w:val="22"/>
        </w:rPr>
        <w:t xml:space="preserve"> con calificación de </w:t>
      </w:r>
      <w:r>
        <w:rPr>
          <w:rFonts w:ascii="Inter" w:hAnsi="Inter" w:cs="Inter"/>
          <w:b/>
          <w:i w:val="0"/>
          <w:color w:val="1C1E2E"/>
          <w:sz w:val="22"/>
        </w:rPr>
        <w:t>veinte (20) puntos — Sobresaliente</w:t>
      </w:r>
      <w:r>
        <w:rPr>
          <w:rFonts w:ascii="Inter" w:hAnsi="Inter" w:cs="Inter"/>
          <w:b w:val="0"/>
          <w:i w:val="0"/>
          <w:color w:val="1C1E2E"/>
          <w:sz w:val="22"/>
        </w:rPr>
        <w:t xml:space="preserve"> (Mérida, 15 de noviembre de 2004) </w:t>
      </w:r>
      <w:r>
        <w:rPr>
          <w:rFonts w:ascii="Inter" w:hAnsi="Inter" w:cs="Inter"/>
          <w:b/>
          <w:i w:val="0"/>
          <w:color w:val="1C1E2E"/>
          <w:sz w:val="22"/>
        </w:rPr>
        <w:t>[DOC-07]</w:t>
      </w:r>
      <w:r>
        <w:rPr>
          <w:rFonts w:ascii="Inter" w:hAnsi="Inter" w:cs="Inter"/>
          <w:b w:val="0"/>
          <w:i w:val="0"/>
          <w:color w:val="1C1E2E"/>
          <w:sz w:val="22"/>
        </w:rPr>
        <w:t>.</w:t>
      </w:r>
    </w:p>
    <w:p>
      <w:r>
        <w:rPr>
          <w:rFonts w:ascii="Inter" w:hAnsi="Inter" w:cs="Inter"/>
          <w:b/>
          <w:i w:val="0"/>
          <w:color w:val="1C1E2E"/>
          <w:sz w:val="22"/>
        </w:rPr>
        <w:t>El primer puesto no fue un resultado puntual.</w:t>
      </w:r>
      <w:r>
        <w:rPr>
          <w:rFonts w:ascii="Inter" w:hAnsi="Inter" w:cs="Inter"/>
          <w:b w:val="0"/>
          <w:i w:val="0"/>
          <w:color w:val="1C1E2E"/>
          <w:sz w:val="22"/>
        </w:rPr>
        <w:t xml:space="preserve"> La ULA le confirió la </w:t>
      </w:r>
      <w:r>
        <w:rPr>
          <w:rFonts w:ascii="Inter" w:hAnsi="Inter" w:cs="Inter"/>
          <w:b/>
          <w:i w:val="0"/>
          <w:color w:val="1C1E2E"/>
          <w:sz w:val="22"/>
        </w:rPr>
        <w:t>Orden «Luis María Ribas Dávila»</w:t>
      </w:r>
      <w:r>
        <w:rPr>
          <w:rFonts w:ascii="Inter" w:hAnsi="Inter" w:cs="Inter"/>
          <w:b w:val="0"/>
          <w:i w:val="0"/>
          <w:color w:val="1C1E2E"/>
          <w:sz w:val="22"/>
        </w:rPr>
        <w:t xml:space="preserve"> —distinción rectoral al </w:t>
      </w:r>
      <w:r>
        <w:rPr>
          <w:rFonts w:ascii="Inter" w:hAnsi="Inter" w:cs="Inter"/>
          <w:b/>
          <w:i w:val="0"/>
          <w:color w:val="1C1E2E"/>
          <w:sz w:val="22"/>
        </w:rPr>
        <w:t>más alto rendimiento académico</w:t>
      </w:r>
      <w:r>
        <w:rPr>
          <w:rFonts w:ascii="Inter" w:hAnsi="Inter" w:cs="Inter"/>
          <w:b w:val="0"/>
          <w:i w:val="0"/>
          <w:color w:val="1C1E2E"/>
          <w:sz w:val="22"/>
        </w:rPr>
        <w:t xml:space="preserve"> de la Escuela de Educación, Núcleo Universitario del Táchira— en </w:t>
      </w:r>
      <w:r>
        <w:rPr>
          <w:rFonts w:ascii="Inter" w:hAnsi="Inter" w:cs="Inter"/>
          <w:b/>
          <w:i w:val="0"/>
          <w:color w:val="1C1E2E"/>
          <w:sz w:val="22"/>
        </w:rPr>
        <w:t>cuatro años consecutivos</w:t>
      </w:r>
      <w:r>
        <w:rPr>
          <w:rFonts w:ascii="Inter" w:hAnsi="Inter" w:cs="Inter"/>
          <w:b w:val="0"/>
          <w:i w:val="0"/>
          <w:color w:val="1C1E2E"/>
          <w:sz w:val="22"/>
        </w:rPr>
        <w:t>:</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Año</w:t>
            </w:r>
          </w:p>
        </w:tc>
        <w:tc>
          <w:tcPr>
            <w:tcW w:type="dxa" w:w="3216"/>
            <w:shd w:val="clear" w:color="auto" w:fill="EEF2FD"/>
          </w:tcPr>
          <w:p>
            <w:pPr>
              <w:spacing w:after="40"/>
            </w:pPr>
            <w:r/>
            <w:r>
              <w:rPr>
                <w:rFonts w:ascii="Inter" w:hAnsi="Inter" w:cs="Inter"/>
                <w:b/>
                <w:i w:val="0"/>
                <w:color w:val="22307C"/>
                <w:sz w:val="19"/>
              </w:rPr>
              <w:t>Distinción</w:t>
            </w:r>
          </w:p>
        </w:tc>
        <w:tc>
          <w:tcPr>
            <w:tcW w:type="dxa" w:w="3216"/>
            <w:shd w:val="clear" w:color="auto" w:fill="EEF2FD"/>
          </w:tcPr>
          <w:p>
            <w:pPr>
              <w:spacing w:after="40"/>
            </w:pPr>
            <w:r/>
            <w:r>
              <w:rPr>
                <w:rFonts w:ascii="Inter" w:hAnsi="Inter" w:cs="Inter"/>
                <w:b/>
                <w:i w:val="0"/>
                <w:color w:val="22307C"/>
                <w:sz w:val="19"/>
              </w:rPr>
              <w:t>Firmada por</w:t>
            </w:r>
          </w:p>
        </w:tc>
      </w:tr>
      <w:tr>
        <w:tc>
          <w:tcPr>
            <w:tcW w:type="dxa" w:w="3216"/>
          </w:tcPr>
          <w:p>
            <w:pPr>
              <w:spacing w:after="40"/>
            </w:pPr>
            <w:r/>
            <w:r>
              <w:rPr>
                <w:rFonts w:ascii="Inter" w:hAnsi="Inter" w:cs="Inter"/>
                <w:b/>
                <w:i w:val="0"/>
                <w:color w:val="1C1E2E"/>
                <w:sz w:val="19"/>
              </w:rPr>
              <w:t>2000</w:t>
            </w:r>
          </w:p>
        </w:tc>
        <w:tc>
          <w:tcPr>
            <w:tcW w:type="dxa" w:w="3216"/>
          </w:tcPr>
          <w:p>
            <w:pPr>
              <w:spacing w:after="40"/>
            </w:pPr>
            <w:r/>
            <w:r>
              <w:rPr>
                <w:rFonts w:ascii="Inter" w:hAnsi="Inter" w:cs="Inter"/>
                <w:b w:val="0"/>
                <w:i w:val="0"/>
                <w:color w:val="1C1E2E"/>
                <w:sz w:val="19"/>
              </w:rPr>
              <w:t>Orden «Luis María Ribas Dávila» — más alto rendimiento académico</w:t>
            </w:r>
          </w:p>
        </w:tc>
        <w:tc>
          <w:tcPr>
            <w:tcW w:type="dxa" w:w="3216"/>
          </w:tcPr>
          <w:p>
            <w:pPr>
              <w:spacing w:after="40"/>
            </w:pPr>
            <w:r/>
            <w:r>
              <w:rPr>
                <w:rFonts w:ascii="Inter" w:hAnsi="Inter" w:cs="Inter"/>
                <w:b w:val="0"/>
                <w:i w:val="0"/>
                <w:color w:val="1C1E2E"/>
                <w:sz w:val="19"/>
              </w:rPr>
              <w:t>Rector y Secretaria de la ULA</w:t>
            </w:r>
          </w:p>
        </w:tc>
      </w:tr>
      <w:tr>
        <w:tc>
          <w:tcPr>
            <w:tcW w:type="dxa" w:w="3216"/>
          </w:tcPr>
          <w:p>
            <w:pPr>
              <w:spacing w:after="40"/>
            </w:pPr>
            <w:r/>
            <w:r>
              <w:rPr>
                <w:rFonts w:ascii="Inter" w:hAnsi="Inter" w:cs="Inter"/>
                <w:b/>
                <w:i w:val="0"/>
                <w:color w:val="1C1E2E"/>
                <w:sz w:val="19"/>
              </w:rPr>
              <w:t>2001</w:t>
            </w:r>
          </w:p>
        </w:tc>
        <w:tc>
          <w:tcPr>
            <w:tcW w:type="dxa" w:w="3216"/>
          </w:tcPr>
          <w:p>
            <w:pPr>
              <w:spacing w:after="40"/>
            </w:pPr>
            <w:r/>
            <w:r>
              <w:rPr>
                <w:rFonts w:ascii="Inter" w:hAnsi="Inter" w:cs="Inter"/>
                <w:b w:val="0"/>
                <w:i w:val="0"/>
                <w:color w:val="1C1E2E"/>
                <w:sz w:val="19"/>
              </w:rPr>
              <w:t>Orden «Luis María Ribas Dávila» — más alto rendimiento académico</w:t>
            </w:r>
          </w:p>
        </w:tc>
        <w:tc>
          <w:tcPr>
            <w:tcW w:type="dxa" w:w="3216"/>
          </w:tcPr>
          <w:p>
            <w:pPr>
              <w:spacing w:after="40"/>
            </w:pPr>
            <w:r/>
            <w:r>
              <w:rPr>
                <w:rFonts w:ascii="Inter" w:hAnsi="Inter" w:cs="Inter"/>
                <w:b w:val="0"/>
                <w:i w:val="0"/>
                <w:color w:val="1C1E2E"/>
                <w:sz w:val="19"/>
              </w:rPr>
              <w:t>Rector y Secretaria de la ULA</w:t>
            </w:r>
          </w:p>
        </w:tc>
      </w:tr>
      <w:tr>
        <w:tc>
          <w:tcPr>
            <w:tcW w:type="dxa" w:w="3216"/>
          </w:tcPr>
          <w:p>
            <w:pPr>
              <w:spacing w:after="40"/>
            </w:pPr>
            <w:r/>
            <w:r>
              <w:rPr>
                <w:rFonts w:ascii="Inter" w:hAnsi="Inter" w:cs="Inter"/>
                <w:b/>
                <w:i w:val="0"/>
                <w:color w:val="1C1E2E"/>
                <w:sz w:val="19"/>
              </w:rPr>
              <w:t>2002</w:t>
            </w:r>
          </w:p>
        </w:tc>
        <w:tc>
          <w:tcPr>
            <w:tcW w:type="dxa" w:w="3216"/>
          </w:tcPr>
          <w:p>
            <w:pPr>
              <w:spacing w:after="40"/>
            </w:pPr>
            <w:r/>
            <w:r>
              <w:rPr>
                <w:rFonts w:ascii="Inter" w:hAnsi="Inter" w:cs="Inter"/>
                <w:b w:val="0"/>
                <w:i w:val="0"/>
                <w:color w:val="1C1E2E"/>
                <w:sz w:val="19"/>
              </w:rPr>
              <w:t>Orden «Luis María Ribas Dávila» — mayor rendimiento académico</w:t>
            </w:r>
          </w:p>
        </w:tc>
        <w:tc>
          <w:tcPr>
            <w:tcW w:type="dxa" w:w="3216"/>
          </w:tcPr>
          <w:p>
            <w:pPr>
              <w:spacing w:after="40"/>
            </w:pPr>
            <w:r/>
            <w:r>
              <w:rPr>
                <w:rFonts w:ascii="Inter" w:hAnsi="Inter" w:cs="Inter"/>
                <w:b w:val="0"/>
                <w:i w:val="0"/>
                <w:color w:val="1C1E2E"/>
                <w:sz w:val="19"/>
              </w:rPr>
              <w:t>Rector y Secretaria de la ULA</w:t>
            </w:r>
          </w:p>
        </w:tc>
      </w:tr>
      <w:tr>
        <w:tc>
          <w:tcPr>
            <w:tcW w:type="dxa" w:w="3216"/>
          </w:tcPr>
          <w:p>
            <w:pPr>
              <w:spacing w:after="40"/>
            </w:pPr>
            <w:r/>
            <w:r>
              <w:rPr>
                <w:rFonts w:ascii="Inter" w:hAnsi="Inter" w:cs="Inter"/>
                <w:b/>
                <w:i w:val="0"/>
                <w:color w:val="1C1E2E"/>
                <w:sz w:val="19"/>
              </w:rPr>
              <w:t>2003</w:t>
            </w:r>
          </w:p>
        </w:tc>
        <w:tc>
          <w:tcPr>
            <w:tcW w:type="dxa" w:w="3216"/>
          </w:tcPr>
          <w:p>
            <w:pPr>
              <w:spacing w:after="40"/>
            </w:pPr>
            <w:r/>
            <w:r>
              <w:rPr>
                <w:rFonts w:ascii="Inter" w:hAnsi="Inter" w:cs="Inter"/>
                <w:b w:val="0"/>
                <w:i w:val="0"/>
                <w:color w:val="1C1E2E"/>
                <w:sz w:val="19"/>
              </w:rPr>
              <w:t>Orden «Luis María Ribas Dávila» — mayor rendimiento académico</w:t>
            </w:r>
          </w:p>
        </w:tc>
        <w:tc>
          <w:tcPr>
            <w:tcW w:type="dxa" w:w="3216"/>
          </w:tcPr>
          <w:p>
            <w:pPr>
              <w:spacing w:after="40"/>
            </w:pPr>
            <w:r/>
            <w:r>
              <w:rPr>
                <w:rFonts w:ascii="Inter" w:hAnsi="Inter" w:cs="Inter"/>
                <w:b w:val="0"/>
                <w:i w:val="0"/>
                <w:color w:val="1C1E2E"/>
                <w:sz w:val="19"/>
              </w:rPr>
              <w:t>Rector y Secretaria de la ULA</w:t>
            </w:r>
          </w:p>
        </w:tc>
      </w:tr>
    </w:tbl>
    <w:p/>
    <w:p>
      <w:r>
        <w:rPr>
          <w:rFonts w:ascii="Inter" w:hAnsi="Inter" w:cs="Inter"/>
          <w:b w:val="0"/>
          <w:i w:val="0"/>
          <w:color w:val="1C1E2E"/>
          <w:sz w:val="22"/>
        </w:rPr>
        <w:t xml:space="preserve">Cuatro diplomas rectorales consecutivos </w:t>
      </w:r>
      <w:r>
        <w:rPr>
          <w:rFonts w:ascii="Inter" w:hAnsi="Inter" w:cs="Inter"/>
          <w:b/>
          <w:i w:val="0"/>
          <w:color w:val="1C1E2E"/>
          <w:sz w:val="22"/>
        </w:rPr>
        <w:t>[DOC-07B]</w:t>
      </w:r>
      <w:r>
        <w:rPr>
          <w:rFonts w:ascii="Inter" w:hAnsi="Inter" w:cs="Inter"/>
          <w:b w:val="0"/>
          <w:i w:val="0"/>
          <w:color w:val="1C1E2E"/>
          <w:sz w:val="22"/>
        </w:rPr>
        <w:t xml:space="preserve"> demuestran que el 1.º de 56 al graduarse fue la culminación de una trayectoria sostenida, no el resultado de un solo curso. Es el argumento que conviene poner por delante si la comisión duda de la equiparación con el Premio Extraordinario español.</w:t>
      </w:r>
    </w:p>
    <w:p>
      <w:pPr>
        <w:pBdr>
          <w:left w:val="single" w:sz="18" w:space="8" w:color="9A5B00"/>
        </w:pBdr>
        <w:spacing w:before="120" w:after="200"/>
        <w:ind w:left="317"/>
      </w:pPr>
      <w:r>
        <w:rPr>
          <w:rFonts w:ascii="Inter" w:hAnsi="Inter" w:cs="Inter"/>
          <w:b/>
          <w:i w:val="0"/>
          <w:color w:val="5B5F77"/>
          <w:sz w:val="21"/>
        </w:rPr>
        <w:t>Cómo redactarlo ante la comisión — esto importa.</w:t>
      </w:r>
      <w:r>
        <w:rPr>
          <w:rFonts w:ascii="Inter" w:hAnsi="Inter" w:cs="Inter"/>
          <w:b w:val="0"/>
          <w:i w:val="0"/>
          <w:color w:val="5B5F77"/>
          <w:sz w:val="21"/>
        </w:rPr>
        <w:t xml:space="preserve"> El documento venezolano </w:t>
      </w:r>
      <w:r>
        <w:rPr>
          <w:rFonts w:ascii="Inter" w:hAnsi="Inter" w:cs="Inter"/>
          <w:b/>
          <w:i w:val="0"/>
          <w:color w:val="5B5F77"/>
          <w:sz w:val="21"/>
        </w:rPr>
        <w:t>no se titula «Premio Extraordinario Fin de Carrera»</w:t>
      </w:r>
      <w:r>
        <w:rPr>
          <w:rFonts w:ascii="Inter" w:hAnsi="Inter" w:cs="Inter"/>
          <w:b w:val="0"/>
          <w:i w:val="0"/>
          <w:color w:val="5B5F77"/>
          <w:sz w:val="21"/>
        </w:rPr>
        <w:t xml:space="preserve">, porque la ULA no emite ese premio con esa denominación: emite la </w:t>
      </w:r>
      <w:r>
        <w:rPr>
          <w:rFonts w:ascii="Inter" w:hAnsi="Inter" w:cs="Inter"/>
          <w:b/>
          <w:i w:val="0"/>
          <w:color w:val="5B5F77"/>
          <w:sz w:val="21"/>
        </w:rPr>
        <w:t>Constancia de Rango Académico</w:t>
      </w:r>
      <w:r>
        <w:rPr>
          <w:rFonts w:ascii="Inter" w:hAnsi="Inter" w:cs="Inter"/>
          <w:b w:val="0"/>
          <w:i w:val="0"/>
          <w:color w:val="5B5F77"/>
          <w:sz w:val="21"/>
        </w:rPr>
        <w:t xml:space="preserve">, que es su equivalente funcional y certifica exactamente lo mismo que el premio español acredita — </w:t>
      </w:r>
      <w:r>
        <w:rPr>
          <w:rFonts w:ascii="Inter" w:hAnsi="Inter" w:cs="Inter"/>
          <w:b/>
          <w:i w:val="0"/>
          <w:color w:val="5B5F77"/>
          <w:sz w:val="21"/>
        </w:rPr>
        <w:t>haber ocupado el primer puesto de la promoción</w:t>
      </w:r>
      <w:r>
        <w:rPr>
          <w:rFonts w:ascii="Inter" w:hAnsi="Inter" w:cs="Inter"/>
          <w:b w:val="0"/>
          <w:i w:val="0"/>
          <w:color w:val="5B5F77"/>
          <w:sz w:val="21"/>
        </w:rPr>
        <w:t xml:space="preserve">. Preséntalo así, con esas palabras, y adjunta la constancia apostillada: la comisión ve un dato numérico verificable (1.º de 56, 18,97 frente a 15,77) en lugar de una etiqueta que tendría que interpretar. Es, además, el mérito </w:t>
      </w:r>
      <w:r>
        <w:rPr>
          <w:rFonts w:ascii="Inter" w:hAnsi="Inter" w:cs="Inter"/>
          <w:b/>
          <w:i w:val="0"/>
          <w:color w:val="5B5F77"/>
          <w:sz w:val="21"/>
        </w:rPr>
        <w:t>mejor documentado de todo el expediente</w:t>
      </w:r>
      <w:r>
        <w:rPr>
          <w:rFonts w:ascii="Inter" w:hAnsi="Inter" w:cs="Inter"/>
          <w:b w:val="0"/>
          <w:i w:val="0"/>
          <w:color w:val="5B5F77"/>
          <w:sz w:val="21"/>
        </w:rPr>
        <w:t>: constancia oficial + certificación de firmas del Rectorado + apostilla de La Haya con código de validación en línea. Ningún otro apartado del baremo llega a ese nivel de prueba.</w:t>
      </w:r>
    </w:p>
    <w:p>
      <w:r>
        <w:rPr>
          <w:rFonts w:ascii="Inter" w:hAnsi="Inter" w:cs="Inter"/>
          <w:b/>
          <w:i w:val="0"/>
          <w:color w:val="1C1E2E"/>
          <w:sz w:val="22"/>
        </w:rPr>
        <w:t>Acreditación:</w:t>
      </w:r>
      <w:r>
        <w:rPr>
          <w:rFonts w:ascii="Inter" w:hAnsi="Inter" w:cs="Inter"/>
          <w:b w:val="0"/>
          <w:i w:val="0"/>
          <w:color w:val="1C1E2E"/>
          <w:sz w:val="22"/>
        </w:rPr>
        <w:t xml:space="preserve"> Constancia de Rango Académico con certificación rectoral y apostilla </w:t>
      </w:r>
      <w:r>
        <w:rPr>
          <w:rFonts w:ascii="Inter" w:hAnsi="Inter" w:cs="Inter"/>
          <w:b/>
          <w:i w:val="0"/>
          <w:color w:val="1C1E2E"/>
          <w:sz w:val="22"/>
        </w:rPr>
        <w:t>[DOC-06]</w:t>
      </w:r>
      <w:r>
        <w:rPr>
          <w:rFonts w:ascii="Inter" w:hAnsi="Inter" w:cs="Inter"/>
          <w:b w:val="0"/>
          <w:i w:val="0"/>
          <w:color w:val="1C1E2E"/>
          <w:sz w:val="22"/>
        </w:rPr>
        <w:t xml:space="preserve"> · Diploma de Honor del TFG (20/20 Sobresaliente) </w:t>
      </w:r>
      <w:r>
        <w:rPr>
          <w:rFonts w:ascii="Inter" w:hAnsi="Inter" w:cs="Inter"/>
          <w:b/>
          <w:i w:val="0"/>
          <w:color w:val="1C1E2E"/>
          <w:sz w:val="22"/>
        </w:rPr>
        <w:t>[DOC-07]</w:t>
      </w:r>
      <w:r>
        <w:rPr>
          <w:rFonts w:ascii="Inter" w:hAnsi="Inter" w:cs="Inter"/>
          <w:b w:val="0"/>
          <w:i w:val="0"/>
          <w:color w:val="1C1E2E"/>
          <w:sz w:val="22"/>
        </w:rPr>
        <w:t>.</w:t>
      </w:r>
    </w:p>
    <w:p>
      <w:pPr>
        <w:pBdr>
          <w:bottom w:val="single" w:sz="6" w:space="1" w:color="E6E8F2"/>
        </w:pBdr>
      </w:pPr>
    </w:p>
    <w:p>
      <w:pPr>
        <w:spacing w:before="320" w:after="120"/>
      </w:pPr>
      <w:r>
        <w:rPr>
          <w:rFonts w:ascii="Fraunces" w:hAnsi="Fraunces" w:cs="Fraunces"/>
          <w:b/>
          <w:i w:val="0"/>
          <w:color w:val="22307C"/>
          <w:sz w:val="32"/>
        </w:rPr>
        <w:t xml:space="preserve">B.2 · Premio extraordinario de máster — </w:t>
      </w:r>
      <w:r>
        <w:rPr>
          <w:rFonts w:ascii="Fraunces" w:hAnsi="Fraunces" w:cs="Fraunces"/>
          <w:b/>
          <w:i w:val="0"/>
          <w:color w:val="22307C"/>
          <w:sz w:val="32"/>
        </w:rPr>
        <w:t>5 %</w:t>
      </w:r>
      <w:r>
        <w:rPr>
          <w:rFonts w:ascii="Fraunces" w:hAnsi="Fraunces" w:cs="Fraunces"/>
          <w:b/>
          <w:i w:val="0"/>
          <w:color w:val="22307C"/>
          <w:sz w:val="32"/>
        </w:rPr>
        <w:t xml:space="preserve"> ❌ NO PROCEDE COMO PREMIO</w:t>
      </w:r>
    </w:p>
    <w:p>
      <w:r>
        <w:rPr>
          <w:rFonts w:ascii="Inter" w:hAnsi="Inter" w:cs="Inter"/>
          <w:b/>
          <w:i w:val="0"/>
          <w:color w:val="1C1E2E"/>
          <w:sz w:val="22"/>
        </w:rPr>
        <w:t>El Premio Extraordinario que se posee es el de grado (§B.1), no el de máster.</w:t>
      </w:r>
      <w:r>
        <w:rPr>
          <w:rFonts w:ascii="Inter" w:hAnsi="Inter" w:cs="Inter"/>
          <w:b w:val="0"/>
          <w:i w:val="0"/>
          <w:color w:val="1C1E2E"/>
          <w:sz w:val="22"/>
        </w:rPr>
        <w:t xml:space="preserve"> No se declara aquí ningún premio.</w:t>
      </w:r>
    </w:p>
    <w:p>
      <w:r>
        <w:rPr>
          <w:rFonts w:ascii="Inter" w:hAnsi="Inter" w:cs="Inter"/>
          <w:b/>
          <w:i w:val="0"/>
          <w:color w:val="1C1E2E"/>
          <w:sz w:val="22"/>
        </w:rPr>
        <w:t>Lo que sí se declara como distinción académica del máster</w:t>
      </w:r>
      <w:r>
        <w:rPr>
          <w:rFonts w:ascii="Inter" w:hAnsi="Inter" w:cs="Inter"/>
          <w:b w:val="0"/>
          <w:i w:val="0"/>
          <w:color w:val="1C1E2E"/>
          <w:sz w:val="22"/>
        </w:rPr>
        <w:t xml:space="preserve"> — y que refuerza el Bloque A, no este apartado:</w:t>
      </w:r>
    </w:p>
    <w:p>
      <w:pPr>
        <w:pStyle w:val="ListBullet"/>
        <w:spacing w:after="60"/>
        <w:ind w:left="403"/>
      </w:pPr>
      <w:r>
        <w:rPr>
          <w:rFonts w:ascii="Inter" w:hAnsi="Inter" w:cs="Inter"/>
          <w:b/>
          <w:i w:val="0"/>
          <w:color w:val="1C1E2E"/>
          <w:sz w:val="22"/>
        </w:rPr>
        <w:t>2 Matrículas de Honor</w:t>
      </w:r>
      <w:r>
        <w:rPr>
          <w:rFonts w:ascii="Inter" w:hAnsi="Inter" w:cs="Inter"/>
          <w:b w:val="0"/>
          <w:i w:val="0"/>
          <w:color w:val="1C1E2E"/>
          <w:sz w:val="22"/>
        </w:rPr>
        <w:t xml:space="preserve"> en el Máster Universitario en Lenguas y Tecnología (UPV, 2026).</w:t>
      </w:r>
    </w:p>
    <w:p>
      <w:pPr>
        <w:pStyle w:val="ListBullet"/>
        <w:spacing w:after="60"/>
        <w:ind w:left="403"/>
      </w:pPr>
      <w:r>
        <w:rPr>
          <w:rFonts w:ascii="Inter" w:hAnsi="Inter" w:cs="Inter"/>
          <w:b w:val="0"/>
          <w:i w:val="0"/>
          <w:color w:val="1C1E2E"/>
          <w:sz w:val="22"/>
        </w:rPr>
        <w:t xml:space="preserve">Nota media del expediente </w:t>
      </w:r>
      <w:r>
        <w:rPr>
          <w:rFonts w:ascii="Inter" w:hAnsi="Inter" w:cs="Inter"/>
          <w:b/>
          <w:i w:val="0"/>
          <w:color w:val="1C1E2E"/>
          <w:sz w:val="22"/>
        </w:rPr>
        <w:t>9,4 / 10</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Calificación de </w:t>
      </w:r>
      <w:r>
        <w:rPr>
          <w:rFonts w:ascii="Inter" w:hAnsi="Inter" w:cs="Inter"/>
          <w:b/>
          <w:i w:val="0"/>
          <w:color w:val="1C1E2E"/>
          <w:sz w:val="22"/>
        </w:rPr>
        <w:t>10/10</w:t>
      </w:r>
      <w:r>
        <w:rPr>
          <w:rFonts w:ascii="Inter" w:hAnsi="Inter" w:cs="Inter"/>
          <w:b w:val="0"/>
          <w:i w:val="0"/>
          <w:color w:val="1C1E2E"/>
          <w:sz w:val="22"/>
        </w:rPr>
        <w:t xml:space="preserve"> en el proyecto </w:t>
      </w:r>
      <w:r>
        <w:rPr>
          <w:rFonts w:ascii="Inter" w:hAnsi="Inter" w:cs="Inter"/>
          <w:b w:val="0"/>
          <w:i/>
          <w:color w:val="1C1E2E"/>
          <w:sz w:val="22"/>
        </w:rPr>
        <w:t>Academic Writing Journey</w:t>
      </w:r>
      <w:r>
        <w:rPr>
          <w:rFonts w:ascii="Inter" w:hAnsi="Inter" w:cs="Inter"/>
          <w:b w:val="0"/>
          <w:i w:val="0"/>
          <w:color w:val="1C1E2E"/>
          <w:sz w:val="22"/>
        </w:rPr>
        <w:t>.</w:t>
      </w:r>
    </w:p>
    <w:p>
      <w:pPr>
        <w:pBdr>
          <w:left w:val="single" w:sz="18" w:space="8" w:color="9A5B00"/>
        </w:pBdr>
        <w:spacing w:before="120" w:after="200"/>
        <w:ind w:left="317"/>
      </w:pPr>
      <w:r>
        <w:rPr>
          <w:rFonts w:ascii="Inter" w:hAnsi="Inter" w:cs="Inter"/>
          <w:b/>
          <w:i w:val="0"/>
          <w:color w:val="5B5F77"/>
          <w:sz w:val="21"/>
        </w:rPr>
        <w:t>Por qué dejarlo a cero es la decisión correcta.</w:t>
      </w:r>
      <w:r>
        <w:rPr>
          <w:rFonts w:ascii="Inter" w:hAnsi="Inter" w:cs="Inter"/>
          <w:b w:val="0"/>
          <w:i w:val="0"/>
          <w:color w:val="5B5F77"/>
          <w:sz w:val="21"/>
        </w:rPr>
        <w:t xml:space="preserve"> Una </w:t>
      </w:r>
      <w:r>
        <w:rPr>
          <w:rFonts w:ascii="Inter" w:hAnsi="Inter" w:cs="Inter"/>
          <w:b w:val="0"/>
          <w:i/>
          <w:color w:val="5B5F77"/>
          <w:sz w:val="21"/>
        </w:rPr>
        <w:t>Matrícula de Honor</w:t>
      </w:r>
      <w:r>
        <w:rPr>
          <w:rFonts w:ascii="Inter" w:hAnsi="Inter" w:cs="Inter"/>
          <w:b w:val="0"/>
          <w:i w:val="0"/>
          <w:color w:val="5B5F77"/>
          <w:sz w:val="21"/>
        </w:rPr>
        <w:t xml:space="preserve"> es una calificación de asignatura; el </w:t>
      </w:r>
      <w:r>
        <w:rPr>
          <w:rFonts w:ascii="Inter" w:hAnsi="Inter" w:cs="Inter"/>
          <w:b w:val="0"/>
          <w:i/>
          <w:color w:val="5B5F77"/>
          <w:sz w:val="21"/>
        </w:rPr>
        <w:t>Premio Extraordinario de Máster</w:t>
      </w:r>
      <w:r>
        <w:rPr>
          <w:rFonts w:ascii="Inter" w:hAnsi="Inter" w:cs="Inter"/>
          <w:b w:val="0"/>
          <w:i w:val="0"/>
          <w:color w:val="5B5F77"/>
          <w:sz w:val="21"/>
        </w:rPr>
        <w:t xml:space="preserve"> es una resolución de la universidad al mejor expediente de la promoción. Declarar la una como el otro invalidaría el mérito y restaría credibilidad al resto del CV — precisamente cuando §B.1 sí aporta un premio real, certificado y apostillado. Si la UPV resolviera el Premio Extraordinario a tu favor más adelante, se añade la resolución como </w:t>
      </w:r>
      <w:r>
        <w:rPr>
          <w:rFonts w:ascii="Inter" w:hAnsi="Inter" w:cs="Inter"/>
          <w:b/>
          <w:i w:val="0"/>
          <w:color w:val="5B5F77"/>
          <w:sz w:val="21"/>
        </w:rPr>
        <w:t>[DOC-08]</w:t>
      </w:r>
      <w:r>
        <w:rPr>
          <w:rFonts w:ascii="Inter" w:hAnsi="Inter" w:cs="Inter"/>
          <w:b w:val="0"/>
          <w:i w:val="0"/>
          <w:color w:val="5B5F77"/>
          <w:sz w:val="21"/>
        </w:rPr>
        <w:t xml:space="preserve"> y este apartado pasa a puntuar.</w:t>
      </w:r>
    </w:p>
    <w:p>
      <w:r>
        <w:rPr>
          <w:rFonts w:ascii="Inter" w:hAnsi="Inter" w:cs="Inter"/>
          <w:b/>
          <w:i w:val="0"/>
          <w:color w:val="1C1E2E"/>
          <w:sz w:val="22"/>
        </w:rPr>
        <w:t>Acreditación:</w:t>
      </w:r>
      <w:r>
        <w:rPr>
          <w:rFonts w:ascii="Inter" w:hAnsi="Inter" w:cs="Inter"/>
          <w:b w:val="0"/>
          <w:i w:val="0"/>
          <w:color w:val="1C1E2E"/>
          <w:sz w:val="22"/>
        </w:rPr>
        <w:t xml:space="preserve"> certificación académica con las 2 Matrículas de Honor, incluida en </w:t>
      </w:r>
      <w:r>
        <w:rPr>
          <w:rFonts w:ascii="Inter" w:hAnsi="Inter" w:cs="Inter"/>
          <w:b/>
          <w:i w:val="0"/>
          <w:color w:val="1C1E2E"/>
          <w:sz w:val="22"/>
        </w:rPr>
        <w:t>[DOC-01]</w:t>
      </w:r>
      <w:r>
        <w:rPr>
          <w:rFonts w:ascii="Inter" w:hAnsi="Inter" w:cs="Inter"/>
          <w:b w:val="0"/>
          <w:i w:val="0"/>
          <w:color w:val="1C1E2E"/>
          <w:sz w:val="22"/>
        </w:rPr>
        <w:t>.</w:t>
      </w:r>
    </w:p>
    <w:p>
      <w:pPr>
        <w:pBdr>
          <w:bottom w:val="single" w:sz="6" w:space="1" w:color="E6E8F2"/>
        </w:pBdr>
      </w:pPr>
    </w:p>
    <w:p>
      <w:pPr>
        <w:spacing w:before="320" w:after="120"/>
      </w:pPr>
      <w:r>
        <w:rPr>
          <w:rFonts w:ascii="Fraunces" w:hAnsi="Fraunces" w:cs="Fraunces"/>
          <w:b/>
          <w:i w:val="0"/>
          <w:color w:val="22307C"/>
          <w:sz w:val="32"/>
        </w:rPr>
        <w:t xml:space="preserve">B.3 · Realización de un segundo máster — </w:t>
      </w:r>
      <w:r>
        <w:rPr>
          <w:rFonts w:ascii="Fraunces" w:hAnsi="Fraunces" w:cs="Fraunces"/>
          <w:b/>
          <w:i w:val="0"/>
          <w:color w:val="22307C"/>
          <w:sz w:val="32"/>
        </w:rPr>
        <w:t>5 %</w:t>
      </w:r>
      <w:r>
        <w:rPr>
          <w:rFonts w:ascii="Fraunces" w:hAnsi="Fraunces" w:cs="Fraunces"/>
          <w:b/>
          <w:i w:val="0"/>
          <w:color w:val="22307C"/>
          <w:sz w:val="32"/>
        </w:rPr>
        <w:t xml:space="preserve"> ❌ NO ACREDITADO ACTUALMENTE</w:t>
      </w:r>
    </w:p>
    <w:p>
      <w:r>
        <w:rPr>
          <w:rFonts w:ascii="Inter" w:hAnsi="Inter" w:cs="Inter"/>
          <w:b w:val="0"/>
          <w:i w:val="0"/>
          <w:color w:val="1C1E2E"/>
          <w:sz w:val="22"/>
        </w:rPr>
        <w:t>No se posee, a fecha de esta solicitud, un segundo título de máster universitario oficial además del Máster en Lenguas y Tecnología (UPV).</w:t>
      </w:r>
    </w:p>
    <w:p>
      <w:r>
        <w:rPr>
          <w:rFonts w:ascii="Inter" w:hAnsi="Inter" w:cs="Inter"/>
          <w:b/>
          <w:i w:val="0"/>
          <w:color w:val="1C1E2E"/>
          <w:sz w:val="22"/>
        </w:rPr>
        <w:t>Qué SÍ se puede aportar como formación de posgrado complementaria</w:t>
      </w:r>
      <w:r>
        <w:rPr>
          <w:rFonts w:ascii="Inter" w:hAnsi="Inter" w:cs="Inter"/>
          <w:b w:val="0"/>
          <w:i w:val="0"/>
          <w:color w:val="1C1E2E"/>
          <w:sz w:val="22"/>
        </w:rPr>
        <w:t xml:space="preserve"> (no puntúa en este apartado, pero refuerza el conjunto y se declara en §6):</w:t>
      </w:r>
    </w:p>
    <w:p>
      <w:pPr>
        <w:pStyle w:val="ListBullet"/>
        <w:spacing w:after="60"/>
        <w:ind w:left="403"/>
      </w:pPr>
      <w:r>
        <w:rPr>
          <w:rFonts w:ascii="Inter" w:hAnsi="Inter" w:cs="Inter"/>
          <w:b w:val="0"/>
          <w:i/>
          <w:color w:val="1C1E2E"/>
          <w:sz w:val="22"/>
        </w:rPr>
        <w:t>Instructional Design: Course Planning and Pedagogy</w:t>
      </w:r>
      <w:r>
        <w:rPr>
          <w:rFonts w:ascii="Inter" w:hAnsi="Inter" w:cs="Inter"/>
          <w:b w:val="0"/>
          <w:i w:val="0"/>
          <w:color w:val="1C1E2E"/>
          <w:sz w:val="22"/>
        </w:rPr>
        <w:t xml:space="preserve"> — University of California, Irvine (Division of Continuing Education), enero 2025.</w:t>
      </w:r>
    </w:p>
    <w:p>
      <w:pPr>
        <w:pStyle w:val="ListBullet"/>
        <w:spacing w:after="60"/>
        <w:ind w:left="403"/>
      </w:pPr>
      <w:r>
        <w:rPr>
          <w:rFonts w:ascii="Inter" w:hAnsi="Inter" w:cs="Inter"/>
          <w:b w:val="0"/>
          <w:i/>
          <w:color w:val="1C1E2E"/>
          <w:sz w:val="22"/>
        </w:rPr>
        <w:t>Instructional Design Fundamentals</w:t>
      </w:r>
      <w:r>
        <w:rPr>
          <w:rFonts w:ascii="Inter" w:hAnsi="Inter" w:cs="Inter"/>
          <w:b w:val="0"/>
          <w:i w:val="0"/>
          <w:color w:val="1C1E2E"/>
          <w:sz w:val="22"/>
        </w:rPr>
        <w:t xml:space="preserve"> — University of Cambridge (Professional and Continuing Education), marzo 2025.</w:t>
      </w:r>
    </w:p>
    <w:p>
      <w:pPr>
        <w:pStyle w:val="ListBullet"/>
        <w:spacing w:after="60"/>
        <w:ind w:left="403"/>
      </w:pPr>
      <w:r>
        <w:rPr>
          <w:rFonts w:ascii="Inter" w:hAnsi="Inter" w:cs="Inter"/>
          <w:b w:val="0"/>
          <w:i/>
          <w:color w:val="1C1E2E"/>
          <w:sz w:val="22"/>
        </w:rPr>
        <w:t>AP Stylebook Workshop Certificate</w:t>
      </w:r>
      <w:r>
        <w:rPr>
          <w:rFonts w:ascii="Inter" w:hAnsi="Inter" w:cs="Inter"/>
          <w:b w:val="0"/>
          <w:i w:val="0"/>
          <w:color w:val="1C1E2E"/>
          <w:sz w:val="22"/>
        </w:rPr>
        <w:t xml:space="preserve"> — The Associated Press, mayo 2024 (validez hasta diciembre 2034).</w:t>
      </w:r>
    </w:p>
    <w:p>
      <w:pPr>
        <w:pStyle w:val="ListBullet"/>
        <w:spacing w:after="60"/>
        <w:ind w:left="403"/>
      </w:pPr>
      <w:r>
        <w:rPr>
          <w:rFonts w:ascii="Inter" w:hAnsi="Inter" w:cs="Inter"/>
          <w:b w:val="0"/>
          <w:i/>
          <w:color w:val="1C1E2E"/>
          <w:sz w:val="22"/>
        </w:rPr>
        <w:t>Creación de contenidos digitales, mobile learning y gamificación</w:t>
      </w:r>
      <w:r>
        <w:rPr>
          <w:rFonts w:ascii="Inter" w:hAnsi="Inter" w:cs="Inter"/>
          <w:b w:val="0"/>
          <w:i w:val="0"/>
          <w:color w:val="1C1E2E"/>
          <w:sz w:val="22"/>
        </w:rPr>
        <w:t xml:space="preserve"> — SEPE, 2024.</w:t>
      </w:r>
    </w:p>
    <w:p>
      <w:pPr>
        <w:pBdr>
          <w:left w:val="single" w:sz="18" w:space="8" w:color="9A5B00"/>
        </w:pBdr>
        <w:spacing w:before="120" w:after="200"/>
        <w:ind w:left="317"/>
      </w:pPr>
      <w:r>
        <w:rPr>
          <w:rFonts w:ascii="Inter" w:hAnsi="Inter" w:cs="Inter"/>
          <w:b/>
          <w:i w:val="0"/>
          <w:color w:val="5B5F77"/>
          <w:sz w:val="21"/>
        </w:rPr>
        <w:t>Nota estratégica.</w:t>
      </w:r>
      <w:r>
        <w:rPr>
          <w:rFonts w:ascii="Inter" w:hAnsi="Inter" w:cs="Inter"/>
          <w:b w:val="0"/>
          <w:i w:val="0"/>
          <w:color w:val="5B5F77"/>
          <w:sz w:val="21"/>
        </w:rPr>
        <w:t xml:space="preserve"> Este es el único de los seis méritos que hoy queda a cero. Es honesto dejarlo así: la comisión valora la coherencia del expediente, y los otros cinco apartados están cubiertos. No conviene forzar cursos de especialización como si fueran un máster oficial.</w:t>
      </w:r>
    </w:p>
    <w:p>
      <w:pPr>
        <w:pBdr>
          <w:bottom w:val="single" w:sz="6" w:space="1" w:color="E6E8F2"/>
        </w:pBdr>
      </w:pPr>
    </w:p>
    <w:p>
      <w:pPr>
        <w:spacing w:before="320" w:after="120"/>
      </w:pPr>
      <w:r>
        <w:rPr>
          <w:rFonts w:ascii="Fraunces" w:hAnsi="Fraunces" w:cs="Fraunces"/>
          <w:b/>
          <w:i w:val="0"/>
          <w:color w:val="22307C"/>
          <w:sz w:val="32"/>
        </w:rPr>
        <w:t xml:space="preserve">B.4 · Conocimiento de idiomas diferentes a los de las titulaciones previas — </w:t>
      </w:r>
      <w:r>
        <w:rPr>
          <w:rFonts w:ascii="Fraunces" w:hAnsi="Fraunces" w:cs="Fraunces"/>
          <w:b/>
          <w:i w:val="0"/>
          <w:color w:val="22307C"/>
          <w:sz w:val="32"/>
        </w:rPr>
        <w:t>5 %</w:t>
      </w:r>
      <w:r>
        <w:rPr>
          <w:rFonts w:ascii="Fraunces" w:hAnsi="Fraunces" w:cs="Fraunces"/>
          <w:b/>
          <w:i w:val="0"/>
          <w:color w:val="22307C"/>
          <w:sz w:val="32"/>
        </w:rPr>
        <w:t xml:space="preserve"> ⚠️ INTERPRETACIÓN</w:t>
      </w:r>
    </w:p>
    <w:p>
      <w:r>
        <w:rPr>
          <w:rFonts w:ascii="Inter" w:hAnsi="Inter" w:cs="Inter"/>
          <w:b/>
          <w:i w:val="0"/>
          <w:color w:val="1C1E2E"/>
          <w:sz w:val="22"/>
        </w:rPr>
        <w:t>Acreditaciones que se aportan:</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Credencial</w:t>
            </w:r>
          </w:p>
        </w:tc>
        <w:tc>
          <w:tcPr>
            <w:tcW w:type="dxa" w:w="3216"/>
            <w:shd w:val="clear" w:color="auto" w:fill="EEF2FD"/>
          </w:tcPr>
          <w:p>
            <w:pPr>
              <w:spacing w:after="40"/>
            </w:pPr>
            <w:r/>
            <w:r>
              <w:rPr>
                <w:rFonts w:ascii="Inter" w:hAnsi="Inter" w:cs="Inter"/>
                <w:b/>
                <w:i w:val="0"/>
                <w:color w:val="22307C"/>
                <w:sz w:val="19"/>
              </w:rPr>
              <w:t>Entidad</w:t>
            </w:r>
          </w:p>
        </w:tc>
        <w:tc>
          <w:tcPr>
            <w:tcW w:type="dxa" w:w="3216"/>
            <w:shd w:val="clear" w:color="auto" w:fill="EEF2FD"/>
          </w:tcPr>
          <w:p>
            <w:pPr>
              <w:spacing w:after="40"/>
            </w:pPr>
            <w:r/>
            <w:r>
              <w:rPr>
                <w:rFonts w:ascii="Inter" w:hAnsi="Inter" w:cs="Inter"/>
                <w:b/>
                <w:i w:val="0"/>
                <w:color w:val="22307C"/>
                <w:sz w:val="19"/>
              </w:rPr>
              <w:t>Nivel / estado</w:t>
            </w:r>
          </w:p>
        </w:tc>
      </w:tr>
      <w:tr>
        <w:tc>
          <w:tcPr>
            <w:tcW w:type="dxa" w:w="3216"/>
          </w:tcPr>
          <w:p>
            <w:pPr>
              <w:spacing w:after="40"/>
            </w:pPr>
            <w:r/>
            <w:r>
              <w:rPr>
                <w:rFonts w:ascii="Inter" w:hAnsi="Inter" w:cs="Inter"/>
                <w:b/>
                <w:i w:val="0"/>
                <w:color w:val="1C1E2E"/>
                <w:sz w:val="19"/>
              </w:rPr>
              <w:t>C1 Advanced (CAE)</w:t>
            </w:r>
          </w:p>
        </w:tc>
        <w:tc>
          <w:tcPr>
            <w:tcW w:type="dxa" w:w="3216"/>
          </w:tcPr>
          <w:p>
            <w:pPr>
              <w:spacing w:after="40"/>
            </w:pPr>
            <w:r/>
            <w:r>
              <w:rPr>
                <w:rFonts w:ascii="Inter" w:hAnsi="Inter" w:cs="Inter"/>
                <w:b w:val="0"/>
                <w:i w:val="0"/>
                <w:color w:val="1C1E2E"/>
                <w:sz w:val="19"/>
              </w:rPr>
              <w:t>Cambridge English</w:t>
            </w:r>
          </w:p>
        </w:tc>
        <w:tc>
          <w:tcPr>
            <w:tcW w:type="dxa" w:w="3216"/>
          </w:tcPr>
          <w:p>
            <w:pPr>
              <w:spacing w:after="40"/>
            </w:pPr>
            <w:r/>
            <w:r>
              <w:rPr>
                <w:rFonts w:ascii="Inter" w:hAnsi="Inter" w:cs="Inter"/>
                <w:b/>
                <w:i w:val="0"/>
                <w:color w:val="1C1E2E"/>
                <w:sz w:val="19"/>
              </w:rPr>
              <w:t>C1</w:t>
            </w:r>
            <w:r>
              <w:rPr>
                <w:rFonts w:ascii="Inter" w:hAnsi="Inter" w:cs="Inter"/>
                <w:b w:val="0"/>
                <w:i w:val="0"/>
                <w:color w:val="1C1E2E"/>
                <w:sz w:val="19"/>
              </w:rPr>
              <w:t xml:space="preserve"> — acreditación oficial </w:t>
            </w:r>
            <w:r>
              <w:rPr>
                <w:rFonts w:ascii="Inter" w:hAnsi="Inter" w:cs="Inter"/>
                <w:b/>
                <w:i w:val="0"/>
                <w:color w:val="1C1E2E"/>
                <w:sz w:val="19"/>
              </w:rPr>
              <w:t>[DOC-09]</w:t>
            </w:r>
          </w:p>
        </w:tc>
      </w:tr>
      <w:tr>
        <w:tc>
          <w:tcPr>
            <w:tcW w:type="dxa" w:w="3216"/>
          </w:tcPr>
          <w:p>
            <w:pPr>
              <w:spacing w:after="40"/>
            </w:pPr>
            <w:r/>
            <w:r>
              <w:rPr>
                <w:rFonts w:ascii="Inter" w:hAnsi="Inter" w:cs="Inter"/>
                <w:b/>
                <w:i w:val="0"/>
                <w:color w:val="1C1E2E"/>
                <w:sz w:val="19"/>
              </w:rPr>
              <w:t>CELTA</w:t>
            </w:r>
          </w:p>
        </w:tc>
        <w:tc>
          <w:tcPr>
            <w:tcW w:type="dxa" w:w="3216"/>
          </w:tcPr>
          <w:p>
            <w:pPr>
              <w:spacing w:after="40"/>
            </w:pPr>
            <w:r/>
            <w:r>
              <w:rPr>
                <w:rFonts w:ascii="Inter" w:hAnsi="Inter" w:cs="Inter"/>
                <w:b w:val="0"/>
                <w:i w:val="0"/>
                <w:color w:val="1C1E2E"/>
                <w:sz w:val="19"/>
              </w:rPr>
              <w:t>Cambridge English</w:t>
            </w:r>
          </w:p>
        </w:tc>
        <w:tc>
          <w:tcPr>
            <w:tcW w:type="dxa" w:w="3216"/>
          </w:tcPr>
          <w:p>
            <w:pPr>
              <w:spacing w:after="40"/>
            </w:pPr>
            <w:r/>
            <w:r>
              <w:rPr>
                <w:rFonts w:ascii="Inter" w:hAnsi="Inter" w:cs="Inter"/>
                <w:b w:val="0"/>
                <w:i w:val="0"/>
                <w:color w:val="1C1E2E"/>
                <w:sz w:val="19"/>
              </w:rPr>
              <w:t xml:space="preserve">Certificado de habilitación docente en inglés </w:t>
            </w:r>
            <w:r>
              <w:rPr>
                <w:rFonts w:ascii="Inter" w:hAnsi="Inter" w:cs="Inter"/>
                <w:b/>
                <w:i w:val="0"/>
                <w:color w:val="1C1E2E"/>
                <w:sz w:val="19"/>
              </w:rPr>
              <w:t>[DOC-10]</w:t>
            </w:r>
          </w:p>
        </w:tc>
      </w:tr>
      <w:tr>
        <w:tc>
          <w:tcPr>
            <w:tcW w:type="dxa" w:w="3216"/>
          </w:tcPr>
          <w:p>
            <w:pPr>
              <w:spacing w:after="40"/>
            </w:pPr>
            <w:r/>
            <w:r>
              <w:rPr>
                <w:rFonts w:ascii="Inter" w:hAnsi="Inter" w:cs="Inter"/>
                <w:b/>
                <w:i w:val="0"/>
                <w:color w:val="1C1E2E"/>
                <w:sz w:val="19"/>
              </w:rPr>
              <w:t>Examinadora acreditada DELE</w:t>
            </w:r>
          </w:p>
        </w:tc>
        <w:tc>
          <w:tcPr>
            <w:tcW w:type="dxa" w:w="3216"/>
          </w:tcPr>
          <w:p>
            <w:pPr>
              <w:spacing w:after="40"/>
            </w:pPr>
            <w:r/>
            <w:r>
              <w:rPr>
                <w:rFonts w:ascii="Inter" w:hAnsi="Inter" w:cs="Inter"/>
                <w:b w:val="0"/>
                <w:i w:val="0"/>
                <w:color w:val="1C1E2E"/>
                <w:sz w:val="19"/>
              </w:rPr>
              <w:t>Instituto Cervantes</w:t>
            </w:r>
          </w:p>
        </w:tc>
        <w:tc>
          <w:tcPr>
            <w:tcW w:type="dxa" w:w="3216"/>
          </w:tcPr>
          <w:p>
            <w:pPr>
              <w:spacing w:after="40"/>
            </w:pPr>
            <w:r/>
            <w:r>
              <w:rPr>
                <w:rFonts w:ascii="Inter" w:hAnsi="Inter" w:cs="Inter"/>
                <w:b w:val="0"/>
                <w:i w:val="0"/>
                <w:color w:val="1C1E2E"/>
                <w:sz w:val="19"/>
              </w:rPr>
              <w:t xml:space="preserve">Acreditación vigente </w:t>
            </w:r>
            <w:r>
              <w:rPr>
                <w:rFonts w:ascii="Inter" w:hAnsi="Inter" w:cs="Inter"/>
                <w:b/>
                <w:i w:val="0"/>
                <w:color w:val="1C1E2E"/>
                <w:sz w:val="19"/>
              </w:rPr>
              <w:t>[DOC-11]</w:t>
            </w:r>
          </w:p>
        </w:tc>
      </w:tr>
    </w:tbl>
    <w:p/>
    <w:p>
      <w:pPr>
        <w:pBdr>
          <w:left w:val="single" w:sz="18" w:space="8" w:color="9A5B00"/>
        </w:pBdr>
        <w:spacing w:before="120" w:after="200"/>
        <w:ind w:left="317"/>
      </w:pPr>
      <w:r>
        <w:rPr>
          <w:rFonts w:ascii="Inter" w:hAnsi="Inter" w:cs="Inter"/>
          <w:b/>
          <w:i w:val="0"/>
          <w:color w:val="5B5F77"/>
          <w:sz w:val="21"/>
        </w:rPr>
        <w:t>Advertencia honesta.</w:t>
      </w:r>
      <w:r>
        <w:rPr>
          <w:rFonts w:ascii="Inter" w:hAnsi="Inter" w:cs="Inter"/>
          <w:b w:val="0"/>
          <w:i w:val="0"/>
          <w:color w:val="5B5F77"/>
          <w:sz w:val="21"/>
        </w:rPr>
        <w:t xml:space="preserve"> La convocatoria puntúa idiomas </w:t>
      </w:r>
      <w:r>
        <w:rPr>
          <w:rFonts w:ascii="Inter" w:hAnsi="Inter" w:cs="Inter"/>
          <w:b/>
          <w:i w:val="0"/>
          <w:color w:val="5B5F77"/>
          <w:sz w:val="21"/>
        </w:rPr>
        <w:t>distintos de los de las titulaciones previas</w:t>
      </w:r>
      <w:r>
        <w:rPr>
          <w:rFonts w:ascii="Inter" w:hAnsi="Inter" w:cs="Inter"/>
          <w:b w:val="0"/>
          <w:i w:val="0"/>
          <w:color w:val="5B5F77"/>
          <w:sz w:val="21"/>
        </w:rPr>
        <w:t xml:space="preserve">. Como la licenciatura es </w:t>
      </w:r>
      <w:r>
        <w:rPr>
          <w:rFonts w:ascii="Inter" w:hAnsi="Inter" w:cs="Inter"/>
          <w:b w:val="0"/>
          <w:i/>
          <w:color w:val="5B5F77"/>
          <w:sz w:val="21"/>
        </w:rPr>
        <w:t>mención Inglés</w:t>
      </w:r>
      <w:r>
        <w:rPr>
          <w:rFonts w:ascii="Inter" w:hAnsi="Inter" w:cs="Inter"/>
          <w:b w:val="0"/>
          <w:i w:val="0"/>
          <w:color w:val="5B5F77"/>
          <w:sz w:val="21"/>
        </w:rPr>
        <w:t xml:space="preserve"> y el máster es en </w:t>
      </w:r>
      <w:r>
        <w:rPr>
          <w:rFonts w:ascii="Inter" w:hAnsi="Inter" w:cs="Inter"/>
          <w:b w:val="0"/>
          <w:i/>
          <w:color w:val="5B5F77"/>
          <w:sz w:val="21"/>
        </w:rPr>
        <w:t>Lenguas y Tecnología</w:t>
      </w:r>
      <w:r>
        <w:rPr>
          <w:rFonts w:ascii="Inter" w:hAnsi="Inter" w:cs="Inter"/>
          <w:b w:val="0"/>
          <w:i w:val="0"/>
          <w:color w:val="5B5F77"/>
          <w:sz w:val="21"/>
        </w:rPr>
        <w:t xml:space="preserve">, la comisión podría considerar que el inglés </w:t>
      </w:r>
      <w:r>
        <w:rPr>
          <w:rFonts w:ascii="Inter" w:hAnsi="Inter" w:cs="Inter"/>
          <w:b/>
          <w:i w:val="0"/>
          <w:color w:val="5B5F77"/>
          <w:sz w:val="21"/>
        </w:rPr>
        <w:t>ya está contenido</w:t>
      </w:r>
      <w:r>
        <w:rPr>
          <w:rFonts w:ascii="Inter" w:hAnsi="Inter" w:cs="Inter"/>
          <w:b w:val="0"/>
          <w:i w:val="0"/>
          <w:color w:val="5B5F77"/>
          <w:sz w:val="21"/>
        </w:rPr>
        <w:t xml:space="preserve"> en las titulaciones y no computarlo en este apartado. Estrategia recomendada: 1. </w:t>
      </w:r>
      <w:r>
        <w:rPr>
          <w:rFonts w:ascii="Inter" w:hAnsi="Inter" w:cs="Inter"/>
          <w:b/>
          <w:i w:val="0"/>
          <w:color w:val="5B5F77"/>
          <w:sz w:val="21"/>
        </w:rPr>
        <w:t>Presentar igualmente</w:t>
      </w:r>
      <w:r>
        <w:rPr>
          <w:rFonts w:ascii="Inter" w:hAnsi="Inter" w:cs="Inter"/>
          <w:b w:val="0"/>
          <w:i w:val="0"/>
          <w:color w:val="5B5F77"/>
          <w:sz w:val="21"/>
        </w:rPr>
        <w:t xml:space="preserve"> el C1 Advanced, el CELTA y la acreditación DELE: aunque no puntúen aquí, refuerzan el bloque A y el mérito B.6. 2. </w:t>
      </w:r>
      <w:r>
        <w:rPr>
          <w:rFonts w:ascii="Inter" w:hAnsi="Inter" w:cs="Inter"/>
          <w:b/>
          <w:i w:val="0"/>
          <w:color w:val="5B5F77"/>
          <w:sz w:val="21"/>
        </w:rPr>
        <w:t>Argumentar</w:t>
      </w:r>
      <w:r>
        <w:rPr>
          <w:rFonts w:ascii="Inter" w:hAnsi="Inter" w:cs="Inter"/>
          <w:b w:val="0"/>
          <w:i w:val="0"/>
          <w:color w:val="5B5F77"/>
          <w:sz w:val="21"/>
        </w:rPr>
        <w:t xml:space="preserve"> en la solicitud que la acreditación DELE del Instituto Cervantes y el CELTA de Cambridge son </w:t>
      </w:r>
      <w:r>
        <w:rPr>
          <w:rFonts w:ascii="Inter" w:hAnsi="Inter" w:cs="Inter"/>
          <w:b/>
          <w:i w:val="0"/>
          <w:color w:val="5B5F77"/>
          <w:sz w:val="21"/>
        </w:rPr>
        <w:t>habilitaciones profesionales externas al plan de estudios</w:t>
      </w:r>
      <w:r>
        <w:rPr>
          <w:rFonts w:ascii="Inter" w:hAnsi="Inter" w:cs="Inter"/>
          <w:b w:val="0"/>
          <w:i w:val="0"/>
          <w:color w:val="5B5F77"/>
          <w:sz w:val="21"/>
        </w:rPr>
        <w:t xml:space="preserve">, no competencias derivadas de las titulaciones. 3. </w:t>
      </w:r>
      <w:r>
        <w:rPr>
          <w:rFonts w:ascii="Inter" w:hAnsi="Inter" w:cs="Inter"/>
          <w:b/>
          <w:i w:val="0"/>
          <w:color w:val="5B5F77"/>
          <w:sz w:val="21"/>
        </w:rPr>
        <w:t>Vía de mejora real (recomendada para la próxima convocatoria):</w:t>
      </w:r>
      <w:r>
        <w:rPr>
          <w:rFonts w:ascii="Inter" w:hAnsi="Inter" w:cs="Inter"/>
          <w:b w:val="0"/>
          <w:i w:val="0"/>
          <w:color w:val="5B5F77"/>
          <w:sz w:val="21"/>
        </w:rPr>
        <w:t xml:space="preserve"> obtener una acreditación oficial de un </w:t>
      </w:r>
      <w:r>
        <w:rPr>
          <w:rFonts w:ascii="Inter" w:hAnsi="Inter" w:cs="Inter"/>
          <w:b/>
          <w:i w:val="0"/>
          <w:color w:val="5B5F77"/>
          <w:sz w:val="21"/>
        </w:rPr>
        <w:t>tercer idioma</w:t>
      </w:r>
      <w:r>
        <w:rPr>
          <w:rFonts w:ascii="Inter" w:hAnsi="Inter" w:cs="Inter"/>
          <w:b w:val="0"/>
          <w:i w:val="0"/>
          <w:color w:val="5B5F77"/>
          <w:sz w:val="21"/>
        </w:rPr>
        <w:t xml:space="preserve"> — la más rentable en el contexto valenciano es el </w:t>
      </w:r>
      <w:r>
        <w:rPr>
          <w:rFonts w:ascii="Inter" w:hAnsi="Inter" w:cs="Inter"/>
          <w:b/>
          <w:i w:val="0"/>
          <w:color w:val="5B5F77"/>
          <w:sz w:val="21"/>
        </w:rPr>
        <w:t>valenciano</w:t>
      </w:r>
      <w:r>
        <w:rPr>
          <w:rFonts w:ascii="Inter" w:hAnsi="Inter" w:cs="Inter"/>
          <w:b w:val="0"/>
          <w:i w:val="0"/>
          <w:color w:val="5B5F77"/>
          <w:sz w:val="21"/>
        </w:rPr>
        <w:t xml:space="preserve"> (JQCV / CIEACOVA, niveles A2–B2, convocatorias periódicas y coste bajo), seguida del </w:t>
      </w:r>
      <w:r>
        <w:rPr>
          <w:rFonts w:ascii="Inter" w:hAnsi="Inter" w:cs="Inter"/>
          <w:b/>
          <w:i w:val="0"/>
          <w:color w:val="5B5F77"/>
          <w:sz w:val="21"/>
        </w:rPr>
        <w:t>francés</w:t>
      </w:r>
      <w:r>
        <w:rPr>
          <w:rFonts w:ascii="Inter" w:hAnsi="Inter" w:cs="Inter"/>
          <w:b w:val="0"/>
          <w:i w:val="0"/>
          <w:color w:val="5B5F77"/>
          <w:sz w:val="21"/>
        </w:rPr>
        <w:t xml:space="preserve"> o el </w:t>
      </w:r>
      <w:r>
        <w:rPr>
          <w:rFonts w:ascii="Inter" w:hAnsi="Inter" w:cs="Inter"/>
          <w:b/>
          <w:i w:val="0"/>
          <w:color w:val="5B5F77"/>
          <w:sz w:val="21"/>
        </w:rPr>
        <w:t>italiano</w:t>
      </w:r>
      <w:r>
        <w:rPr>
          <w:rFonts w:ascii="Inter" w:hAnsi="Inter" w:cs="Inter"/>
          <w:b w:val="0"/>
          <w:i w:val="0"/>
          <w:color w:val="5B5F77"/>
          <w:sz w:val="21"/>
        </w:rPr>
        <w:t xml:space="preserve"> por EOI. Un A2–B1 acreditado bastaría para activar este 5 %.</w:t>
      </w:r>
    </w:p>
    <w:p>
      <w:r>
        <w:rPr>
          <w:rFonts w:ascii="Inter" w:hAnsi="Inter" w:cs="Inter"/>
          <w:b/>
          <w:i w:val="0"/>
          <w:color w:val="1C1E2E"/>
          <w:sz w:val="22"/>
        </w:rPr>
        <w:t>Acción:</w:t>
      </w:r>
      <w:r>
        <w:rPr>
          <w:rFonts w:ascii="Inter" w:hAnsi="Inter" w:cs="Inter"/>
          <w:b w:val="0"/>
          <w:i w:val="0"/>
          <w:color w:val="1C1E2E"/>
          <w:sz w:val="22"/>
        </w:rPr>
        <w:t xml:space="preserve"> confirmar con la comisión, antes del cierre del plazo, si el inglés computa en este apartado. Si la respuesta es negativa, este mérito queda como B.3.</w:t>
      </w:r>
    </w:p>
    <w:p>
      <w:pPr>
        <w:pBdr>
          <w:bottom w:val="single" w:sz="6" w:space="1" w:color="E6E8F2"/>
        </w:pBdr>
      </w:pPr>
    </w:p>
    <w:p>
      <w:pPr>
        <w:spacing w:before="320" w:after="120"/>
      </w:pPr>
      <w:r>
        <w:rPr>
          <w:rFonts w:ascii="Fraunces" w:hAnsi="Fraunces" w:cs="Fraunces"/>
          <w:b/>
          <w:i w:val="0"/>
          <w:color w:val="22307C"/>
          <w:sz w:val="32"/>
        </w:rPr>
        <w:t xml:space="preserve">B.5 · Consecución de becas — </w:t>
      </w:r>
      <w:r>
        <w:rPr>
          <w:rFonts w:ascii="Fraunces" w:hAnsi="Fraunces" w:cs="Fraunces"/>
          <w:b/>
          <w:i w:val="0"/>
          <w:color w:val="22307C"/>
          <w:sz w:val="32"/>
        </w:rPr>
        <w:t>5 %</w:t>
      </w:r>
      <w:r>
        <w:rPr>
          <w:rFonts w:ascii="Fraunces" w:hAnsi="Fraunces" w:cs="Fraunces"/>
          <w:b/>
          <w:i w:val="0"/>
          <w:color w:val="22307C"/>
          <w:sz w:val="32"/>
        </w:rPr>
        <w:t xml:space="preserve"> ✅ ACREDITADO</w:t>
      </w:r>
    </w:p>
    <w:p>
      <w:r>
        <w:rPr>
          <w:rFonts w:ascii="Inter" w:hAnsi="Inter" w:cs="Inter"/>
          <w:b/>
          <w:i w:val="0"/>
          <w:color w:val="1C1E2E"/>
          <w:sz w:val="22"/>
        </w:rPr>
        <w:t>Beca de Alto Rendimiento — Universidad de Los Andes, Núcleo Táchira.</w:t>
      </w:r>
      <w:r>
        <w:rPr>
          <w:rFonts w:ascii="Inter" w:hAnsi="Inter" w:cs="Inter"/>
          <w:b w:val="0"/>
          <w:i w:val="0"/>
          <w:color w:val="1C1E2E"/>
          <w:sz w:val="22"/>
        </w:rPr>
        <w:t xml:space="preserve"> Beca </w:t>
      </w:r>
      <w:r>
        <w:rPr>
          <w:rFonts w:ascii="Inter" w:hAnsi="Inter" w:cs="Inter"/>
          <w:b/>
          <w:i w:val="0"/>
          <w:color w:val="1C1E2E"/>
          <w:sz w:val="22"/>
        </w:rPr>
        <w:t>de mérito, no asistencial</w:t>
      </w:r>
      <w:r>
        <w:rPr>
          <w:rFonts w:ascii="Inter" w:hAnsi="Inter" w:cs="Inter"/>
          <w:b w:val="0"/>
          <w:i w:val="0"/>
          <w:color w:val="1C1E2E"/>
          <w:sz w:val="22"/>
        </w:rPr>
        <w:t>: se concede por rendimiento académico, y en este caso es la consecuencia directa de las cuatro Órdenes «Luis María Ribas Dávila» (§B.1).</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Dato certificado</w:t>
            </w:r>
          </w:p>
        </w:tc>
        <w:tc>
          <w:tcPr>
            <w:tcW w:type="dxa" w:w="4824"/>
            <w:shd w:val="clear" w:color="auto" w:fill="EEF2FD"/>
          </w:tcPr>
          <w:p>
            <w:pPr>
              <w:spacing w:after="40"/>
            </w:pPr>
            <w:r/>
            <w:r>
              <w:rPr>
                <w:rFonts w:ascii="Inter" w:hAnsi="Inter" w:cs="Inter"/>
                <w:b/>
                <w:i w:val="0"/>
                <w:color w:val="22307C"/>
                <w:sz w:val="19"/>
              </w:rPr>
              <w:t>Valor</w:t>
            </w:r>
          </w:p>
        </w:tc>
      </w:tr>
      <w:tr>
        <w:tc>
          <w:tcPr>
            <w:tcW w:type="dxa" w:w="4824"/>
          </w:tcPr>
          <w:p>
            <w:pPr>
              <w:spacing w:after="40"/>
            </w:pPr>
            <w:r/>
            <w:r>
              <w:rPr>
                <w:rFonts w:ascii="Inter" w:hAnsi="Inter" w:cs="Inter"/>
                <w:b w:val="0"/>
                <w:i w:val="0"/>
                <w:color w:val="1C1E2E"/>
                <w:sz w:val="19"/>
              </w:rPr>
              <w:t>Denominación</w:t>
            </w:r>
          </w:p>
        </w:tc>
        <w:tc>
          <w:tcPr>
            <w:tcW w:type="dxa" w:w="4824"/>
          </w:tcPr>
          <w:p>
            <w:pPr>
              <w:spacing w:after="40"/>
            </w:pPr>
            <w:r/>
            <w:r>
              <w:rPr>
                <w:rFonts w:ascii="Inter" w:hAnsi="Inter" w:cs="Inter"/>
                <w:b/>
                <w:i w:val="0"/>
                <w:color w:val="1C1E2E"/>
                <w:sz w:val="19"/>
              </w:rPr>
              <w:t>Beca de Alto Rendimiento</w:t>
            </w:r>
          </w:p>
        </w:tc>
      </w:tr>
      <w:tr>
        <w:tc>
          <w:tcPr>
            <w:tcW w:type="dxa" w:w="4824"/>
          </w:tcPr>
          <w:p>
            <w:pPr>
              <w:spacing w:after="40"/>
            </w:pPr>
            <w:r/>
            <w:r>
              <w:rPr>
                <w:rFonts w:ascii="Inter" w:hAnsi="Inter" w:cs="Inter"/>
                <w:b w:val="0"/>
                <w:i w:val="0"/>
                <w:color w:val="1C1E2E"/>
                <w:sz w:val="19"/>
              </w:rPr>
              <w:t>Entidad</w:t>
            </w:r>
          </w:p>
        </w:tc>
        <w:tc>
          <w:tcPr>
            <w:tcW w:type="dxa" w:w="4824"/>
          </w:tcPr>
          <w:p>
            <w:pPr>
              <w:spacing w:after="40"/>
            </w:pPr>
            <w:r/>
            <w:r>
              <w:rPr>
                <w:rFonts w:ascii="Inter" w:hAnsi="Inter" w:cs="Inter"/>
                <w:b w:val="0"/>
                <w:i w:val="0"/>
                <w:color w:val="1C1E2E"/>
                <w:sz w:val="19"/>
              </w:rPr>
              <w:t xml:space="preserve">Universidad de Los Andes – Táchira, </w:t>
            </w:r>
            <w:r>
              <w:rPr>
                <w:rFonts w:ascii="Inter" w:hAnsi="Inter" w:cs="Inter"/>
                <w:b/>
                <w:i w:val="0"/>
                <w:color w:val="1C1E2E"/>
                <w:sz w:val="19"/>
              </w:rPr>
              <w:t>Dirección de Asuntos Estudiantiles</w:t>
            </w:r>
            <w:r>
              <w:rPr>
                <w:rFonts w:ascii="Inter" w:hAnsi="Inter" w:cs="Inter"/>
                <w:b w:val="0"/>
                <w:i w:val="0"/>
                <w:color w:val="1C1E2E"/>
                <w:sz w:val="19"/>
              </w:rPr>
              <w:t>, Jefatura de Asistencia Socio Económica Estudiantil</w:t>
            </w:r>
          </w:p>
        </w:tc>
      </w:tr>
      <w:tr>
        <w:tc>
          <w:tcPr>
            <w:tcW w:type="dxa" w:w="4824"/>
          </w:tcPr>
          <w:p>
            <w:pPr>
              <w:spacing w:after="40"/>
            </w:pPr>
            <w:r/>
            <w:r>
              <w:rPr>
                <w:rFonts w:ascii="Inter" w:hAnsi="Inter" w:cs="Inter"/>
                <w:b w:val="0"/>
                <w:i w:val="0"/>
                <w:color w:val="1C1E2E"/>
                <w:sz w:val="19"/>
              </w:rPr>
              <w:t>Titulación</w:t>
            </w:r>
          </w:p>
        </w:tc>
        <w:tc>
          <w:tcPr>
            <w:tcW w:type="dxa" w:w="4824"/>
          </w:tcPr>
          <w:p>
            <w:pPr>
              <w:spacing w:after="40"/>
            </w:pPr>
            <w:r/>
            <w:r>
              <w:rPr>
                <w:rFonts w:ascii="Inter" w:hAnsi="Inter" w:cs="Inter"/>
                <w:b w:val="0"/>
                <w:i w:val="0"/>
                <w:color w:val="1C1E2E"/>
                <w:sz w:val="19"/>
              </w:rPr>
              <w:t>Educación mención Inglés</w:t>
            </w:r>
          </w:p>
        </w:tc>
      </w:tr>
      <w:tr>
        <w:tc>
          <w:tcPr>
            <w:tcW w:type="dxa" w:w="4824"/>
          </w:tcPr>
          <w:p>
            <w:pPr>
              <w:spacing w:after="40"/>
            </w:pPr>
            <w:r/>
            <w:r>
              <w:rPr>
                <w:rFonts w:ascii="Inter" w:hAnsi="Inter" w:cs="Inter"/>
                <w:b w:val="0"/>
                <w:i w:val="0"/>
                <w:color w:val="1C1E2E"/>
                <w:sz w:val="19"/>
              </w:rPr>
              <w:t>Periodo acreditado</w:t>
            </w:r>
          </w:p>
        </w:tc>
        <w:tc>
          <w:tcPr>
            <w:tcW w:type="dxa" w:w="4824"/>
          </w:tcPr>
          <w:p>
            <w:pPr>
              <w:spacing w:after="40"/>
            </w:pPr>
            <w:r/>
            <w:r>
              <w:rPr>
                <w:rFonts w:ascii="Inter" w:hAnsi="Inter" w:cs="Inter"/>
                <w:b/>
                <w:i w:val="0"/>
                <w:color w:val="1C1E2E"/>
                <w:sz w:val="19"/>
              </w:rPr>
              <w:t>Julio – diciembre de 2003</w:t>
            </w:r>
            <w:r>
              <w:rPr>
                <w:rFonts w:ascii="Inter" w:hAnsi="Inter" w:cs="Inter"/>
                <w:b w:val="0"/>
                <w:i w:val="0"/>
                <w:color w:val="1C1E2E"/>
                <w:sz w:val="19"/>
              </w:rPr>
              <w:t xml:space="preserve">, y </w:t>
            </w:r>
            <w:r>
              <w:rPr>
                <w:rFonts w:ascii="Inter" w:hAnsi="Inter" w:cs="Inter"/>
                <w:b/>
                <w:i w:val="0"/>
                <w:color w:val="1C1E2E"/>
                <w:sz w:val="19"/>
              </w:rPr>
              <w:t>vigente</w:t>
            </w:r>
            <w:r>
              <w:rPr>
                <w:rFonts w:ascii="Inter" w:hAnsi="Inter" w:cs="Inter"/>
                <w:b w:val="0"/>
                <w:i w:val="0"/>
                <w:color w:val="1C1E2E"/>
                <w:sz w:val="19"/>
              </w:rPr>
              <w:t xml:space="preserve"> en la fecha de expedición</w:t>
            </w:r>
          </w:p>
        </w:tc>
      </w:tr>
      <w:tr>
        <w:tc>
          <w:tcPr>
            <w:tcW w:type="dxa" w:w="4824"/>
          </w:tcPr>
          <w:p>
            <w:pPr>
              <w:spacing w:after="40"/>
            </w:pPr>
            <w:r/>
            <w:r>
              <w:rPr>
                <w:rFonts w:ascii="Inter" w:hAnsi="Inter" w:cs="Inter"/>
                <w:b w:val="0"/>
                <w:i w:val="0"/>
                <w:color w:val="1C1E2E"/>
                <w:sz w:val="19"/>
              </w:rPr>
              <w:t>Documento</w:t>
            </w:r>
          </w:p>
        </w:tc>
        <w:tc>
          <w:tcPr>
            <w:tcW w:type="dxa" w:w="4824"/>
          </w:tcPr>
          <w:p>
            <w:pPr>
              <w:spacing w:after="40"/>
            </w:pPr>
            <w:r/>
            <w:r>
              <w:rPr>
                <w:rFonts w:ascii="Inter" w:hAnsi="Inter" w:cs="Inter"/>
                <w:b/>
                <w:i w:val="0"/>
                <w:color w:val="1C1E2E"/>
                <w:sz w:val="19"/>
              </w:rPr>
              <w:t>Constancia</w:t>
            </w:r>
            <w:r>
              <w:rPr>
                <w:rFonts w:ascii="Inter" w:hAnsi="Inter" w:cs="Inter"/>
                <w:b w:val="0"/>
                <w:i w:val="0"/>
                <w:color w:val="1C1E2E"/>
                <w:sz w:val="19"/>
              </w:rPr>
              <w:t xml:space="preserve"> firmada por la Trabajadora Social de la ULA-Táchira, San Cristóbal, </w:t>
            </w:r>
            <w:r>
              <w:rPr>
                <w:rFonts w:ascii="Inter" w:hAnsi="Inter" w:cs="Inter"/>
                <w:b/>
                <w:i w:val="0"/>
                <w:color w:val="1C1E2E"/>
                <w:sz w:val="19"/>
              </w:rPr>
              <w:t>13 de mayo de 2004</w:t>
            </w:r>
            <w:r>
              <w:rPr>
                <w:rFonts w:ascii="Inter" w:hAnsi="Inter" w:cs="Inter"/>
                <w:b w:val="0"/>
                <w:i w:val="0"/>
                <w:color w:val="1C1E2E"/>
                <w:sz w:val="19"/>
              </w:rPr>
              <w:t xml:space="preserve"> </w:t>
            </w:r>
            <w:r>
              <w:rPr>
                <w:rFonts w:ascii="Inter" w:hAnsi="Inter" w:cs="Inter"/>
                <w:b/>
                <w:i w:val="0"/>
                <w:color w:val="1C1E2E"/>
                <w:sz w:val="19"/>
              </w:rPr>
              <w:t>[DOC-12]</w:t>
            </w:r>
          </w:p>
        </w:tc>
      </w:tr>
    </w:tbl>
    <w:p/>
    <w:p>
      <w:r>
        <w:rPr>
          <w:rFonts w:ascii="Inter" w:hAnsi="Inter" w:cs="Inter"/>
          <w:b/>
          <w:i w:val="0"/>
          <w:color w:val="1C1E2E"/>
          <w:sz w:val="22"/>
        </w:rPr>
        <w:t>Segunda beca — beca del Ministerio (máster, UPV).</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EEF2FD"/>
          </w:tcPr>
          <w:p>
            <w:pPr>
              <w:spacing w:after="40"/>
            </w:pPr>
            <w:r/>
            <w:r>
              <w:rPr>
                <w:rFonts w:ascii="Inter" w:hAnsi="Inter" w:cs="Inter"/>
                <w:b/>
                <w:i w:val="0"/>
                <w:color w:val="22307C"/>
                <w:sz w:val="19"/>
              </w:rPr>
              <w:t>#</w:t>
            </w:r>
          </w:p>
        </w:tc>
        <w:tc>
          <w:tcPr>
            <w:tcW w:type="dxa" w:w="1608"/>
            <w:shd w:val="clear" w:color="auto" w:fill="EEF2FD"/>
          </w:tcPr>
          <w:p>
            <w:pPr>
              <w:spacing w:after="40"/>
            </w:pPr>
            <w:r/>
            <w:r>
              <w:rPr>
                <w:rFonts w:ascii="Inter" w:hAnsi="Inter" w:cs="Inter"/>
                <w:b/>
                <w:i w:val="0"/>
                <w:color w:val="22307C"/>
                <w:sz w:val="19"/>
              </w:rPr>
              <w:t>Beca</w:t>
            </w:r>
          </w:p>
        </w:tc>
        <w:tc>
          <w:tcPr>
            <w:tcW w:type="dxa" w:w="1608"/>
            <w:shd w:val="clear" w:color="auto" w:fill="EEF2FD"/>
          </w:tcPr>
          <w:p>
            <w:pPr>
              <w:spacing w:after="40"/>
            </w:pPr>
            <w:r/>
            <w:r>
              <w:rPr>
                <w:rFonts w:ascii="Inter" w:hAnsi="Inter" w:cs="Inter"/>
                <w:b/>
                <w:i w:val="0"/>
                <w:color w:val="22307C"/>
                <w:sz w:val="19"/>
              </w:rPr>
              <w:t>Entidad convocante</w:t>
            </w:r>
          </w:p>
        </w:tc>
        <w:tc>
          <w:tcPr>
            <w:tcW w:type="dxa" w:w="1608"/>
            <w:shd w:val="clear" w:color="auto" w:fill="EEF2FD"/>
          </w:tcPr>
          <w:p>
            <w:pPr>
              <w:spacing w:after="40"/>
            </w:pPr>
            <w:r/>
            <w:r>
              <w:rPr>
                <w:rFonts w:ascii="Inter" w:hAnsi="Inter" w:cs="Inter"/>
                <w:b/>
                <w:i w:val="0"/>
                <w:color w:val="22307C"/>
                <w:sz w:val="19"/>
              </w:rPr>
              <w:t>Titulación / periodo</w:t>
            </w:r>
          </w:p>
        </w:tc>
        <w:tc>
          <w:tcPr>
            <w:tcW w:type="dxa" w:w="1608"/>
            <w:shd w:val="clear" w:color="auto" w:fill="EEF2FD"/>
          </w:tcPr>
          <w:p>
            <w:pPr>
              <w:spacing w:after="40"/>
            </w:pPr>
            <w:r/>
            <w:r>
              <w:rPr>
                <w:rFonts w:ascii="Inter" w:hAnsi="Inter" w:cs="Inter"/>
                <w:b/>
                <w:i w:val="0"/>
                <w:color w:val="22307C"/>
                <w:sz w:val="19"/>
              </w:rPr>
              <w:t>Tipo</w:t>
            </w:r>
          </w:p>
        </w:tc>
        <w:tc>
          <w:tcPr>
            <w:tcW w:type="dxa" w:w="1608"/>
            <w:shd w:val="clear" w:color="auto" w:fill="EEF2FD"/>
          </w:tcPr>
          <w:p>
            <w:pPr>
              <w:spacing w:after="40"/>
            </w:pPr>
            <w:r/>
            <w:r>
              <w:rPr>
                <w:rFonts w:ascii="Inter" w:hAnsi="Inter" w:cs="Inter"/>
                <w:b/>
                <w:i w:val="0"/>
                <w:color w:val="22307C"/>
                <w:sz w:val="19"/>
              </w:rPr>
              <w:t>Documento</w:t>
            </w:r>
          </w:p>
        </w:tc>
      </w:tr>
      <w:tr>
        <w:tc>
          <w:tcPr>
            <w:tcW w:type="dxa" w:w="1608"/>
          </w:tcPr>
          <w:p>
            <w:pPr>
              <w:spacing w:after="40"/>
            </w:pPr>
            <w:r/>
            <w:r>
              <w:rPr>
                <w:rFonts w:ascii="Inter" w:hAnsi="Inter" w:cs="Inter"/>
                <w:b w:val="0"/>
                <w:i w:val="0"/>
                <w:color w:val="1C1E2E"/>
                <w:sz w:val="19"/>
              </w:rPr>
              <w:t>2</w:t>
            </w:r>
          </w:p>
        </w:tc>
        <w:tc>
          <w:tcPr>
            <w:tcW w:type="dxa" w:w="1608"/>
          </w:tcPr>
          <w:p>
            <w:pPr>
              <w:spacing w:after="40"/>
            </w:pPr>
            <w:r/>
            <w:r>
              <w:rPr>
                <w:rFonts w:ascii="Inter" w:hAnsi="Inter" w:cs="Inter"/>
                <w:b/>
                <w:i w:val="0"/>
                <w:color w:val="1C1E2E"/>
                <w:sz w:val="19"/>
              </w:rPr>
              <w:t>Beca del Ministerio</w:t>
            </w:r>
            <w:r>
              <w:rPr>
                <w:rFonts w:ascii="Inter" w:hAnsi="Inter" w:cs="Inter"/>
                <w:b w:val="0"/>
                <w:i w:val="0"/>
                <w:color w:val="1C1E2E"/>
                <w:sz w:val="19"/>
              </w:rPr>
              <w:t xml:space="preserve"> (beca general de estudios universitarios)</w:t>
            </w:r>
          </w:p>
        </w:tc>
        <w:tc>
          <w:tcPr>
            <w:tcW w:type="dxa" w:w="1608"/>
          </w:tcPr>
          <w:p>
            <w:pPr>
              <w:spacing w:after="40"/>
            </w:pPr>
            <w:r/>
            <w:r>
              <w:rPr>
                <w:rFonts w:ascii="Inter" w:hAnsi="Inter" w:cs="Inter"/>
                <w:b w:val="0"/>
                <w:i w:val="0"/>
                <w:color w:val="1C1E2E"/>
                <w:sz w:val="19"/>
              </w:rPr>
              <w:t xml:space="preserve">Ministerio de Educación </w:t>
            </w:r>
            <w:r>
              <w:rPr>
                <w:rFonts w:ascii="Inter" w:hAnsi="Inter" w:cs="Inter"/>
                <w:b w:val="0"/>
                <w:i/>
                <w:color w:val="1C1E2E"/>
                <w:sz w:val="19"/>
              </w:rPr>
              <w:t>[confirmar denominación exacta de la convocatoria]</w:t>
            </w:r>
          </w:p>
        </w:tc>
        <w:tc>
          <w:tcPr>
            <w:tcW w:type="dxa" w:w="1608"/>
          </w:tcPr>
          <w:p>
            <w:pPr>
              <w:spacing w:after="40"/>
            </w:pPr>
            <w:r/>
            <w:r>
              <w:rPr>
                <w:rFonts w:ascii="Inter" w:hAnsi="Inter" w:cs="Inter"/>
                <w:b w:val="0"/>
                <w:i w:val="0"/>
                <w:color w:val="1C1E2E"/>
                <w:sz w:val="19"/>
              </w:rPr>
              <w:t xml:space="preserve">Máster Universitario en Lenguas y Tecnología, UPV · </w:t>
            </w:r>
            <w:r>
              <w:rPr>
                <w:rFonts w:ascii="Inter" w:hAnsi="Inter" w:cs="Inter"/>
                <w:b w:val="0"/>
                <w:i/>
                <w:color w:val="1C1E2E"/>
                <w:sz w:val="19"/>
              </w:rPr>
              <w:t>[curso a completar]</w:t>
            </w:r>
          </w:p>
        </w:tc>
        <w:tc>
          <w:tcPr>
            <w:tcW w:type="dxa" w:w="1608"/>
          </w:tcPr>
          <w:p>
            <w:pPr>
              <w:spacing w:after="40"/>
            </w:pPr>
            <w:r/>
            <w:r>
              <w:rPr>
                <w:rFonts w:ascii="Inter" w:hAnsi="Inter" w:cs="Inter"/>
                <w:b w:val="0"/>
                <w:i w:val="0"/>
                <w:color w:val="1C1E2E"/>
                <w:sz w:val="19"/>
              </w:rPr>
              <w:t>Beca general de estudios de máster</w:t>
            </w:r>
          </w:p>
        </w:tc>
        <w:tc>
          <w:tcPr>
            <w:tcW w:type="dxa" w:w="1608"/>
          </w:tcPr>
          <w:p>
            <w:pPr>
              <w:spacing w:after="40"/>
            </w:pPr>
            <w:r/>
            <w:r>
              <w:rPr>
                <w:rFonts w:ascii="Inter" w:hAnsi="Inter" w:cs="Inter"/>
                <w:b/>
                <w:i w:val="0"/>
                <w:color w:val="1C1E2E"/>
                <w:sz w:val="19"/>
              </w:rPr>
              <w:t>[DOC-13]</w:t>
            </w:r>
          </w:p>
        </w:tc>
      </w:tr>
    </w:tbl>
    <w:p/>
    <w:p>
      <w:r>
        <w:rPr>
          <w:rFonts w:ascii="Inter" w:hAnsi="Inter" w:cs="Inter"/>
          <w:b/>
          <w:i w:val="0"/>
          <w:color w:val="1C1E2E"/>
          <w:sz w:val="22"/>
        </w:rPr>
        <w:t>Por qué este mérito refuerza el bloque A.</w:t>
      </w:r>
      <w:r>
        <w:rPr>
          <w:rFonts w:ascii="Inter" w:hAnsi="Inter" w:cs="Inter"/>
          <w:b w:val="0"/>
          <w:i w:val="0"/>
          <w:color w:val="1C1E2E"/>
          <w:sz w:val="22"/>
        </w:rPr>
        <w:t xml:space="preserve"> La Beca de Alto Rendimiento </w:t>
      </w:r>
      <w:r>
        <w:rPr>
          <w:rFonts w:ascii="Inter" w:hAnsi="Inter" w:cs="Inter"/>
          <w:b/>
          <w:i w:val="0"/>
          <w:color w:val="1C1E2E"/>
          <w:sz w:val="22"/>
        </w:rPr>
        <w:t>no es una ayuda por renta</w:t>
      </w:r>
      <w:r>
        <w:rPr>
          <w:rFonts w:ascii="Inter" w:hAnsi="Inter" w:cs="Inter"/>
          <w:b w:val="0"/>
          <w:i w:val="0"/>
          <w:color w:val="1C1E2E"/>
          <w:sz w:val="22"/>
        </w:rPr>
        <w:t>: se otorga por rendimiento académico. Acredita por vía independiente —y desde una oficina distinta de la que emite las calificaciones— el mismo hecho que sostiene el 70 % del expediente. Conviene decirlo así de forma explícita en la solicitud: convierte el 5 % de becas en una segunda fuente de prueba del expediente.</w:t>
      </w:r>
    </w:p>
    <w:p>
      <w:pPr>
        <w:pBdr>
          <w:left w:val="single" w:sz="18" w:space="8" w:color="9A5B00"/>
        </w:pBdr>
        <w:spacing w:before="120" w:after="200"/>
        <w:ind w:left="317"/>
      </w:pPr>
      <w:r>
        <w:rPr>
          <w:rFonts w:ascii="Inter" w:hAnsi="Inter" w:cs="Inter"/>
          <w:b/>
          <w:i w:val="0"/>
          <w:color w:val="5B5F77"/>
          <w:sz w:val="21"/>
        </w:rPr>
        <w:t>Acción antes de enviar:</w:t>
      </w:r>
      <w:r>
        <w:rPr>
          <w:rFonts w:ascii="Inter" w:hAnsi="Inter" w:cs="Inter"/>
          <w:b w:val="0"/>
          <w:i w:val="0"/>
          <w:color w:val="5B5F77"/>
          <w:sz w:val="21"/>
        </w:rPr>
        <w:t xml:space="preserve"> completar el </w:t>
      </w:r>
      <w:r>
        <w:rPr>
          <w:rFonts w:ascii="Inter" w:hAnsi="Inter" w:cs="Inter"/>
          <w:b/>
          <w:i w:val="0"/>
          <w:color w:val="5B5F77"/>
          <w:sz w:val="21"/>
        </w:rPr>
        <w:t>curso académico</w:t>
      </w:r>
      <w:r>
        <w:rPr>
          <w:rFonts w:ascii="Inter" w:hAnsi="Inter" w:cs="Inter"/>
          <w:b w:val="0"/>
          <w:i w:val="0"/>
          <w:color w:val="5B5F77"/>
          <w:sz w:val="21"/>
        </w:rPr>
        <w:t xml:space="preserve"> y la </w:t>
      </w:r>
      <w:r>
        <w:rPr>
          <w:rFonts w:ascii="Inter" w:hAnsi="Inter" w:cs="Inter"/>
          <w:b/>
          <w:i w:val="0"/>
          <w:color w:val="5B5F77"/>
          <w:sz w:val="21"/>
        </w:rPr>
        <w:t>denominación oficial exacta</w:t>
      </w:r>
      <w:r>
        <w:rPr>
          <w:rFonts w:ascii="Inter" w:hAnsi="Inter" w:cs="Inter"/>
          <w:b w:val="0"/>
          <w:i w:val="0"/>
          <w:color w:val="5B5F77"/>
          <w:sz w:val="21"/>
        </w:rPr>
        <w:t xml:space="preserve"> de la convocatoria ministerial y localizar su resolución de concesión (el justificante de pago no acredita el mérito).</w:t>
      </w:r>
    </w:p>
    <w:p>
      <w:pPr>
        <w:pBdr>
          <w:bottom w:val="single" w:sz="6" w:space="1" w:color="E6E8F2"/>
        </w:pBdr>
      </w:pPr>
    </w:p>
    <w:p>
      <w:pPr>
        <w:spacing w:before="320" w:after="120"/>
      </w:pPr>
      <w:r>
        <w:rPr>
          <w:rFonts w:ascii="Fraunces" w:hAnsi="Fraunces" w:cs="Fraunces"/>
          <w:b/>
          <w:i w:val="0"/>
          <w:color w:val="22307C"/>
          <w:sz w:val="32"/>
        </w:rPr>
        <w:t xml:space="preserve">B.6 · Experiencia profesional en el ámbito del doctorado — </w:t>
      </w:r>
      <w:r>
        <w:rPr>
          <w:rFonts w:ascii="Fraunces" w:hAnsi="Fraunces" w:cs="Fraunces"/>
          <w:b/>
          <w:i w:val="0"/>
          <w:color w:val="22307C"/>
          <w:sz w:val="32"/>
        </w:rPr>
        <w:t>5 %</w:t>
      </w:r>
      <w:r>
        <w:rPr>
          <w:rFonts w:ascii="Fraunces" w:hAnsi="Fraunces" w:cs="Fraunces"/>
          <w:b/>
          <w:i w:val="0"/>
          <w:color w:val="22307C"/>
          <w:sz w:val="32"/>
        </w:rPr>
        <w:t xml:space="preserve"> ✅ ACREDITADO — MÉRITO MÁS FUERTE</w:t>
      </w:r>
    </w:p>
    <w:p>
      <w:r>
        <w:rPr>
          <w:rFonts w:ascii="Inter" w:hAnsi="Inter" w:cs="Inter"/>
          <w:b/>
          <w:i w:val="0"/>
          <w:color w:val="1C1E2E"/>
          <w:sz w:val="22"/>
        </w:rPr>
        <w:t>Más de 20 años de experiencia continuada en el ámbito exacto de la tesis, con 1.568 horas de docencia universitaria acreditadas:</w:t>
      </w:r>
      <w:r>
        <w:rPr>
          <w:rFonts w:ascii="Inter" w:hAnsi="Inter" w:cs="Inter"/>
          <w:b w:val="0"/>
          <w:i w:val="0"/>
          <w:color w:val="1C1E2E"/>
          <w:sz w:val="22"/>
        </w:rPr>
        <w:t xml:space="preserve"> enseñanza de lenguas alineada al MCER, diseño curricular e instruccional, y tecnologías educativas para el aprendizaje de idiomas.</w:t>
      </w:r>
    </w:p>
    <w:p>
      <w:pPr>
        <w:spacing w:before="240" w:after="120"/>
      </w:pPr>
      <w:r>
        <w:rPr>
          <w:rFonts w:ascii="Inter" w:hAnsi="Inter" w:cs="Inter"/>
          <w:b/>
          <w:i w:val="0"/>
          <w:color w:val="1C1E2E"/>
          <w:sz w:val="26"/>
        </w:rPr>
        <w:t>B.6.1 · Docencia e investigación universitaria</w:t>
      </w:r>
    </w:p>
    <w:p>
      <w:r>
        <w:rPr>
          <w:rFonts w:ascii="Inter" w:hAnsi="Inter" w:cs="Inter"/>
          <w:b/>
          <w:i w:val="0"/>
          <w:color w:val="1C1E2E"/>
          <w:sz w:val="22"/>
        </w:rPr>
        <w:t>Profesora de Inglés Científico y redactora de contenido científico</w:t>
      </w:r>
      <w:r>
        <w:rPr>
          <w:rFonts w:ascii="Inter" w:hAnsi="Inter" w:cs="Inter"/>
          <w:b w:val="0"/>
          <w:i w:val="0"/>
          <w:color w:val="1C1E2E"/>
          <w:sz w:val="22"/>
        </w:rPr>
        <w:t xml:space="preserve"> — Universidad de Oriente (UDO), Núcleo Nueva Esparta, Venezuela · </w:t>
      </w:r>
      <w:r>
        <w:rPr>
          <w:rFonts w:ascii="Inter" w:hAnsi="Inter" w:cs="Inter"/>
          <w:b/>
          <w:i w:val="0"/>
          <w:color w:val="1C1E2E"/>
          <w:sz w:val="22"/>
        </w:rPr>
        <w:t>2005 – 2015</w:t>
      </w:r>
    </w:p>
    <w:p>
      <w:pPr>
        <w:pStyle w:val="ListBullet"/>
        <w:spacing w:after="60"/>
        <w:ind w:left="403"/>
      </w:pPr>
      <w:r>
        <w:rPr>
          <w:rFonts w:ascii="Inter" w:hAnsi="Inter" w:cs="Inter"/>
          <w:b/>
          <w:i w:val="0"/>
          <w:color w:val="1C1E2E"/>
          <w:sz w:val="22"/>
        </w:rPr>
        <w:t>1.568 horas acreditadas de docencia universitaria</w:t>
      </w:r>
      <w:r>
        <w:rPr>
          <w:rFonts w:ascii="Inter" w:hAnsi="Inter" w:cs="Inter"/>
          <w:b w:val="0"/>
          <w:i w:val="0"/>
          <w:color w:val="1C1E2E"/>
          <w:sz w:val="22"/>
        </w:rPr>
        <w:t xml:space="preserve"> (certificación de servicio docente, </w:t>
      </w:r>
      <w:r>
        <w:rPr>
          <w:rFonts w:ascii="Inter" w:hAnsi="Inter" w:cs="Inter"/>
          <w:b/>
          <w:i w:val="0"/>
          <w:color w:val="1C1E2E"/>
          <w:sz w:val="22"/>
        </w:rPr>
        <w:t>[DOC-16]</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Docencia de inglés científico en titulaciones de ciencias.</w:t>
      </w:r>
    </w:p>
    <w:p>
      <w:pPr>
        <w:pStyle w:val="ListBullet"/>
        <w:spacing w:after="60"/>
        <w:ind w:left="403"/>
      </w:pPr>
      <w:r>
        <w:rPr>
          <w:rFonts w:ascii="Inter" w:hAnsi="Inter" w:cs="Inter"/>
          <w:b w:val="0"/>
          <w:i w:val="0"/>
          <w:color w:val="1C1E2E"/>
          <w:sz w:val="22"/>
        </w:rPr>
        <w:t>Redacción y revisión de contenido científico en inglés (odontología, biología marina) para revistas revisadas por pares de alto impacto.</w:t>
      </w:r>
    </w:p>
    <w:p>
      <w:pPr>
        <w:pStyle w:val="ListBullet"/>
        <w:spacing w:after="60"/>
        <w:ind w:left="403"/>
      </w:pPr>
      <w:r>
        <w:rPr>
          <w:rFonts w:ascii="Inter" w:hAnsi="Inter" w:cs="Inter"/>
          <w:b/>
          <w:i w:val="0"/>
          <w:color w:val="1C1E2E"/>
          <w:sz w:val="22"/>
        </w:rPr>
        <w:t>Reconocimiento en los agradecimientos</w:t>
      </w:r>
      <w:r>
        <w:rPr>
          <w:rFonts w:ascii="Inter" w:hAnsi="Inter" w:cs="Inter"/>
          <w:b w:val="0"/>
          <w:i w:val="0"/>
          <w:color w:val="1C1E2E"/>
          <w:sz w:val="22"/>
        </w:rPr>
        <w:t xml:space="preserve"> de Sotelo-Casas et al. (2019), </w:t>
      </w:r>
      <w:r>
        <w:rPr>
          <w:rFonts w:ascii="Inter" w:hAnsi="Inter" w:cs="Inter"/>
          <w:b w:val="0"/>
          <w:i/>
          <w:color w:val="1C1E2E"/>
          <w:sz w:val="22"/>
        </w:rPr>
        <w:t>Estuarine, Coastal and Shelf Science</w:t>
      </w:r>
      <w:r>
        <w:rPr>
          <w:rFonts w:ascii="Inter" w:hAnsi="Inter" w:cs="Inter"/>
          <w:b w:val="0"/>
          <w:i w:val="0"/>
          <w:color w:val="1C1E2E"/>
          <w:sz w:val="22"/>
        </w:rPr>
        <w:t xml:space="preserve"> (Elsevier), p. 8, por el contenido científico y la revisión en inglés del manuscrito. </w:t>
      </w:r>
      <w:r>
        <w:rPr>
          <w:rFonts w:ascii="Inter" w:hAnsi="Inter" w:cs="Inter"/>
          <w:b/>
          <w:i w:val="0"/>
          <w:color w:val="1C1E2E"/>
          <w:sz w:val="22"/>
        </w:rPr>
        <w:t>[DOC-14]</w:t>
      </w:r>
    </w:p>
    <w:p>
      <w:pPr>
        <w:spacing w:before="240" w:after="120"/>
      </w:pPr>
      <w:r>
        <w:rPr>
          <w:rFonts w:ascii="Inter" w:hAnsi="Inter" w:cs="Inter"/>
          <w:b/>
          <w:i w:val="0"/>
          <w:color w:val="1C1E2E"/>
          <w:sz w:val="26"/>
        </w:rPr>
        <w:t>B.6.2 · Diseño instruccional y arquitectura de eLearning</w:t>
      </w:r>
    </w:p>
    <w:p>
      <w:r>
        <w:rPr>
          <w:rFonts w:ascii="Inter" w:hAnsi="Inter" w:cs="Inter"/>
          <w:b/>
          <w:i w:val="0"/>
          <w:color w:val="1C1E2E"/>
          <w:sz w:val="22"/>
        </w:rPr>
        <w:t>Diseñadora Instruccional y Arquitecta de eLearning</w:t>
      </w:r>
      <w:r>
        <w:rPr>
          <w:rFonts w:ascii="Inter" w:hAnsi="Inter" w:cs="Inter"/>
          <w:b w:val="0"/>
          <w:i w:val="0"/>
          <w:color w:val="1C1E2E"/>
          <w:sz w:val="22"/>
        </w:rPr>
        <w:t xml:space="preserve"> — profesional autónoma (España) · </w:t>
      </w:r>
      <w:r>
        <w:rPr>
          <w:rFonts w:ascii="Inter" w:hAnsi="Inter" w:cs="Inter"/>
          <w:b/>
          <w:i w:val="0"/>
          <w:color w:val="1C1E2E"/>
          <w:sz w:val="22"/>
        </w:rPr>
        <w:t>octubre 2019 – actualidad</w:t>
      </w:r>
      <w:r>
        <w:rPr>
          <w:rFonts w:ascii="Inter" w:hAnsi="Inter" w:cs="Inter"/>
          <w:b w:val="0"/>
          <w:i w:val="0"/>
          <w:color w:val="1C1E2E"/>
          <w:sz w:val="22"/>
        </w:rPr>
        <w:t xml:space="preserve"> · remoto</w:t>
      </w:r>
    </w:p>
    <w:p>
      <w:pPr>
        <w:pStyle w:val="ListBullet"/>
        <w:spacing w:after="60"/>
        <w:ind w:left="403"/>
      </w:pPr>
      <w:r>
        <w:rPr>
          <w:rFonts w:ascii="Inter" w:hAnsi="Inter" w:cs="Inter"/>
          <w:b/>
          <w:i w:val="0"/>
          <w:color w:val="1C1E2E"/>
          <w:sz w:val="22"/>
        </w:rPr>
        <w:t>Academic Writing Journey (AWJ):</w:t>
      </w:r>
      <w:r>
        <w:rPr>
          <w:rFonts w:ascii="Inter" w:hAnsi="Inter" w:cs="Inter"/>
          <w:b w:val="0"/>
          <w:i w:val="0"/>
          <w:color w:val="1C1E2E"/>
          <w:sz w:val="22"/>
        </w:rPr>
        <w:t xml:space="preserve"> curso gamificado de 6 niveles de inglés académico B2→C1, </w:t>
      </w:r>
      <w:r>
        <w:rPr>
          <w:rFonts w:ascii="Inter" w:hAnsi="Inter" w:cs="Inter"/>
          <w:b/>
          <w:i w:val="0"/>
          <w:color w:val="1C1E2E"/>
          <w:sz w:val="22"/>
        </w:rPr>
        <w:t>calificado 10/10 por diseño inclusivo (UPV, 2026)</w:t>
      </w:r>
      <w:r>
        <w:rPr>
          <w:rFonts w:ascii="Inter" w:hAnsi="Inter" w:cs="Inter"/>
          <w:b w:val="0"/>
          <w:i w:val="0"/>
          <w:color w:val="1C1E2E"/>
          <w:sz w:val="22"/>
        </w:rPr>
        <w:t xml:space="preserve">. </w:t>
      </w:r>
      <w:r>
        <w:rPr>
          <w:rFonts w:ascii="Inter" w:hAnsi="Inter" w:cs="Inter"/>
          <w:b/>
          <w:i w:val="0"/>
          <w:color w:val="1C1E2E"/>
          <w:sz w:val="22"/>
        </w:rPr>
        <w:t>[DOC-15]</w:t>
      </w:r>
    </w:p>
    <w:p>
      <w:pPr>
        <w:pStyle w:val="ListBullet"/>
        <w:spacing w:after="60"/>
        <w:ind w:left="403"/>
      </w:pPr>
      <w:r>
        <w:rPr>
          <w:rFonts w:ascii="Inter" w:hAnsi="Inter" w:cs="Inter"/>
          <w:b w:val="0"/>
          <w:i w:val="0"/>
          <w:color w:val="1C1E2E"/>
          <w:sz w:val="22"/>
        </w:rPr>
        <w:t>Guionización íntegra de módulos y documento de diseño de alto nivel (HDD).</w:t>
      </w:r>
    </w:p>
    <w:p>
      <w:pPr>
        <w:pStyle w:val="ListBullet"/>
        <w:spacing w:after="60"/>
        <w:ind w:left="403"/>
      </w:pPr>
      <w:r>
        <w:rPr>
          <w:rFonts w:ascii="Inter" w:hAnsi="Inter" w:cs="Inter"/>
          <w:b/>
          <w:i w:val="0"/>
          <w:color w:val="1C1E2E"/>
          <w:sz w:val="22"/>
        </w:rPr>
        <w:t>Modelo documentado de gobernanza humano–IA</w:t>
      </w:r>
      <w:r>
        <w:rPr>
          <w:rFonts w:ascii="Inter" w:hAnsi="Inter" w:cs="Inter"/>
          <w:b w:val="0"/>
          <w:i w:val="0"/>
          <w:color w:val="1C1E2E"/>
          <w:sz w:val="22"/>
        </w:rPr>
        <w:t xml:space="preserve"> para la generación de contenido y de código — antecedente directo del componente de </w:t>
      </w:r>
      <w:r>
        <w:rPr>
          <w:rFonts w:ascii="Inter" w:hAnsi="Inter" w:cs="Inter"/>
          <w:b w:val="0"/>
          <w:i/>
          <w:color w:val="1C1E2E"/>
          <w:sz w:val="22"/>
        </w:rPr>
        <w:t>literacidad en IA</w:t>
      </w:r>
      <w:r>
        <w:rPr>
          <w:rFonts w:ascii="Inter" w:hAnsi="Inter" w:cs="Inter"/>
          <w:b w:val="0"/>
          <w:i w:val="0"/>
          <w:color w:val="1C1E2E"/>
          <w:sz w:val="22"/>
        </w:rPr>
        <w:t xml:space="preserve"> de la tesis.</w:t>
      </w:r>
    </w:p>
    <w:p>
      <w:pPr>
        <w:pStyle w:val="ListBullet"/>
        <w:spacing w:after="60"/>
        <w:ind w:left="403"/>
      </w:pPr>
      <w:r>
        <w:rPr>
          <w:rFonts w:ascii="Inter" w:hAnsi="Inter" w:cs="Inter"/>
          <w:b w:val="0"/>
          <w:i w:val="0"/>
          <w:color w:val="1C1E2E"/>
          <w:sz w:val="22"/>
        </w:rPr>
        <w:t xml:space="preserve">Capa nativa de accesibilidad (dictado por voz, alto contraste, lectura en audio) conforme a </w:t>
      </w:r>
      <w:r>
        <w:rPr>
          <w:rFonts w:ascii="Inter" w:hAnsi="Inter" w:cs="Inter"/>
          <w:b/>
          <w:i w:val="0"/>
          <w:color w:val="1C1E2E"/>
          <w:sz w:val="22"/>
        </w:rPr>
        <w:t>WCAG</w:t>
      </w:r>
      <w:r>
        <w:rPr>
          <w:rFonts w:ascii="Inter" w:hAnsi="Inter" w:cs="Inter"/>
          <w:b w:val="0"/>
          <w:i w:val="0"/>
          <w:color w:val="1C1E2E"/>
          <w:sz w:val="22"/>
        </w:rPr>
        <w:t xml:space="preserve"> y al </w:t>
      </w:r>
      <w:r>
        <w:rPr>
          <w:rFonts w:ascii="Inter" w:hAnsi="Inter" w:cs="Inter"/>
          <w:b/>
          <w:i w:val="0"/>
          <w:color w:val="1C1E2E"/>
          <w:sz w:val="22"/>
        </w:rPr>
        <w:t>Acta Europea de Accesibilidad</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Migración de AWJ de Canva a </w:t>
      </w:r>
      <w:r>
        <w:rPr>
          <w:rFonts w:ascii="Inter" w:hAnsi="Inter" w:cs="Inter"/>
          <w:b/>
          <w:i w:val="0"/>
          <w:color w:val="1C1E2E"/>
          <w:sz w:val="22"/>
        </w:rPr>
        <w:t>Articulate 360 (Rise)</w:t>
      </w:r>
      <w:r>
        <w:rPr>
          <w:rFonts w:ascii="Inter" w:hAnsi="Inter" w:cs="Inter"/>
          <w:b w:val="0"/>
          <w:i w:val="0"/>
          <w:color w:val="1C1E2E"/>
          <w:sz w:val="22"/>
        </w:rPr>
        <w:t xml:space="preserve"> con empaquetado </w:t>
      </w:r>
      <w:r>
        <w:rPr>
          <w:rFonts w:ascii="Inter" w:hAnsi="Inter" w:cs="Inter"/>
          <w:b/>
          <w:i w:val="0"/>
          <w:color w:val="1C1E2E"/>
          <w:sz w:val="22"/>
        </w:rPr>
        <w:t>SCORM / xAPI</w:t>
      </w:r>
      <w:r>
        <w:rPr>
          <w:rFonts w:ascii="Inter" w:hAnsi="Inter" w:cs="Inter"/>
          <w:b w:val="0"/>
          <w:i w:val="0"/>
          <w:color w:val="1C1E2E"/>
          <w:sz w:val="22"/>
        </w:rPr>
        <w:t xml:space="preserve"> — competencia técnica directamente reutilizable en el módulo de medición de la tesis.</w:t>
      </w:r>
    </w:p>
    <w:p>
      <w:pPr>
        <w:spacing w:before="240" w:after="120"/>
      </w:pPr>
      <w:r>
        <w:rPr>
          <w:rFonts w:ascii="Inter" w:hAnsi="Inter" w:cs="Inter"/>
          <w:b/>
          <w:i w:val="0"/>
          <w:color w:val="1C1E2E"/>
          <w:sz w:val="26"/>
        </w:rPr>
        <w:t>B.6.3 · Proyecto propio y administración de LMS</w:t>
      </w:r>
    </w:p>
    <w:p>
      <w:r>
        <w:rPr>
          <w:rFonts w:ascii="Inter" w:hAnsi="Inter" w:cs="Inter"/>
          <w:b/>
          <w:i w:val="0"/>
          <w:color w:val="1C1E2E"/>
          <w:sz w:val="22"/>
        </w:rPr>
        <w:t>Fundadora y diseñadora de contenidos eLearning — Talkétika</w:t>
      </w:r>
      <w:r>
        <w:rPr>
          <w:rFonts w:ascii="Inter" w:hAnsi="Inter" w:cs="Inter"/>
          <w:b w:val="0"/>
          <w:i w:val="0"/>
          <w:color w:val="1C1E2E"/>
          <w:sz w:val="22"/>
        </w:rPr>
        <w:t xml:space="preserve"> · </w:t>
      </w:r>
      <w:r>
        <w:rPr>
          <w:rFonts w:ascii="Inter" w:hAnsi="Inter" w:cs="Inter"/>
          <w:b/>
          <w:i w:val="0"/>
          <w:color w:val="1C1E2E"/>
          <w:sz w:val="22"/>
        </w:rPr>
        <w:t>2019 – actualidad</w:t>
      </w:r>
      <w:r>
        <w:rPr>
          <w:rFonts w:ascii="Inter" w:hAnsi="Inter" w:cs="Inter"/>
          <w:b w:val="0"/>
          <w:i w:val="0"/>
          <w:color w:val="1C1E2E"/>
          <w:sz w:val="22"/>
        </w:rPr>
        <w:t xml:space="preserve"> · remoto</w:t>
      </w:r>
    </w:p>
    <w:p>
      <w:pPr>
        <w:pStyle w:val="ListBullet"/>
        <w:spacing w:after="60"/>
        <w:ind w:left="403"/>
      </w:pPr>
      <w:r>
        <w:rPr>
          <w:rFonts w:ascii="Inter" w:hAnsi="Inter" w:cs="Inter"/>
          <w:b/>
          <w:i w:val="0"/>
          <w:color w:val="1C1E2E"/>
          <w:sz w:val="22"/>
        </w:rPr>
        <w:t>Administradora de Chamilo (LMS) desde 2019</w:t>
      </w:r>
      <w:r>
        <w:rPr>
          <w:rFonts w:ascii="Inter" w:hAnsi="Inter" w:cs="Inter"/>
          <w:b w:val="0"/>
          <w:i w:val="0"/>
          <w:color w:val="1C1E2E"/>
          <w:sz w:val="22"/>
        </w:rPr>
        <w:t xml:space="preserve">; contenido gamificado en </w:t>
      </w:r>
      <w:r>
        <w:rPr>
          <w:rFonts w:ascii="Inter" w:hAnsi="Inter" w:cs="Inter"/>
          <w:b/>
          <w:i w:val="0"/>
          <w:color w:val="1C1E2E"/>
          <w:sz w:val="22"/>
        </w:rPr>
        <w:t>Moodle, Canvas LMS y Chamilo</w:t>
      </w:r>
      <w:r>
        <w:rPr>
          <w:rFonts w:ascii="Inter" w:hAnsi="Inter" w:cs="Inter"/>
          <w:b w:val="0"/>
          <w:i w:val="0"/>
          <w:color w:val="1C1E2E"/>
          <w:sz w:val="22"/>
        </w:rPr>
        <w:t>.</w:t>
      </w:r>
    </w:p>
    <w:p>
      <w:pPr>
        <w:pStyle w:val="ListBullet"/>
        <w:spacing w:after="60"/>
        <w:ind w:left="403"/>
      </w:pPr>
      <w:r>
        <w:rPr>
          <w:rFonts w:ascii="Inter" w:hAnsi="Inter" w:cs="Inter"/>
          <w:b w:val="0"/>
          <w:i w:val="0"/>
          <w:color w:val="1C1E2E"/>
          <w:sz w:val="22"/>
        </w:rPr>
        <w:t xml:space="preserve">Producción de audiolibros en </w:t>
      </w:r>
      <w:r>
        <w:rPr>
          <w:rFonts w:ascii="Inter" w:hAnsi="Inter" w:cs="Inter"/>
          <w:b/>
          <w:i w:val="0"/>
          <w:color w:val="1C1E2E"/>
          <w:sz w:val="22"/>
        </w:rPr>
        <w:t>Adobe Podcast</w:t>
      </w:r>
      <w:r>
        <w:rPr>
          <w:rFonts w:ascii="Inter" w:hAnsi="Inter" w:cs="Inter"/>
          <w:b w:val="0"/>
          <w:i w:val="0"/>
          <w:color w:val="1C1E2E"/>
          <w:sz w:val="22"/>
        </w:rPr>
        <w:t xml:space="preserve"> (guion, edición y publicación).</w:t>
      </w:r>
    </w:p>
    <w:p>
      <w:pPr>
        <w:pStyle w:val="ListBullet"/>
        <w:spacing w:after="60"/>
        <w:ind w:left="403"/>
      </w:pPr>
      <w:r>
        <w:rPr>
          <w:rFonts w:ascii="Inter" w:hAnsi="Inter" w:cs="Inter"/>
          <w:b w:val="0"/>
          <w:i/>
          <w:color w:val="1C1E2E"/>
          <w:sz w:val="22"/>
        </w:rPr>
        <w:t>TK Coach Review</w:t>
      </w:r>
      <w:r>
        <w:rPr>
          <w:rFonts w:ascii="Inter" w:hAnsi="Inter" w:cs="Inter"/>
          <w:b w:val="0"/>
          <w:i w:val="0"/>
          <w:color w:val="1C1E2E"/>
          <w:sz w:val="22"/>
        </w:rPr>
        <w:t xml:space="preserve"> — sitio de evaluación de productos EdTech (responsividad móvil y tecnología): https://profeanaeslava.my.canva.site/tkcoachreview</w:t>
      </w:r>
    </w:p>
    <w:p>
      <w:pPr>
        <w:spacing w:before="240" w:after="120"/>
      </w:pPr>
      <w:r>
        <w:rPr>
          <w:rFonts w:ascii="Inter" w:hAnsi="Inter" w:cs="Inter"/>
          <w:b/>
          <w:i w:val="0"/>
          <w:color w:val="1C1E2E"/>
          <w:sz w:val="26"/>
        </w:rPr>
        <w:t>B.6.4 · Docencia de lenguas alineada al MCER</w:t>
      </w:r>
    </w:p>
    <w:p>
      <w:r>
        <w:rPr>
          <w:rFonts w:ascii="Inter" w:hAnsi="Inter" w:cs="Inter"/>
          <w:b/>
          <w:i w:val="0"/>
          <w:color w:val="1C1E2E"/>
          <w:sz w:val="22"/>
        </w:rPr>
        <w:t>Profesora de idiomas — ESL, Cambridge y DELE</w:t>
      </w:r>
      <w:r>
        <w:rPr>
          <w:rFonts w:ascii="Inter" w:hAnsi="Inter" w:cs="Inter"/>
          <w:b w:val="0"/>
          <w:i w:val="0"/>
          <w:color w:val="1C1E2E"/>
          <w:sz w:val="22"/>
        </w:rPr>
        <w:t xml:space="preserve"> — diversas instituciones · </w:t>
      </w:r>
      <w:r>
        <w:rPr>
          <w:rFonts w:ascii="Inter" w:hAnsi="Inter" w:cs="Inter"/>
          <w:b/>
          <w:i w:val="0"/>
          <w:color w:val="1C1E2E"/>
          <w:sz w:val="22"/>
        </w:rPr>
        <w:t>julio 2004 – actualidad</w:t>
      </w:r>
    </w:p>
    <w:p>
      <w:pPr>
        <w:pStyle w:val="ListBullet"/>
        <w:spacing w:after="60"/>
        <w:ind w:left="403"/>
      </w:pPr>
      <w:r>
        <w:rPr>
          <w:rFonts w:ascii="Inter" w:hAnsi="Inter" w:cs="Inter"/>
          <w:b w:val="0"/>
          <w:i w:val="0"/>
          <w:color w:val="1C1E2E"/>
          <w:sz w:val="22"/>
        </w:rPr>
        <w:t>Más de 20 años de docencia de inglés y español a personas adultas, presencial y en línea.</w:t>
      </w:r>
    </w:p>
    <w:p>
      <w:pPr>
        <w:pStyle w:val="ListBullet"/>
        <w:spacing w:after="60"/>
        <w:ind w:left="403"/>
      </w:pPr>
      <w:r>
        <w:rPr>
          <w:rFonts w:ascii="Inter" w:hAnsi="Inter" w:cs="Inter"/>
          <w:b/>
          <w:i w:val="0"/>
          <w:color w:val="1C1E2E"/>
          <w:sz w:val="22"/>
        </w:rPr>
        <w:t>Tutora en AVE Global</w:t>
      </w:r>
      <w:r>
        <w:rPr>
          <w:rFonts w:ascii="Inter" w:hAnsi="Inter" w:cs="Inter"/>
          <w:b w:val="0"/>
          <w:i w:val="0"/>
          <w:color w:val="1C1E2E"/>
          <w:sz w:val="22"/>
        </w:rPr>
        <w:t xml:space="preserve"> (aula virtual / LMS de español del Instituto Cervantes).</w:t>
      </w:r>
    </w:p>
    <w:p>
      <w:pPr>
        <w:pStyle w:val="ListBullet"/>
        <w:spacing w:after="60"/>
        <w:ind w:left="403"/>
      </w:pPr>
      <w:r>
        <w:rPr>
          <w:rFonts w:ascii="Inter" w:hAnsi="Inter" w:cs="Inter"/>
          <w:b w:val="0"/>
          <w:i w:val="0"/>
          <w:color w:val="1C1E2E"/>
          <w:sz w:val="22"/>
        </w:rPr>
        <w:t xml:space="preserve">Diseño de </w:t>
      </w:r>
      <w:r>
        <w:rPr>
          <w:rFonts w:ascii="Inter" w:hAnsi="Inter" w:cs="Inter"/>
          <w:b/>
          <w:i w:val="0"/>
          <w:color w:val="1C1E2E"/>
          <w:sz w:val="22"/>
        </w:rPr>
        <w:t>itinerarios y rúbricas alineados al MCER</w:t>
      </w:r>
      <w:r>
        <w:rPr>
          <w:rFonts w:ascii="Inter" w:hAnsi="Inter" w:cs="Inter"/>
          <w:b w:val="0"/>
          <w:i w:val="0"/>
          <w:color w:val="1C1E2E"/>
          <w:sz w:val="22"/>
        </w:rPr>
        <w:t xml:space="preserve">; preparación de </w:t>
      </w:r>
      <w:r>
        <w:rPr>
          <w:rFonts w:ascii="Inter" w:hAnsi="Inter" w:cs="Inter"/>
          <w:b/>
          <w:i w:val="0"/>
          <w:color w:val="1C1E2E"/>
          <w:sz w:val="22"/>
        </w:rPr>
        <w:t>Cambridge (B2 First, C1 Advanced)</w:t>
      </w:r>
      <w:r>
        <w:rPr>
          <w:rFonts w:ascii="Inter" w:hAnsi="Inter" w:cs="Inter"/>
          <w:b w:val="0"/>
          <w:i w:val="0"/>
          <w:color w:val="1C1E2E"/>
          <w:sz w:val="22"/>
        </w:rPr>
        <w:t xml:space="preserve"> y </w:t>
      </w:r>
      <w:r>
        <w:rPr>
          <w:rFonts w:ascii="Inter" w:hAnsi="Inter" w:cs="Inter"/>
          <w:b/>
          <w:i w:val="0"/>
          <w:color w:val="1C1E2E"/>
          <w:sz w:val="22"/>
        </w:rPr>
        <w:t>DELE</w:t>
      </w:r>
      <w:r>
        <w:rPr>
          <w:rFonts w:ascii="Inter" w:hAnsi="Inter" w:cs="Inter"/>
          <w:b w:val="0"/>
          <w:i w:val="0"/>
          <w:color w:val="1C1E2E"/>
          <w:sz w:val="22"/>
        </w:rPr>
        <w:t>.</w:t>
      </w:r>
    </w:p>
    <w:p>
      <w:r>
        <w:rPr>
          <w:rFonts w:ascii="Inter" w:hAnsi="Inter" w:cs="Inter"/>
          <w:b/>
          <w:i w:val="0"/>
          <w:color w:val="1C1E2E"/>
          <w:sz w:val="22"/>
        </w:rPr>
        <w:t>Acreditación:</w:t>
      </w:r>
      <w:r>
        <w:rPr>
          <w:rFonts w:ascii="Inter" w:hAnsi="Inter" w:cs="Inter"/>
          <w:b w:val="0"/>
          <w:i w:val="0"/>
          <w:color w:val="1C1E2E"/>
          <w:sz w:val="22"/>
        </w:rPr>
        <w:t xml:space="preserve"> certificados de servicio UDO </w:t>
      </w:r>
      <w:r>
        <w:rPr>
          <w:rFonts w:ascii="Inter" w:hAnsi="Inter" w:cs="Inter"/>
          <w:b/>
          <w:i w:val="0"/>
          <w:color w:val="1C1E2E"/>
          <w:sz w:val="22"/>
        </w:rPr>
        <w:t>[DOC-16]</w:t>
      </w:r>
      <w:r>
        <w:rPr>
          <w:rFonts w:ascii="Inter" w:hAnsi="Inter" w:cs="Inter"/>
          <w:b w:val="0"/>
          <w:i w:val="0"/>
          <w:color w:val="1C1E2E"/>
          <w:sz w:val="22"/>
        </w:rPr>
        <w:t xml:space="preserve"> · vida laboral / certificado de actividad como autónoma </w:t>
      </w:r>
      <w:r>
        <w:rPr>
          <w:rFonts w:ascii="Inter" w:hAnsi="Inter" w:cs="Inter"/>
          <w:b/>
          <w:i w:val="0"/>
          <w:color w:val="1C1E2E"/>
          <w:sz w:val="22"/>
        </w:rPr>
        <w:t>[DOC-17]</w:t>
      </w:r>
      <w:r>
        <w:rPr>
          <w:rFonts w:ascii="Inter" w:hAnsi="Inter" w:cs="Inter"/>
          <w:b w:val="0"/>
          <w:i w:val="0"/>
          <w:color w:val="1C1E2E"/>
          <w:sz w:val="22"/>
        </w:rPr>
        <w:t xml:space="preserve"> · acreditación de tutoría AVE Global </w:t>
      </w:r>
      <w:r>
        <w:rPr>
          <w:rFonts w:ascii="Inter" w:hAnsi="Inter" w:cs="Inter"/>
          <w:b/>
          <w:i w:val="0"/>
          <w:color w:val="1C1E2E"/>
          <w:sz w:val="22"/>
        </w:rPr>
        <w:t>[DOC-18]</w:t>
      </w:r>
      <w:r>
        <w:rPr>
          <w:rFonts w:ascii="Inter" w:hAnsi="Inter" w:cs="Inter"/>
          <w:b w:val="0"/>
          <w:i w:val="0"/>
          <w:color w:val="1C1E2E"/>
          <w:sz w:val="22"/>
        </w:rPr>
        <w:t xml:space="preserve"> · portafolio en línea (enlace en §0).</w:t>
      </w:r>
    </w:p>
    <w:p>
      <w:pPr>
        <w:pBdr>
          <w:left w:val="single" w:sz="18" w:space="8" w:color="9A5B00"/>
        </w:pBdr>
        <w:spacing w:before="120" w:after="200"/>
        <w:ind w:left="317"/>
      </w:pPr>
      <w:r>
        <w:rPr>
          <w:rFonts w:ascii="Inter" w:hAnsi="Inter" w:cs="Inter"/>
          <w:b/>
          <w:i w:val="0"/>
          <w:color w:val="5B5F77"/>
          <w:sz w:val="21"/>
        </w:rPr>
        <w:t>Encaje con la tesis.</w:t>
      </w:r>
      <w:r>
        <w:rPr>
          <w:rFonts w:ascii="Inter" w:hAnsi="Inter" w:cs="Inter"/>
          <w:b w:val="0"/>
          <w:i w:val="0"/>
          <w:color w:val="5B5F77"/>
          <w:sz w:val="21"/>
        </w:rPr>
        <w:t xml:space="preserve"> Los cuatro bloques de experiencia se corresponden uno a uno con los componentes de la propuesta MLLDE: docencia MCER → anclaje CEFR; diseño instruccional → método MLLDE; gobernanza humano–IA → literacidad en IA; SCORM/xAPI y administración de LMS → módulo de medición y arquitectura de datos de aprendizaje.</w:t>
      </w:r>
    </w:p>
    <w:p>
      <w:pPr>
        <w:pBdr>
          <w:bottom w:val="single" w:sz="6" w:space="1" w:color="E6E8F2"/>
        </w:pBdr>
      </w:pPr>
    </w:p>
    <w:p>
      <w:pPr>
        <w:spacing w:before="320" w:after="120"/>
      </w:pPr>
      <w:r>
        <w:rPr>
          <w:rFonts w:ascii="Fraunces" w:hAnsi="Fraunces" w:cs="Fraunces"/>
          <w:b/>
          <w:i w:val="0"/>
          <w:color w:val="22307C"/>
          <w:sz w:val="32"/>
        </w:rPr>
        <w:t>RESUMEN DEL BAREMO — AUTOEVALUACIÓN</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Apartado</w:t>
            </w:r>
          </w:p>
        </w:tc>
        <w:tc>
          <w:tcPr>
            <w:tcW w:type="dxa" w:w="2412"/>
            <w:shd w:val="clear" w:color="auto" w:fill="EEF2FD"/>
          </w:tcPr>
          <w:p>
            <w:pPr>
              <w:spacing w:after="40"/>
            </w:pPr>
            <w:r/>
            <w:r>
              <w:rPr>
                <w:rFonts w:ascii="Inter" w:hAnsi="Inter" w:cs="Inter"/>
                <w:b/>
                <w:i w:val="0"/>
                <w:color w:val="22307C"/>
                <w:sz w:val="19"/>
              </w:rPr>
              <w:t>Peso</w:t>
            </w:r>
          </w:p>
        </w:tc>
        <w:tc>
          <w:tcPr>
            <w:tcW w:type="dxa" w:w="2412"/>
            <w:shd w:val="clear" w:color="auto" w:fill="EEF2FD"/>
          </w:tcPr>
          <w:p>
            <w:pPr>
              <w:spacing w:after="40"/>
            </w:pPr>
            <w:r/>
            <w:r>
              <w:rPr>
                <w:rFonts w:ascii="Inter" w:hAnsi="Inter" w:cs="Inter"/>
                <w:b/>
                <w:i w:val="0"/>
                <w:color w:val="22307C"/>
                <w:sz w:val="19"/>
              </w:rPr>
              <w:t>Estado</w:t>
            </w:r>
          </w:p>
        </w:tc>
        <w:tc>
          <w:tcPr>
            <w:tcW w:type="dxa" w:w="2412"/>
            <w:shd w:val="clear" w:color="auto" w:fill="EEF2FD"/>
          </w:tcPr>
          <w:p>
            <w:pPr>
              <w:spacing w:after="40"/>
            </w:pPr>
            <w:r/>
            <w:r>
              <w:rPr>
                <w:rFonts w:ascii="Inter" w:hAnsi="Inter" w:cs="Inter"/>
                <w:b/>
                <w:i w:val="0"/>
                <w:color w:val="22307C"/>
                <w:sz w:val="19"/>
              </w:rPr>
              <w:t>Evidencia principal</w:t>
            </w:r>
          </w:p>
        </w:tc>
      </w:tr>
      <w:tr>
        <w:tc>
          <w:tcPr>
            <w:tcW w:type="dxa" w:w="2412"/>
          </w:tcPr>
          <w:p>
            <w:pPr>
              <w:spacing w:after="40"/>
            </w:pPr>
            <w:r/>
            <w:r>
              <w:rPr>
                <w:rFonts w:ascii="Inter" w:hAnsi="Inter" w:cs="Inter"/>
                <w:b/>
                <w:i w:val="0"/>
                <w:color w:val="1C1E2E"/>
                <w:sz w:val="19"/>
              </w:rPr>
              <w:t>Expediente académico</w:t>
            </w:r>
          </w:p>
        </w:tc>
        <w:tc>
          <w:tcPr>
            <w:tcW w:type="dxa" w:w="2412"/>
          </w:tcPr>
          <w:p>
            <w:pPr>
              <w:spacing w:after="40"/>
            </w:pPr>
            <w:r/>
            <w:r>
              <w:rPr>
                <w:rFonts w:ascii="Inter" w:hAnsi="Inter" w:cs="Inter"/>
                <w:b/>
                <w:i w:val="0"/>
                <w:color w:val="1C1E2E"/>
                <w:sz w:val="19"/>
              </w:rPr>
              <w:t>70 %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 xml:space="preserve">Máster UPV </w:t>
            </w:r>
            <w:r>
              <w:rPr>
                <w:rFonts w:ascii="Inter" w:hAnsi="Inter" w:cs="Inter"/>
                <w:b/>
                <w:i w:val="0"/>
                <w:color w:val="1C1E2E"/>
                <w:sz w:val="19"/>
              </w:rPr>
              <w:t>9,4/10</w:t>
            </w:r>
            <w:r>
              <w:rPr>
                <w:rFonts w:ascii="Inter" w:hAnsi="Inter" w:cs="Inter"/>
                <w:b w:val="0"/>
                <w:i w:val="0"/>
                <w:color w:val="1C1E2E"/>
                <w:sz w:val="19"/>
              </w:rPr>
              <w:t xml:space="preserve"> con 2 MH · Licenciatura </w:t>
            </w:r>
            <w:r>
              <w:rPr>
                <w:rFonts w:ascii="Inter" w:hAnsi="Inter" w:cs="Inter"/>
                <w:b/>
                <w:i w:val="0"/>
                <w:color w:val="1C1E2E"/>
                <w:sz w:val="19"/>
              </w:rPr>
              <w:t>9,07/10</w:t>
            </w:r>
            <w:r>
              <w:rPr>
                <w:rFonts w:ascii="Inter" w:hAnsi="Inter" w:cs="Inter"/>
                <w:b w:val="0"/>
                <w:i w:val="0"/>
                <w:color w:val="1C1E2E"/>
                <w:sz w:val="19"/>
              </w:rPr>
              <w:t xml:space="preserve"> (equivalencia oficial de nota) · título con </w:t>
            </w:r>
            <w:r>
              <w:rPr>
                <w:rFonts w:ascii="Inter" w:hAnsi="Inter" w:cs="Inter"/>
                <w:b/>
                <w:i w:val="0"/>
                <w:color w:val="1C1E2E"/>
                <w:sz w:val="19"/>
              </w:rPr>
              <w:t>equivalencia oficial a Grado</w:t>
            </w:r>
          </w:p>
        </w:tc>
      </w:tr>
      <w:tr>
        <w:tc>
          <w:tcPr>
            <w:tcW w:type="dxa" w:w="2412"/>
          </w:tcPr>
          <w:p>
            <w:pPr>
              <w:spacing w:after="40"/>
            </w:pPr>
            <w:r/>
            <w:r>
              <w:rPr>
                <w:rFonts w:ascii="Inter" w:hAnsi="Inter" w:cs="Inter"/>
                <w:b w:val="0"/>
                <w:i w:val="0"/>
                <w:color w:val="1C1E2E"/>
                <w:sz w:val="19"/>
              </w:rPr>
              <w:t>B.1 Premio extraordinario de grado</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1.º de 56 graduandos</w:t>
            </w:r>
            <w:r>
              <w:rPr>
                <w:rFonts w:ascii="Inter" w:hAnsi="Inter" w:cs="Inter"/>
                <w:b w:val="0"/>
                <w:i w:val="0"/>
                <w:color w:val="1C1E2E"/>
                <w:sz w:val="19"/>
              </w:rPr>
              <w:t xml:space="preserve"> (constancia apostillada) + </w:t>
            </w:r>
            <w:r>
              <w:rPr>
                <w:rFonts w:ascii="Inter" w:hAnsi="Inter" w:cs="Inter"/>
                <w:b/>
                <w:i w:val="0"/>
                <w:color w:val="1C1E2E"/>
                <w:sz w:val="19"/>
              </w:rPr>
              <w:t>Orden «Ribas Dávila» 4 años seguidos</w:t>
            </w:r>
          </w:p>
        </w:tc>
      </w:tr>
      <w:tr>
        <w:tc>
          <w:tcPr>
            <w:tcW w:type="dxa" w:w="2412"/>
          </w:tcPr>
          <w:p>
            <w:pPr>
              <w:spacing w:after="40"/>
            </w:pPr>
            <w:r/>
            <w:r>
              <w:rPr>
                <w:rFonts w:ascii="Inter" w:hAnsi="Inter" w:cs="Inter"/>
                <w:b w:val="0"/>
                <w:i w:val="0"/>
                <w:color w:val="1C1E2E"/>
                <w:sz w:val="19"/>
              </w:rPr>
              <w:t>B.2 Premio extraordinario de máster</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No procede — el premio es el de grado</w:t>
            </w:r>
          </w:p>
        </w:tc>
      </w:tr>
      <w:tr>
        <w:tc>
          <w:tcPr>
            <w:tcW w:type="dxa" w:w="2412"/>
          </w:tcPr>
          <w:p>
            <w:pPr>
              <w:spacing w:after="40"/>
            </w:pPr>
            <w:r/>
            <w:r>
              <w:rPr>
                <w:rFonts w:ascii="Inter" w:hAnsi="Inter" w:cs="Inter"/>
                <w:b w:val="0"/>
                <w:i w:val="0"/>
                <w:color w:val="1C1E2E"/>
                <w:sz w:val="19"/>
              </w:rPr>
              <w:t>B.3 Segundo máster</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No procede</w:t>
            </w:r>
          </w:p>
        </w:tc>
      </w:tr>
      <w:tr>
        <w:tc>
          <w:tcPr>
            <w:tcW w:type="dxa" w:w="2412"/>
          </w:tcPr>
          <w:p>
            <w:pPr>
              <w:spacing w:after="40"/>
            </w:pPr>
            <w:r/>
            <w:r>
              <w:rPr>
                <w:rFonts w:ascii="Inter" w:hAnsi="Inter" w:cs="Inter"/>
                <w:b w:val="0"/>
                <w:i w:val="0"/>
                <w:color w:val="1C1E2E"/>
                <w:sz w:val="19"/>
              </w:rPr>
              <w:t>B.4 Idiomas ajenos a las titulaciones</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C1 CAE · CELTA · examinadora DELE — verificar si computa</w:t>
            </w:r>
          </w:p>
        </w:tc>
      </w:tr>
      <w:tr>
        <w:tc>
          <w:tcPr>
            <w:tcW w:type="dxa" w:w="2412"/>
          </w:tcPr>
          <w:p>
            <w:pPr>
              <w:spacing w:after="40"/>
            </w:pPr>
            <w:r/>
            <w:r>
              <w:rPr>
                <w:rFonts w:ascii="Inter" w:hAnsi="Inter" w:cs="Inter"/>
                <w:b w:val="0"/>
                <w:i w:val="0"/>
                <w:color w:val="1C1E2E"/>
                <w:sz w:val="19"/>
              </w:rPr>
              <w:t>B.5 Becas</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Beca de Alto Rendimiento</w:t>
            </w:r>
            <w:r>
              <w:rPr>
                <w:rFonts w:ascii="Inter" w:hAnsi="Inter" w:cs="Inter"/>
                <w:b w:val="0"/>
                <w:i w:val="0"/>
                <w:color w:val="1C1E2E"/>
                <w:sz w:val="19"/>
              </w:rPr>
              <w:t xml:space="preserve"> acreditada (ULA, 2003-2004) · beca del Ministerio (máster)</w:t>
            </w:r>
          </w:p>
        </w:tc>
      </w:tr>
      <w:tr>
        <w:tc>
          <w:tcPr>
            <w:tcW w:type="dxa" w:w="2412"/>
          </w:tcPr>
          <w:p>
            <w:pPr>
              <w:spacing w:after="40"/>
            </w:pPr>
            <w:r/>
            <w:r>
              <w:rPr>
                <w:rFonts w:ascii="Inter" w:hAnsi="Inter" w:cs="Inter"/>
                <w:b w:val="0"/>
                <w:i w:val="0"/>
                <w:color w:val="1C1E2E"/>
                <w:sz w:val="19"/>
              </w:rPr>
              <w:t>B.6 Experiencia profesional en el ámbito</w:t>
            </w:r>
          </w:p>
        </w:tc>
        <w:tc>
          <w:tcPr>
            <w:tcW w:type="dxa" w:w="2412"/>
          </w:tcPr>
          <w:p>
            <w:pPr>
              <w:spacing w:after="40"/>
            </w:pPr>
            <w:r/>
            <w:r>
              <w:rPr>
                <w:rFonts w:ascii="Inter" w:hAnsi="Inter" w:cs="Inter"/>
                <w:b w:val="0"/>
                <w:i w:val="0"/>
                <w:color w:val="1C1E2E"/>
                <w:sz w:val="19"/>
              </w:rPr>
              <w:t>5 %</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i w:val="0"/>
                <w:color w:val="1C1E2E"/>
                <w:sz w:val="19"/>
              </w:rPr>
              <w:t>1.568 h de docencia universitaria acreditadas</w:t>
            </w:r>
            <w:r>
              <w:rPr>
                <w:rFonts w:ascii="Inter" w:hAnsi="Inter" w:cs="Inter"/>
                <w:b w:val="0"/>
                <w:i w:val="0"/>
                <w:color w:val="1C1E2E"/>
                <w:sz w:val="19"/>
              </w:rPr>
              <w:t xml:space="preserve"> · 20+ años · ID 2019-actualidad</w:t>
            </w:r>
          </w:p>
        </w:tc>
      </w:tr>
    </w:tbl>
    <w:p/>
    <w:p>
      <w:r>
        <w:rPr>
          <w:rFonts w:ascii="Inter" w:hAnsi="Inter" w:cs="Inter"/>
          <w:b/>
          <w:i w:val="0"/>
          <w:color w:val="1C1E2E"/>
          <w:sz w:val="22"/>
        </w:rPr>
        <w:t>Lectura honesta.</w:t>
      </w:r>
      <w:r>
        <w:rPr>
          <w:rFonts w:ascii="Inter" w:hAnsi="Inter" w:cs="Inter"/>
          <w:b w:val="0"/>
          <w:i w:val="0"/>
          <w:color w:val="1C1E2E"/>
          <w:sz w:val="22"/>
        </w:rPr>
        <w:t xml:space="preserve"> Tres méritos están plenamente acreditados (B.1, B.5, B.6), uno depende de la interpretación de la comisión (B.4) y dos no proceden (B.2, B.3). Es decir: </w:t>
      </w:r>
      <w:r>
        <w:rPr>
          <w:rFonts w:ascii="Inter" w:hAnsi="Inter" w:cs="Inter"/>
          <w:b/>
          <w:i w:val="0"/>
          <w:color w:val="1C1E2E"/>
          <w:sz w:val="22"/>
        </w:rPr>
        <w:t>entre 15 % y 20 % de los 30 %</w:t>
      </w:r>
      <w:r>
        <w:rPr>
          <w:rFonts w:ascii="Inter" w:hAnsi="Inter" w:cs="Inter"/>
          <w:b w:val="0"/>
          <w:i w:val="0"/>
          <w:color w:val="1C1E2E"/>
          <w:sz w:val="22"/>
        </w:rPr>
        <w:t xml:space="preserve">, con el 70 % del expediente en el tramo alto (9,4 y 9,07 sobre 10). El punto fuerte no es el número de casillas marcadas, sino la </w:t>
      </w:r>
      <w:r>
        <w:rPr>
          <w:rFonts w:ascii="Inter" w:hAnsi="Inter" w:cs="Inter"/>
          <w:b/>
          <w:i w:val="0"/>
          <w:color w:val="1C1E2E"/>
          <w:sz w:val="22"/>
        </w:rPr>
        <w:t>calidad de la prueba</w:t>
      </w:r>
      <w:r>
        <w:rPr>
          <w:rFonts w:ascii="Inter" w:hAnsi="Inter" w:cs="Inter"/>
          <w:b w:val="0"/>
          <w:i w:val="0"/>
          <w:color w:val="1C1E2E"/>
          <w:sz w:val="22"/>
        </w:rPr>
        <w:t>: el mérito de B.1 llega apostillado y con código de validación en línea, y el expediente de grado trae la nota media ya calculada por la Administración española.</w:t>
      </w:r>
    </w:p>
    <w:p>
      <w:r>
        <w:rPr>
          <w:rFonts w:ascii="Inter" w:hAnsi="Inter" w:cs="Inter"/>
          <w:b/>
          <w:i w:val="0"/>
          <w:color w:val="1C1E2E"/>
          <w:sz w:val="22"/>
        </w:rPr>
        <w:t>Dónde se gana el margen que falta.</w:t>
      </w:r>
      <w:r>
        <w:rPr>
          <w:rFonts w:ascii="Inter" w:hAnsi="Inter" w:cs="Inter"/>
          <w:b w:val="0"/>
          <w:i w:val="0"/>
          <w:color w:val="1C1E2E"/>
          <w:sz w:val="22"/>
        </w:rPr>
        <w:t xml:space="preserve"> El único apartado mejorable a corto plazo es B.4: una acreditación oficial de un tercer idioma (valenciano A2–B1 por JQCV/CIEACOVA es la vía más rápida y barata) activaría ese 5 % sin depender de la interpretación de nadie.</w:t>
      </w:r>
    </w:p>
    <w:p>
      <w:pPr>
        <w:pBdr>
          <w:bottom w:val="single" w:sz="6" w:space="1" w:color="E6E8F2"/>
        </w:pBdr>
      </w:pPr>
    </w:p>
    <w:p>
      <w:pPr>
        <w:spacing w:before="320" w:after="120"/>
      </w:pPr>
      <w:r>
        <w:rPr>
          <w:rFonts w:ascii="Fraunces" w:hAnsi="Fraunces" w:cs="Fraunces"/>
          <w:b/>
          <w:i w:val="0"/>
          <w:color w:val="22307C"/>
          <w:sz w:val="42"/>
        </w:rPr>
        <w:t>5. Producción científica y difusión</w:t>
      </w:r>
    </w:p>
    <w:p>
      <w:pPr>
        <w:spacing w:before="320" w:after="120"/>
      </w:pPr>
      <w:r>
        <w:rPr>
          <w:rFonts w:ascii="Fraunces" w:hAnsi="Fraunces" w:cs="Fraunces"/>
          <w:b/>
          <w:i w:val="0"/>
          <w:color w:val="22307C"/>
          <w:sz w:val="32"/>
        </w:rPr>
        <w:t>5.1 · Trayectoria investigadora desde el Trabajo Especial de Grado</w:t>
      </w:r>
    </w:p>
    <w:p>
      <w:r>
        <w:rPr>
          <w:rFonts w:ascii="Inter" w:hAnsi="Inter" w:cs="Inter"/>
          <w:b w:val="0"/>
          <w:i w:val="0"/>
          <w:color w:val="1C1E2E"/>
          <w:sz w:val="22"/>
        </w:rPr>
        <w:t xml:space="preserve">El TFG no se quedó en el expediente: recorrió el ciclo completo de investigación — </w:t>
      </w:r>
      <w:r>
        <w:rPr>
          <w:rFonts w:ascii="Inter" w:hAnsi="Inter" w:cs="Inter"/>
          <w:b/>
          <w:i w:val="0"/>
          <w:color w:val="1C1E2E"/>
          <w:sz w:val="22"/>
        </w:rPr>
        <w:t>defensa con máxima calificación → arbitraje y publicación en revista indexada → ponencia arbitrada en congreso internacional</w:t>
      </w:r>
      <w:r>
        <w:rPr>
          <w:rFonts w:ascii="Inter" w:hAnsi="Inter" w:cs="Inter"/>
          <w:b w:val="0"/>
          <w:i w:val="0"/>
          <w:color w:val="1C1E2E"/>
          <w:sz w:val="22"/>
        </w:rPr>
        <w:t>. Es la evidencia más directa de capacidad investigadora autónoma que puede aportarse a una solicitud de doctorado.</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Etapa</w:t>
            </w:r>
          </w:p>
        </w:tc>
        <w:tc>
          <w:tcPr>
            <w:tcW w:type="dxa" w:w="2412"/>
            <w:shd w:val="clear" w:color="auto" w:fill="EEF2FD"/>
          </w:tcPr>
          <w:p>
            <w:pPr>
              <w:spacing w:after="40"/>
            </w:pPr>
            <w:r/>
            <w:r>
              <w:rPr>
                <w:rFonts w:ascii="Inter" w:hAnsi="Inter" w:cs="Inter"/>
                <w:b/>
                <w:i w:val="0"/>
                <w:color w:val="22307C"/>
                <w:sz w:val="19"/>
              </w:rPr>
              <w:t>Hito</w:t>
            </w:r>
          </w:p>
        </w:tc>
        <w:tc>
          <w:tcPr>
            <w:tcW w:type="dxa" w:w="2412"/>
            <w:shd w:val="clear" w:color="auto" w:fill="EEF2FD"/>
          </w:tcPr>
          <w:p>
            <w:pPr>
              <w:spacing w:after="40"/>
            </w:pPr>
            <w:r/>
            <w:r>
              <w:rPr>
                <w:rFonts w:ascii="Inter" w:hAnsi="Inter" w:cs="Inter"/>
                <w:b/>
                <w:i w:val="0"/>
                <w:color w:val="22307C"/>
                <w:sz w:val="19"/>
              </w:rPr>
              <w:t>Fecha</w:t>
            </w:r>
          </w:p>
        </w:tc>
        <w:tc>
          <w:tcPr>
            <w:tcW w:type="dxa" w:w="2412"/>
            <w:shd w:val="clear" w:color="auto" w:fill="EEF2FD"/>
          </w:tcPr>
          <w:p>
            <w:pPr>
              <w:spacing w:after="40"/>
            </w:pPr>
            <w:r/>
            <w:r>
              <w:rPr>
                <w:rFonts w:ascii="Inter" w:hAnsi="Inter" w:cs="Inter"/>
                <w:b/>
                <w:i w:val="0"/>
                <w:color w:val="22307C"/>
                <w:sz w:val="19"/>
              </w:rPr>
              <w:t>Doc.</w:t>
            </w:r>
          </w:p>
        </w:tc>
      </w:tr>
      <w:tr>
        <w:tc>
          <w:tcPr>
            <w:tcW w:type="dxa" w:w="2412"/>
          </w:tcPr>
          <w:p>
            <w:pPr>
              <w:spacing w:after="40"/>
            </w:pPr>
            <w:r/>
            <w:r>
              <w:rPr>
                <w:rFonts w:ascii="Inter" w:hAnsi="Inter" w:cs="Inter"/>
                <w:b/>
                <w:i w:val="0"/>
                <w:color w:val="1C1E2E"/>
                <w:sz w:val="19"/>
              </w:rPr>
              <w:t>1 · Defensa</w:t>
            </w:r>
          </w:p>
        </w:tc>
        <w:tc>
          <w:tcPr>
            <w:tcW w:type="dxa" w:w="2412"/>
          </w:tcPr>
          <w:p>
            <w:pPr>
              <w:spacing w:after="40"/>
            </w:pPr>
            <w:r/>
            <w:r>
              <w:rPr>
                <w:rFonts w:ascii="Inter" w:hAnsi="Inter" w:cs="Inter"/>
                <w:b w:val="0"/>
                <w:i w:val="0"/>
                <w:color w:val="1C1E2E"/>
                <w:sz w:val="19"/>
              </w:rPr>
              <w:t xml:space="preserve">Trabajo Especial de Grado calificado </w:t>
            </w:r>
            <w:r>
              <w:rPr>
                <w:rFonts w:ascii="Inter" w:hAnsi="Inter" w:cs="Inter"/>
                <w:b/>
                <w:i w:val="0"/>
                <w:color w:val="1C1E2E"/>
                <w:sz w:val="19"/>
              </w:rPr>
              <w:t>20/20 — Sobresaliente</w:t>
            </w:r>
            <w:r>
              <w:rPr>
                <w:rFonts w:ascii="Inter" w:hAnsi="Inter" w:cs="Inter"/>
                <w:b w:val="0"/>
                <w:i w:val="0"/>
                <w:color w:val="1C1E2E"/>
                <w:sz w:val="19"/>
              </w:rPr>
              <w:t xml:space="preserve">; </w:t>
            </w:r>
            <w:r>
              <w:rPr>
                <w:rFonts w:ascii="Inter" w:hAnsi="Inter" w:cs="Inter"/>
                <w:b/>
                <w:i w:val="0"/>
                <w:color w:val="1C1E2E"/>
                <w:sz w:val="19"/>
              </w:rPr>
              <w:t>Diploma de Honor</w:t>
            </w:r>
            <w:r>
              <w:rPr>
                <w:rFonts w:ascii="Inter" w:hAnsi="Inter" w:cs="Inter"/>
                <w:b w:val="0"/>
                <w:i w:val="0"/>
                <w:color w:val="1C1E2E"/>
                <w:sz w:val="19"/>
              </w:rPr>
              <w:t xml:space="preserve"> concedido por el Rector de la Universidad de Los Andes</w:t>
            </w:r>
          </w:p>
        </w:tc>
        <w:tc>
          <w:tcPr>
            <w:tcW w:type="dxa" w:w="2412"/>
          </w:tcPr>
          <w:p>
            <w:pPr>
              <w:spacing w:after="40"/>
            </w:pPr>
            <w:r/>
            <w:r>
              <w:rPr>
                <w:rFonts w:ascii="Inter" w:hAnsi="Inter" w:cs="Inter"/>
                <w:b w:val="0"/>
                <w:i w:val="0"/>
                <w:color w:val="1C1E2E"/>
                <w:sz w:val="19"/>
              </w:rPr>
              <w:t>15 nov. 2004</w:t>
            </w:r>
          </w:p>
        </w:tc>
        <w:tc>
          <w:tcPr>
            <w:tcW w:type="dxa" w:w="2412"/>
          </w:tcPr>
          <w:p>
            <w:pPr>
              <w:spacing w:after="40"/>
            </w:pPr>
            <w:r/>
            <w:r>
              <w:rPr>
                <w:rFonts w:ascii="Inter" w:hAnsi="Inter" w:cs="Inter"/>
                <w:b/>
                <w:i w:val="0"/>
                <w:color w:val="1C1E2E"/>
                <w:sz w:val="19"/>
              </w:rPr>
              <w:t>[DOC-07]</w:t>
            </w:r>
          </w:p>
        </w:tc>
      </w:tr>
      <w:tr>
        <w:tc>
          <w:tcPr>
            <w:tcW w:type="dxa" w:w="2412"/>
          </w:tcPr>
          <w:p>
            <w:pPr>
              <w:spacing w:after="40"/>
            </w:pPr>
            <w:r/>
            <w:r>
              <w:rPr>
                <w:rFonts w:ascii="Inter" w:hAnsi="Inter" w:cs="Inter"/>
                <w:b/>
                <w:i w:val="0"/>
                <w:color w:val="1C1E2E"/>
                <w:sz w:val="19"/>
              </w:rPr>
              <w:t>2 · Arbitraje</w:t>
            </w:r>
          </w:p>
        </w:tc>
        <w:tc>
          <w:tcPr>
            <w:tcW w:type="dxa" w:w="2412"/>
          </w:tcPr>
          <w:p>
            <w:pPr>
              <w:spacing w:after="40"/>
            </w:pPr>
            <w:r/>
            <w:r>
              <w:rPr>
                <w:rFonts w:ascii="Inter" w:hAnsi="Inter" w:cs="Inter"/>
                <w:b w:val="0"/>
                <w:i w:val="0"/>
                <w:color w:val="1C1E2E"/>
                <w:sz w:val="19"/>
              </w:rPr>
              <w:t xml:space="preserve">Artículo recibido (13-06-2004) y </w:t>
            </w:r>
            <w:r>
              <w:rPr>
                <w:rFonts w:ascii="Inter" w:hAnsi="Inter" w:cs="Inter"/>
                <w:b/>
                <w:i w:val="0"/>
                <w:color w:val="1C1E2E"/>
                <w:sz w:val="19"/>
              </w:rPr>
              <w:t>aceptado tras arbitraje</w:t>
            </w:r>
            <w:r>
              <w:rPr>
                <w:rFonts w:ascii="Inter" w:hAnsi="Inter" w:cs="Inter"/>
                <w:b w:val="0"/>
                <w:i w:val="0"/>
                <w:color w:val="1C1E2E"/>
                <w:sz w:val="19"/>
              </w:rPr>
              <w:t xml:space="preserve"> (19-07-2004) por </w:t>
            </w:r>
            <w:r>
              <w:rPr>
                <w:rFonts w:ascii="Inter" w:hAnsi="Inter" w:cs="Inter"/>
                <w:b w:val="0"/>
                <w:i/>
                <w:color w:val="1C1E2E"/>
                <w:sz w:val="19"/>
              </w:rPr>
              <w:t>Kaleidoscopio</w:t>
            </w:r>
            <w:r>
              <w:rPr>
                <w:rFonts w:ascii="Inter" w:hAnsi="Inter" w:cs="Inter"/>
                <w:b w:val="0"/>
                <w:i w:val="0"/>
                <w:color w:val="1C1E2E"/>
                <w:sz w:val="19"/>
              </w:rPr>
              <w:t xml:space="preserve">, revista arbitrada de Educación, Humanidades y Artes de la </w:t>
            </w:r>
            <w:r>
              <w:rPr>
                <w:rFonts w:ascii="Inter" w:hAnsi="Inter" w:cs="Inter"/>
                <w:b/>
                <w:i w:val="0"/>
                <w:color w:val="1C1E2E"/>
                <w:sz w:val="19"/>
              </w:rPr>
              <w:t>Universidad Nacional Experimental de Guayana (UNEG)</w:t>
            </w:r>
          </w:p>
        </w:tc>
        <w:tc>
          <w:tcPr>
            <w:tcW w:type="dxa" w:w="2412"/>
          </w:tcPr>
          <w:p>
            <w:pPr>
              <w:spacing w:after="40"/>
            </w:pPr>
            <w:r/>
            <w:r>
              <w:rPr>
                <w:rFonts w:ascii="Inter" w:hAnsi="Inter" w:cs="Inter"/>
                <w:b w:val="0"/>
                <w:i w:val="0"/>
                <w:color w:val="1C1E2E"/>
                <w:sz w:val="19"/>
              </w:rPr>
              <w:t>2004–2005</w:t>
            </w:r>
          </w:p>
        </w:tc>
        <w:tc>
          <w:tcPr>
            <w:tcW w:type="dxa" w:w="2412"/>
          </w:tcPr>
          <w:p>
            <w:pPr>
              <w:spacing w:after="40"/>
            </w:pPr>
            <w:r/>
            <w:r>
              <w:rPr>
                <w:rFonts w:ascii="Inter" w:hAnsi="Inter" w:cs="Inter"/>
                <w:b/>
                <w:i w:val="0"/>
                <w:color w:val="1C1E2E"/>
                <w:sz w:val="19"/>
              </w:rPr>
              <w:t>[DOC-19]</w:t>
            </w:r>
          </w:p>
        </w:tc>
      </w:tr>
      <w:tr>
        <w:tc>
          <w:tcPr>
            <w:tcW w:type="dxa" w:w="2412"/>
          </w:tcPr>
          <w:p>
            <w:pPr>
              <w:spacing w:after="40"/>
            </w:pPr>
            <w:r/>
            <w:r>
              <w:rPr>
                <w:rFonts w:ascii="Inter" w:hAnsi="Inter" w:cs="Inter"/>
                <w:b/>
                <w:i w:val="0"/>
                <w:color w:val="1C1E2E"/>
                <w:sz w:val="19"/>
              </w:rPr>
              <w:t>3 · Publicación</w:t>
            </w:r>
          </w:p>
        </w:tc>
        <w:tc>
          <w:tcPr>
            <w:tcW w:type="dxa" w:w="2412"/>
          </w:tcPr>
          <w:p>
            <w:pPr>
              <w:spacing w:after="40"/>
            </w:pPr>
            <w:r/>
            <w:r>
              <w:rPr>
                <w:rFonts w:ascii="Inter" w:hAnsi="Inter" w:cs="Inter"/>
                <w:b w:val="0"/>
                <w:i w:val="0"/>
                <w:color w:val="1C1E2E"/>
                <w:sz w:val="19"/>
              </w:rPr>
              <w:t xml:space="preserve">Publicado en </w:t>
            </w:r>
            <w:r>
              <w:rPr>
                <w:rFonts w:ascii="Inter" w:hAnsi="Inter" w:cs="Inter"/>
                <w:b/>
                <w:i w:val="0"/>
                <w:color w:val="1C1E2E"/>
                <w:sz w:val="19"/>
              </w:rPr>
              <w:t>Kaleidoscopio, vol. 2, n.º 3 (ene.–jun. 2005), pp. 51–56</w:t>
            </w:r>
            <w:r>
              <w:rPr>
                <w:rFonts w:ascii="Inter" w:hAnsi="Inter" w:cs="Inter"/>
                <w:b w:val="0"/>
                <w:i w:val="0"/>
                <w:color w:val="1C1E2E"/>
                <w:sz w:val="19"/>
              </w:rPr>
              <w:t xml:space="preserve">, con resumen bilingüe español/inglés. ISSN 1690-6054. </w:t>
            </w:r>
            <w:r>
              <w:rPr>
                <w:rFonts w:ascii="Inter" w:hAnsi="Inter" w:cs="Inter"/>
                <w:b/>
                <w:i w:val="0"/>
                <w:color w:val="1C1E2E"/>
                <w:sz w:val="19"/>
              </w:rPr>
              <w:t>Indexada en CLASE (UNAM)</w:t>
            </w:r>
          </w:p>
        </w:tc>
        <w:tc>
          <w:tcPr>
            <w:tcW w:type="dxa" w:w="2412"/>
          </w:tcPr>
          <w:p>
            <w:pPr>
              <w:spacing w:after="40"/>
            </w:pPr>
            <w:r/>
            <w:r>
              <w:rPr>
                <w:rFonts w:ascii="Inter" w:hAnsi="Inter" w:cs="Inter"/>
                <w:b w:val="0"/>
                <w:i w:val="0"/>
                <w:color w:val="1C1E2E"/>
                <w:sz w:val="19"/>
              </w:rPr>
              <w:t>2005</w:t>
            </w:r>
          </w:p>
        </w:tc>
        <w:tc>
          <w:tcPr>
            <w:tcW w:type="dxa" w:w="2412"/>
          </w:tcPr>
          <w:p>
            <w:pPr>
              <w:spacing w:after="40"/>
            </w:pPr>
            <w:r/>
            <w:r>
              <w:rPr>
                <w:rFonts w:ascii="Inter" w:hAnsi="Inter" w:cs="Inter"/>
                <w:b/>
                <w:i w:val="0"/>
                <w:color w:val="1C1E2E"/>
                <w:sz w:val="19"/>
              </w:rPr>
              <w:t>[DOC-19]</w:t>
            </w:r>
          </w:p>
        </w:tc>
      </w:tr>
      <w:tr>
        <w:tc>
          <w:tcPr>
            <w:tcW w:type="dxa" w:w="2412"/>
          </w:tcPr>
          <w:p>
            <w:pPr>
              <w:spacing w:after="40"/>
            </w:pPr>
            <w:r/>
            <w:r>
              <w:rPr>
                <w:rFonts w:ascii="Inter" w:hAnsi="Inter" w:cs="Inter"/>
                <w:b/>
                <w:i w:val="0"/>
                <w:color w:val="1C1E2E"/>
                <w:sz w:val="19"/>
              </w:rPr>
              <w:t>4 · Congreso internacional</w:t>
            </w:r>
          </w:p>
        </w:tc>
        <w:tc>
          <w:tcPr>
            <w:tcW w:type="dxa" w:w="2412"/>
          </w:tcPr>
          <w:p>
            <w:pPr>
              <w:spacing w:after="40"/>
            </w:pPr>
            <w:r/>
            <w:r>
              <w:rPr>
                <w:rFonts w:ascii="Inter" w:hAnsi="Inter" w:cs="Inter"/>
                <w:b w:val="0"/>
                <w:i w:val="0"/>
                <w:color w:val="1C1E2E"/>
                <w:sz w:val="19"/>
              </w:rPr>
              <w:t xml:space="preserve">Resumen </w:t>
            </w:r>
            <w:r>
              <w:rPr>
                <w:rFonts w:ascii="Inter" w:hAnsi="Inter" w:cs="Inter"/>
                <w:b/>
                <w:i w:val="0"/>
                <w:color w:val="1C1E2E"/>
                <w:sz w:val="19"/>
              </w:rPr>
              <w:t>aceptado por la comisión de arbitraje</w:t>
            </w:r>
            <w:r>
              <w:rPr>
                <w:rFonts w:ascii="Inter" w:hAnsi="Inter" w:cs="Inter"/>
                <w:b w:val="0"/>
                <w:i w:val="0"/>
                <w:color w:val="1C1E2E"/>
                <w:sz w:val="19"/>
              </w:rPr>
              <w:t xml:space="preserve"> y ponencia presentada en el </w:t>
            </w:r>
            <w:r>
              <w:rPr>
                <w:rFonts w:ascii="Inter" w:hAnsi="Inter" w:cs="Inter"/>
                <w:b/>
                <w:i w:val="0"/>
                <w:color w:val="1C1E2E"/>
                <w:sz w:val="19"/>
              </w:rPr>
              <w:t>II Congreso Internacional de Educación Superior «Tendencias y Perspectivas de la Educación Superior en América Latina / en el Siglo XXI»</w:t>
            </w:r>
            <w:r>
              <w:rPr>
                <w:rFonts w:ascii="Inter" w:hAnsi="Inter" w:cs="Inter"/>
                <w:b w:val="0"/>
                <w:i w:val="0"/>
                <w:color w:val="1C1E2E"/>
                <w:sz w:val="19"/>
              </w:rPr>
              <w:t xml:space="preserve">, Asociación de Educadores de Latinoamérica y del Caribe + Universidad de Oriente, </w:t>
            </w:r>
            <w:r>
              <w:rPr>
                <w:rFonts w:ascii="Inter" w:hAnsi="Inter" w:cs="Inter"/>
                <w:b/>
                <w:i w:val="0"/>
                <w:color w:val="1C1E2E"/>
                <w:sz w:val="19"/>
              </w:rPr>
              <w:t>Cumaná, 31 jul. – 2 ago. 2008</w:t>
            </w:r>
            <w:r>
              <w:rPr>
                <w:rFonts w:ascii="Inter" w:hAnsi="Inter" w:cs="Inter"/>
                <w:b w:val="0"/>
                <w:i w:val="0"/>
                <w:color w:val="1C1E2E"/>
                <w:sz w:val="19"/>
              </w:rPr>
              <w:t xml:space="preserve"> (ref. CIES/P 048)</w:t>
            </w:r>
          </w:p>
        </w:tc>
        <w:tc>
          <w:tcPr>
            <w:tcW w:type="dxa" w:w="2412"/>
          </w:tcPr>
          <w:p>
            <w:pPr>
              <w:spacing w:after="40"/>
            </w:pPr>
            <w:r/>
            <w:r>
              <w:rPr>
                <w:rFonts w:ascii="Inter" w:hAnsi="Inter" w:cs="Inter"/>
                <w:b w:val="0"/>
                <w:i w:val="0"/>
                <w:color w:val="1C1E2E"/>
                <w:sz w:val="19"/>
              </w:rPr>
              <w:t>2008</w:t>
            </w:r>
          </w:p>
        </w:tc>
        <w:tc>
          <w:tcPr>
            <w:tcW w:type="dxa" w:w="2412"/>
          </w:tcPr>
          <w:p>
            <w:pPr>
              <w:spacing w:after="40"/>
            </w:pPr>
            <w:r/>
            <w:r>
              <w:rPr>
                <w:rFonts w:ascii="Inter" w:hAnsi="Inter" w:cs="Inter"/>
                <w:b/>
                <w:i w:val="0"/>
                <w:color w:val="1C1E2E"/>
                <w:sz w:val="19"/>
              </w:rPr>
              <w:t>[DOC-24]</w:t>
            </w:r>
          </w:p>
        </w:tc>
      </w:tr>
    </w:tbl>
    <w:p/>
    <w:p>
      <w:r>
        <w:rPr>
          <w:rFonts w:ascii="Inter" w:hAnsi="Inter" w:cs="Inter"/>
          <w:b/>
          <w:i w:val="0"/>
          <w:color w:val="1C1E2E"/>
          <w:sz w:val="22"/>
        </w:rPr>
        <w:t>Cita completa:</w:t>
      </w:r>
    </w:p>
    <w:p>
      <w:pPr>
        <w:pBdr>
          <w:left w:val="single" w:sz="18" w:space="8" w:color="9A5B00"/>
        </w:pBdr>
        <w:spacing w:before="120" w:after="200"/>
        <w:ind w:left="317"/>
      </w:pPr>
      <w:r>
        <w:rPr>
          <w:rFonts w:ascii="Inter" w:hAnsi="Inter" w:cs="Inter"/>
          <w:b w:val="0"/>
          <w:i w:val="0"/>
          <w:color w:val="5B5F77"/>
          <w:sz w:val="21"/>
        </w:rPr>
        <w:t xml:space="preserve">Eslava Graterol, A. Z. (2005). Estudio sobre el perfil del alumno en Educación Mención Inglés de la ULA-Táchira. </w:t>
      </w:r>
      <w:r>
        <w:rPr>
          <w:rFonts w:ascii="Inter" w:hAnsi="Inter" w:cs="Inter"/>
          <w:b w:val="0"/>
          <w:i/>
          <w:color w:val="5B5F77"/>
          <w:sz w:val="21"/>
        </w:rPr>
        <w:t>Kaleidoscopio, 2</w:t>
      </w:r>
      <w:r>
        <w:rPr>
          <w:rFonts w:ascii="Inter" w:hAnsi="Inter" w:cs="Inter"/>
          <w:b w:val="0"/>
          <w:i w:val="0"/>
          <w:color w:val="5B5F77"/>
          <w:sz w:val="21"/>
        </w:rPr>
        <w:t>(3), 51–56. Universidad Nacional Experimental de Guayana. ISSN 1690-6054. Indexada en CLASE (UNAM). https://hdl.handle.net/20.500.14330/CLA01000260594</w:t>
      </w:r>
    </w:p>
    <w:p>
      <w:r>
        <w:rPr>
          <w:rFonts w:ascii="Inter" w:hAnsi="Inter" w:cs="Inter"/>
          <w:b/>
          <w:i w:val="0"/>
          <w:color w:val="1C1E2E"/>
          <w:sz w:val="22"/>
        </w:rPr>
        <w:t>Relevancia para la propuesta de tesis.</w:t>
      </w:r>
      <w:r>
        <w:rPr>
          <w:rFonts w:ascii="Inter" w:hAnsi="Inter" w:cs="Inter"/>
          <w:b w:val="0"/>
          <w:i w:val="0"/>
          <w:color w:val="1C1E2E"/>
          <w:sz w:val="22"/>
        </w:rPr>
        <w:t xml:space="preserve"> El objeto de aquel estudio — el perfil del egresado medido contra las funciones docentes y las competencias lingüísticas previstas en la reforma curricular — es, en el fondo, el mismo problema que aborda MLLDE veinte años después: </w:t>
      </w:r>
      <w:r>
        <w:rPr>
          <w:rFonts w:ascii="Inter" w:hAnsi="Inter" w:cs="Inter"/>
          <w:b/>
          <w:i w:val="0"/>
          <w:color w:val="1C1E2E"/>
          <w:sz w:val="22"/>
        </w:rPr>
        <w:t>cómo alinear un diseño curricular con un marco de competencias verificable</w:t>
      </w:r>
      <w:r>
        <w:rPr>
          <w:rFonts w:ascii="Inter" w:hAnsi="Inter" w:cs="Inter"/>
          <w:b w:val="0"/>
          <w:i w:val="0"/>
          <w:color w:val="1C1E2E"/>
          <w:sz w:val="22"/>
        </w:rPr>
        <w:t>. La continuidad de línea de investigación es real, no retórica.</w:t>
      </w:r>
    </w:p>
    <w:p>
      <w:pPr>
        <w:spacing w:before="320" w:after="120"/>
      </w:pPr>
      <w:r>
        <w:rPr>
          <w:rFonts w:ascii="Fraunces" w:hAnsi="Fraunces" w:cs="Fraunces"/>
          <w:b/>
          <w:i w:val="0"/>
          <w:color w:val="22307C"/>
          <w:sz w:val="32"/>
        </w:rPr>
        <w:t>5.2 · Reconocimiento en agradecimientos</w:t>
      </w:r>
    </w:p>
    <w:p>
      <w:pPr>
        <w:pBdr>
          <w:left w:val="single" w:sz="18" w:space="8" w:color="9A5B00"/>
        </w:pBdr>
        <w:spacing w:before="120" w:after="200"/>
        <w:ind w:left="317"/>
      </w:pPr>
      <w:r>
        <w:rPr>
          <w:rFonts w:ascii="Inter" w:hAnsi="Inter" w:cs="Inter"/>
          <w:b w:val="0"/>
          <w:i w:val="0"/>
          <w:color w:val="5B5F77"/>
          <w:sz w:val="21"/>
        </w:rPr>
        <w:t xml:space="preserve">Sotelo-Casas et al. (2019). </w:t>
      </w:r>
      <w:r>
        <w:rPr>
          <w:rFonts w:ascii="Inter" w:hAnsi="Inter" w:cs="Inter"/>
          <w:b w:val="0"/>
          <w:i/>
          <w:color w:val="5B5F77"/>
          <w:sz w:val="21"/>
        </w:rPr>
        <w:t>Estuarine, Coastal and Shelf Science</w:t>
      </w:r>
      <w:r>
        <w:rPr>
          <w:rFonts w:ascii="Inter" w:hAnsi="Inter" w:cs="Inter"/>
          <w:b w:val="0"/>
          <w:i w:val="0"/>
          <w:color w:val="5B5F77"/>
          <w:sz w:val="21"/>
        </w:rPr>
        <w:t xml:space="preserve"> (Elsevier), p. 8 — por el contenido científico y la revisión en inglés del manuscrito. </w:t>
      </w:r>
      <w:r>
        <w:rPr>
          <w:rFonts w:ascii="Inter" w:hAnsi="Inter" w:cs="Inter"/>
          <w:b/>
          <w:i w:val="0"/>
          <w:color w:val="5B5F77"/>
          <w:sz w:val="21"/>
        </w:rPr>
        <w:t>[DOC-14]</w:t>
      </w:r>
    </w:p>
    <w:p>
      <w:pPr>
        <w:spacing w:before="320" w:after="120"/>
      </w:pPr>
      <w:r>
        <w:rPr>
          <w:rFonts w:ascii="Fraunces" w:hAnsi="Fraunces" w:cs="Fraunces"/>
          <w:b/>
          <w:i w:val="0"/>
          <w:color w:val="22307C"/>
          <w:sz w:val="32"/>
        </w:rPr>
        <w:t>5.3 · Difusión y divulgación profesional</w:t>
      </w:r>
    </w:p>
    <w:p>
      <w:pPr>
        <w:pStyle w:val="ListBullet"/>
        <w:spacing w:after="60"/>
        <w:ind w:left="403"/>
      </w:pPr>
      <w:r>
        <w:rPr>
          <w:rFonts w:ascii="Inter" w:hAnsi="Inter" w:cs="Inter"/>
          <w:b w:val="0"/>
          <w:i w:val="0"/>
          <w:color w:val="1C1E2E"/>
          <w:sz w:val="22"/>
        </w:rPr>
        <w:t>Portafolio EdTech de seis áreas (vídeo, gamificación, diseño de cursos, herramientas interactivas, formación virtual, investigación).</w:t>
      </w:r>
    </w:p>
    <w:p>
      <w:pPr>
        <w:pStyle w:val="ListBullet"/>
        <w:spacing w:after="60"/>
        <w:ind w:left="403"/>
      </w:pPr>
      <w:r>
        <w:rPr>
          <w:rFonts w:ascii="Inter" w:hAnsi="Inter" w:cs="Inter"/>
          <w:b w:val="0"/>
          <w:i w:val="0"/>
          <w:color w:val="1C1E2E"/>
          <w:sz w:val="22"/>
        </w:rPr>
        <w:t>Libro de datos interactivo del corpus de metadiscurso (visualización de resultados de investigación en lingüística aplicada), publicado en el portafolio de investigación.</w:t>
      </w:r>
    </w:p>
    <w:p>
      <w:pPr>
        <w:pStyle w:val="ListBullet"/>
        <w:spacing w:after="60"/>
        <w:ind w:left="403"/>
      </w:pPr>
      <w:r>
        <w:rPr>
          <w:rFonts w:ascii="Inter" w:hAnsi="Inter" w:cs="Inter"/>
          <w:b w:val="0"/>
          <w:i w:val="0"/>
          <w:color w:val="1C1E2E"/>
          <w:sz w:val="22"/>
        </w:rPr>
        <w:t>Podcast profesional en Spotify y canal de YouTube sobre diseño de aprendizaje y escritura académica.</w:t>
      </w:r>
    </w:p>
    <w:p>
      <w:pPr>
        <w:pBdr>
          <w:bottom w:val="single" w:sz="6" w:space="1" w:color="E6E8F2"/>
        </w:pBdr>
      </w:pPr>
    </w:p>
    <w:p>
      <w:pPr>
        <w:spacing w:before="320" w:after="120"/>
      </w:pPr>
      <w:r>
        <w:rPr>
          <w:rFonts w:ascii="Fraunces" w:hAnsi="Fraunces" w:cs="Fraunces"/>
          <w:b/>
          <w:i w:val="0"/>
          <w:color w:val="22307C"/>
          <w:sz w:val="42"/>
        </w:rPr>
        <w:t>6. Formación complementaria y certificaciones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Certificación</w:t>
            </w:r>
          </w:p>
        </w:tc>
        <w:tc>
          <w:tcPr>
            <w:tcW w:type="dxa" w:w="2412"/>
            <w:shd w:val="clear" w:color="auto" w:fill="EEF2FD"/>
          </w:tcPr>
          <w:p>
            <w:pPr>
              <w:spacing w:after="40"/>
            </w:pPr>
            <w:r/>
            <w:r>
              <w:rPr>
                <w:rFonts w:ascii="Inter" w:hAnsi="Inter" w:cs="Inter"/>
                <w:b/>
                <w:i w:val="0"/>
                <w:color w:val="22307C"/>
                <w:sz w:val="19"/>
              </w:rPr>
              <w:t>Entidad</w:t>
            </w:r>
          </w:p>
        </w:tc>
        <w:tc>
          <w:tcPr>
            <w:tcW w:type="dxa" w:w="2412"/>
            <w:shd w:val="clear" w:color="auto" w:fill="EEF2FD"/>
          </w:tcPr>
          <w:p>
            <w:pPr>
              <w:spacing w:after="40"/>
            </w:pPr>
            <w:r/>
            <w:r>
              <w:rPr>
                <w:rFonts w:ascii="Inter" w:hAnsi="Inter" w:cs="Inter"/>
                <w:b/>
                <w:i w:val="0"/>
                <w:color w:val="22307C"/>
                <w:sz w:val="19"/>
              </w:rPr>
              <w:t>Fecha</w:t>
            </w:r>
          </w:p>
        </w:tc>
        <w:tc>
          <w:tcPr>
            <w:tcW w:type="dxa" w:w="2412"/>
            <w:shd w:val="clear" w:color="auto" w:fill="EEF2FD"/>
          </w:tcPr>
          <w:p>
            <w:pPr>
              <w:spacing w:after="40"/>
            </w:pPr>
            <w:r/>
            <w:r>
              <w:rPr>
                <w:rFonts w:ascii="Inter" w:hAnsi="Inter" w:cs="Inter"/>
                <w:b/>
                <w:i w:val="0"/>
                <w:color w:val="22307C"/>
                <w:sz w:val="19"/>
              </w:rPr>
              <w:t>Doc.</w:t>
            </w:r>
          </w:p>
        </w:tc>
      </w:tr>
      <w:tr>
        <w:tc>
          <w:tcPr>
            <w:tcW w:type="dxa" w:w="2412"/>
          </w:tcPr>
          <w:p>
            <w:pPr>
              <w:spacing w:after="40"/>
            </w:pPr>
            <w:r/>
            <w:r>
              <w:rPr>
                <w:rFonts w:ascii="Inter" w:hAnsi="Inter" w:cs="Inter"/>
                <w:b w:val="0"/>
                <w:i w:val="0"/>
                <w:color w:val="1C1E2E"/>
                <w:sz w:val="19"/>
              </w:rPr>
              <w:t>Instructional Design: Course Planning and Pedagogy</w:t>
            </w:r>
          </w:p>
        </w:tc>
        <w:tc>
          <w:tcPr>
            <w:tcW w:type="dxa" w:w="2412"/>
          </w:tcPr>
          <w:p>
            <w:pPr>
              <w:spacing w:after="40"/>
            </w:pPr>
            <w:r/>
            <w:r>
              <w:rPr>
                <w:rFonts w:ascii="Inter" w:hAnsi="Inter" w:cs="Inter"/>
                <w:b w:val="0"/>
                <w:i w:val="0"/>
                <w:color w:val="1C1E2E"/>
                <w:sz w:val="19"/>
              </w:rPr>
              <w:t>University of California, Irvine (DCE)</w:t>
            </w:r>
          </w:p>
        </w:tc>
        <w:tc>
          <w:tcPr>
            <w:tcW w:type="dxa" w:w="2412"/>
          </w:tcPr>
          <w:p>
            <w:pPr>
              <w:spacing w:after="40"/>
            </w:pPr>
            <w:r/>
            <w:r>
              <w:rPr>
                <w:rFonts w:ascii="Inter" w:hAnsi="Inter" w:cs="Inter"/>
                <w:b w:val="0"/>
                <w:i w:val="0"/>
                <w:color w:val="1C1E2E"/>
                <w:sz w:val="19"/>
              </w:rPr>
              <w:t>ene. 2025</w:t>
            </w:r>
          </w:p>
        </w:tc>
        <w:tc>
          <w:tcPr>
            <w:tcW w:type="dxa" w:w="2412"/>
          </w:tcPr>
          <w:p>
            <w:pPr>
              <w:spacing w:after="40"/>
            </w:pPr>
            <w:r/>
            <w:r>
              <w:rPr>
                <w:rFonts w:ascii="Inter" w:hAnsi="Inter" w:cs="Inter"/>
                <w:b w:val="0"/>
                <w:i w:val="0"/>
                <w:color w:val="1C1E2E"/>
                <w:sz w:val="19"/>
              </w:rPr>
              <w:t>[DOC-20]</w:t>
            </w:r>
          </w:p>
        </w:tc>
      </w:tr>
      <w:tr>
        <w:tc>
          <w:tcPr>
            <w:tcW w:type="dxa" w:w="2412"/>
          </w:tcPr>
          <w:p>
            <w:pPr>
              <w:spacing w:after="40"/>
            </w:pPr>
            <w:r/>
            <w:r>
              <w:rPr>
                <w:rFonts w:ascii="Inter" w:hAnsi="Inter" w:cs="Inter"/>
                <w:b w:val="0"/>
                <w:i w:val="0"/>
                <w:color w:val="1C1E2E"/>
                <w:sz w:val="19"/>
              </w:rPr>
              <w:t>Instructional Design Fundamentals</w:t>
            </w:r>
          </w:p>
        </w:tc>
        <w:tc>
          <w:tcPr>
            <w:tcW w:type="dxa" w:w="2412"/>
          </w:tcPr>
          <w:p>
            <w:pPr>
              <w:spacing w:after="40"/>
            </w:pPr>
            <w:r/>
            <w:r>
              <w:rPr>
                <w:rFonts w:ascii="Inter" w:hAnsi="Inter" w:cs="Inter"/>
                <w:b w:val="0"/>
                <w:i w:val="0"/>
                <w:color w:val="1C1E2E"/>
                <w:sz w:val="19"/>
              </w:rPr>
              <w:t>University of Cambridge (PCE)</w:t>
            </w:r>
          </w:p>
        </w:tc>
        <w:tc>
          <w:tcPr>
            <w:tcW w:type="dxa" w:w="2412"/>
          </w:tcPr>
          <w:p>
            <w:pPr>
              <w:spacing w:after="40"/>
            </w:pPr>
            <w:r/>
            <w:r>
              <w:rPr>
                <w:rFonts w:ascii="Inter" w:hAnsi="Inter" w:cs="Inter"/>
                <w:b w:val="0"/>
                <w:i w:val="0"/>
                <w:color w:val="1C1E2E"/>
                <w:sz w:val="19"/>
              </w:rPr>
              <w:t>mar. 2025</w:t>
            </w:r>
          </w:p>
        </w:tc>
        <w:tc>
          <w:tcPr>
            <w:tcW w:type="dxa" w:w="2412"/>
          </w:tcPr>
          <w:p>
            <w:pPr>
              <w:spacing w:after="40"/>
            </w:pPr>
            <w:r/>
            <w:r>
              <w:rPr>
                <w:rFonts w:ascii="Inter" w:hAnsi="Inter" w:cs="Inter"/>
                <w:b w:val="0"/>
                <w:i w:val="0"/>
                <w:color w:val="1C1E2E"/>
                <w:sz w:val="19"/>
              </w:rPr>
              <w:t>[DOC-21]</w:t>
            </w:r>
          </w:p>
        </w:tc>
      </w:tr>
      <w:tr>
        <w:tc>
          <w:tcPr>
            <w:tcW w:type="dxa" w:w="2412"/>
          </w:tcPr>
          <w:p>
            <w:pPr>
              <w:spacing w:after="40"/>
            </w:pPr>
            <w:r/>
            <w:r>
              <w:rPr>
                <w:rFonts w:ascii="Inter" w:hAnsi="Inter" w:cs="Inter"/>
                <w:b w:val="0"/>
                <w:i w:val="0"/>
                <w:color w:val="1C1E2E"/>
                <w:sz w:val="19"/>
              </w:rPr>
              <w:t>AP Stylebook Workshop Certificate</w:t>
            </w:r>
          </w:p>
        </w:tc>
        <w:tc>
          <w:tcPr>
            <w:tcW w:type="dxa" w:w="2412"/>
          </w:tcPr>
          <w:p>
            <w:pPr>
              <w:spacing w:after="40"/>
            </w:pPr>
            <w:r/>
            <w:r>
              <w:rPr>
                <w:rFonts w:ascii="Inter" w:hAnsi="Inter" w:cs="Inter"/>
                <w:b w:val="0"/>
                <w:i w:val="0"/>
                <w:color w:val="1C1E2E"/>
                <w:sz w:val="19"/>
              </w:rPr>
              <w:t>The Associated Press</w:t>
            </w:r>
          </w:p>
        </w:tc>
        <w:tc>
          <w:tcPr>
            <w:tcW w:type="dxa" w:w="2412"/>
          </w:tcPr>
          <w:p>
            <w:pPr>
              <w:spacing w:after="40"/>
            </w:pPr>
            <w:r/>
            <w:r>
              <w:rPr>
                <w:rFonts w:ascii="Inter" w:hAnsi="Inter" w:cs="Inter"/>
                <w:b w:val="0"/>
                <w:i w:val="0"/>
                <w:color w:val="1C1E2E"/>
                <w:sz w:val="19"/>
              </w:rPr>
              <w:t>may. 2024 (válido hasta dic. 2034)</w:t>
            </w:r>
          </w:p>
        </w:tc>
        <w:tc>
          <w:tcPr>
            <w:tcW w:type="dxa" w:w="2412"/>
          </w:tcPr>
          <w:p>
            <w:pPr>
              <w:spacing w:after="40"/>
            </w:pPr>
            <w:r/>
            <w:r>
              <w:rPr>
                <w:rFonts w:ascii="Inter" w:hAnsi="Inter" w:cs="Inter"/>
                <w:b w:val="0"/>
                <w:i w:val="0"/>
                <w:color w:val="1C1E2E"/>
                <w:sz w:val="19"/>
              </w:rPr>
              <w:t>[DOC-22]</w:t>
            </w:r>
          </w:p>
        </w:tc>
      </w:tr>
      <w:tr>
        <w:tc>
          <w:tcPr>
            <w:tcW w:type="dxa" w:w="2412"/>
          </w:tcPr>
          <w:p>
            <w:pPr>
              <w:spacing w:after="40"/>
            </w:pPr>
            <w:r/>
            <w:r>
              <w:rPr>
                <w:rFonts w:ascii="Inter" w:hAnsi="Inter" w:cs="Inter"/>
                <w:b w:val="0"/>
                <w:i w:val="0"/>
                <w:color w:val="1C1E2E"/>
                <w:sz w:val="19"/>
              </w:rPr>
              <w:t>Creación de contenidos digitales, mobile learning y gamificación</w:t>
            </w:r>
          </w:p>
        </w:tc>
        <w:tc>
          <w:tcPr>
            <w:tcW w:type="dxa" w:w="2412"/>
          </w:tcPr>
          <w:p>
            <w:pPr>
              <w:spacing w:after="40"/>
            </w:pPr>
            <w:r/>
            <w:r>
              <w:rPr>
                <w:rFonts w:ascii="Inter" w:hAnsi="Inter" w:cs="Inter"/>
                <w:b w:val="0"/>
                <w:i w:val="0"/>
                <w:color w:val="1C1E2E"/>
                <w:sz w:val="19"/>
              </w:rPr>
              <w:t>SEPE</w:t>
            </w:r>
          </w:p>
        </w:tc>
        <w:tc>
          <w:tcPr>
            <w:tcW w:type="dxa" w:w="2412"/>
          </w:tcPr>
          <w:p>
            <w:pPr>
              <w:spacing w:after="40"/>
            </w:pPr>
            <w:r/>
            <w:r>
              <w:rPr>
                <w:rFonts w:ascii="Inter" w:hAnsi="Inter" w:cs="Inter"/>
                <w:b w:val="0"/>
                <w:i w:val="0"/>
                <w:color w:val="1C1E2E"/>
                <w:sz w:val="19"/>
              </w:rPr>
              <w:t>2024</w:t>
            </w:r>
          </w:p>
        </w:tc>
        <w:tc>
          <w:tcPr>
            <w:tcW w:type="dxa" w:w="2412"/>
          </w:tcPr>
          <w:p>
            <w:pPr>
              <w:spacing w:after="40"/>
            </w:pPr>
            <w:r/>
            <w:r>
              <w:rPr>
                <w:rFonts w:ascii="Inter" w:hAnsi="Inter" w:cs="Inter"/>
                <w:b w:val="0"/>
                <w:i w:val="0"/>
                <w:color w:val="1C1E2E"/>
                <w:sz w:val="19"/>
              </w:rPr>
              <w:t>[DOC-23]</w:t>
            </w:r>
          </w:p>
        </w:tc>
      </w:tr>
      <w:tr>
        <w:tc>
          <w:tcPr>
            <w:tcW w:type="dxa" w:w="2412"/>
          </w:tcPr>
          <w:p>
            <w:pPr>
              <w:spacing w:after="40"/>
            </w:pPr>
            <w:r/>
            <w:r>
              <w:rPr>
                <w:rFonts w:ascii="Inter" w:hAnsi="Inter" w:cs="Inter"/>
                <w:b w:val="0"/>
                <w:i w:val="0"/>
                <w:color w:val="1C1E2E"/>
                <w:sz w:val="19"/>
              </w:rPr>
              <w:t>C1 Advanced (CAE)</w:t>
            </w:r>
          </w:p>
        </w:tc>
        <w:tc>
          <w:tcPr>
            <w:tcW w:type="dxa" w:w="2412"/>
          </w:tcPr>
          <w:p>
            <w:pPr>
              <w:spacing w:after="40"/>
            </w:pPr>
            <w:r/>
            <w:r>
              <w:rPr>
                <w:rFonts w:ascii="Inter" w:hAnsi="Inter" w:cs="Inter"/>
                <w:b w:val="0"/>
                <w:i w:val="0"/>
                <w:color w:val="1C1E2E"/>
                <w:sz w:val="19"/>
              </w:rPr>
              <w:t>Cambridge English</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[DOC-09]</w:t>
            </w:r>
          </w:p>
        </w:tc>
      </w:tr>
      <w:tr>
        <w:tc>
          <w:tcPr>
            <w:tcW w:type="dxa" w:w="2412"/>
          </w:tcPr>
          <w:p>
            <w:pPr>
              <w:spacing w:after="40"/>
            </w:pPr>
            <w:r/>
            <w:r>
              <w:rPr>
                <w:rFonts w:ascii="Inter" w:hAnsi="Inter" w:cs="Inter"/>
                <w:b w:val="0"/>
                <w:i w:val="0"/>
                <w:color w:val="1C1E2E"/>
                <w:sz w:val="19"/>
              </w:rPr>
              <w:t>CELTA</w:t>
            </w:r>
          </w:p>
        </w:tc>
        <w:tc>
          <w:tcPr>
            <w:tcW w:type="dxa" w:w="2412"/>
          </w:tcPr>
          <w:p>
            <w:pPr>
              <w:spacing w:after="40"/>
            </w:pPr>
            <w:r/>
            <w:r>
              <w:rPr>
                <w:rFonts w:ascii="Inter" w:hAnsi="Inter" w:cs="Inter"/>
                <w:b w:val="0"/>
                <w:i w:val="0"/>
                <w:color w:val="1C1E2E"/>
                <w:sz w:val="19"/>
              </w:rPr>
              <w:t>Cambridge English</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[DOC-10]</w:t>
            </w:r>
          </w:p>
        </w:tc>
      </w:tr>
      <w:tr>
        <w:tc>
          <w:tcPr>
            <w:tcW w:type="dxa" w:w="2412"/>
          </w:tcPr>
          <w:p>
            <w:pPr>
              <w:spacing w:after="40"/>
            </w:pPr>
            <w:r/>
            <w:r>
              <w:rPr>
                <w:rFonts w:ascii="Inter" w:hAnsi="Inter" w:cs="Inter"/>
                <w:b w:val="0"/>
                <w:i w:val="0"/>
                <w:color w:val="1C1E2E"/>
                <w:sz w:val="19"/>
              </w:rPr>
              <w:t>Examinadora acreditada DELE</w:t>
            </w:r>
          </w:p>
        </w:tc>
        <w:tc>
          <w:tcPr>
            <w:tcW w:type="dxa" w:w="2412"/>
          </w:tcPr>
          <w:p>
            <w:pPr>
              <w:spacing w:after="40"/>
            </w:pPr>
            <w:r/>
            <w:r>
              <w:rPr>
                <w:rFonts w:ascii="Inter" w:hAnsi="Inter" w:cs="Inter"/>
                <w:b w:val="0"/>
                <w:i w:val="0"/>
                <w:color w:val="1C1E2E"/>
                <w:sz w:val="19"/>
              </w:rPr>
              <w:t>Instituto Cervantes</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[DOC-11]</w:t>
            </w:r>
          </w:p>
        </w:tc>
      </w:tr>
    </w:tbl>
    <w:p/>
    <w:p>
      <w:pPr>
        <w:pBdr>
          <w:bottom w:val="single" w:sz="6" w:space="1" w:color="E6E8F2"/>
        </w:pBdr>
      </w:pPr>
    </w:p>
    <w:p>
      <w:pPr>
        <w:spacing w:before="320" w:after="120"/>
      </w:pPr>
      <w:r>
        <w:rPr>
          <w:rFonts w:ascii="Fraunces" w:hAnsi="Fraunces" w:cs="Fraunces"/>
          <w:b/>
          <w:i w:val="0"/>
          <w:color w:val="22307C"/>
          <w:sz w:val="42"/>
        </w:rPr>
        <w:t>7. Idiomas, competencias y herramientas</w:t>
      </w:r>
    </w:p>
    <w:p>
      <w:r>
        <w:rPr>
          <w:rFonts w:ascii="Inter" w:hAnsi="Inter" w:cs="Inter"/>
          <w:b/>
          <w:i w:val="0"/>
          <w:color w:val="1C1E2E"/>
          <w:sz w:val="22"/>
        </w:rPr>
        <w:t>Idiomas:</w:t>
      </w:r>
      <w:r>
        <w:rPr>
          <w:rFonts w:ascii="Inter" w:hAnsi="Inter" w:cs="Inter"/>
          <w:b w:val="0"/>
          <w:i w:val="0"/>
          <w:color w:val="1C1E2E"/>
          <w:sz w:val="22"/>
        </w:rPr>
        <w:t xml:space="preserve"> español (nativo) · inglés </w:t>
      </w:r>
      <w:r>
        <w:rPr>
          <w:rFonts w:ascii="Inter" w:hAnsi="Inter" w:cs="Inter"/>
          <w:b/>
          <w:i w:val="0"/>
          <w:color w:val="1C1E2E"/>
          <w:sz w:val="22"/>
        </w:rPr>
        <w:t>C1</w:t>
      </w:r>
      <w:r>
        <w:rPr>
          <w:rFonts w:ascii="Inter" w:hAnsi="Inter" w:cs="Inter"/>
          <w:b w:val="0"/>
          <w:i w:val="0"/>
          <w:color w:val="1C1E2E"/>
          <w:sz w:val="22"/>
        </w:rPr>
        <w:t xml:space="preserve"> (Cambridge C1 Advanced / CAE) — redacción profesional y científica en ambas lenguas.</w:t>
      </w:r>
    </w:p>
    <w:p>
      <w:r>
        <w:rPr>
          <w:rFonts w:ascii="Inter" w:hAnsi="Inter" w:cs="Inter"/>
          <w:b/>
          <w:i w:val="0"/>
          <w:color w:val="1C1E2E"/>
          <w:sz w:val="22"/>
        </w:rPr>
        <w:t>Competencias y herramientas (línea de palabras clave):</w:t>
      </w:r>
      <w:r>
        <w:rPr>
          <w:rFonts w:ascii="Inter" w:hAnsi="Inter" w:cs="Inter"/>
          <w:b w:val="0"/>
          <w:i w:val="0"/>
          <w:color w:val="1C1E2E"/>
          <w:sz w:val="22"/>
        </w:rPr>
        <w:t xml:space="preserve"> diseño de contenidos educativos, diseño instruccional, eLearning, formación en línea, adaptación de contenidos, revisión de originales, guionización, redacción de contenidos, narrativa didáctica, producción de audio, gamificación, microlearning, diseño curricular, evaluación por competencias, accesibilidad (DUA/WCAG), ADDIE, SAM, escritura científica, MCER/CEFR, xAPI, SCORM, cmi5, Moodle, Canvas LMS, Chamilo, Articulate 360 (Rise), AVE Global, Notion, Kajabi, Canva, Microsoft Office, Google Workspace, Adobe Podcast.</w:t>
      </w:r>
    </w:p>
    <w:p>
      <w:pPr>
        <w:pBdr>
          <w:bottom w:val="single" w:sz="6" w:space="1" w:color="E6E8F2"/>
        </w:pBdr>
      </w:pPr>
    </w:p>
    <w:p>
      <w:pPr>
        <w:spacing w:before="320" w:after="120"/>
      </w:pPr>
      <w:r>
        <w:rPr>
          <w:rFonts w:ascii="Fraunces" w:hAnsi="Fraunces" w:cs="Fraunces"/>
          <w:b/>
          <w:i w:val="0"/>
          <w:color w:val="22307C"/>
          <w:sz w:val="42"/>
        </w:rPr>
        <w:t>8. ANEXO — Índice de documentos acreditativos</w:t>
      </w:r>
    </w:p>
    <w:p>
      <w:pPr>
        <w:pBdr>
          <w:left w:val="single" w:sz="18" w:space="8" w:color="9A5B00"/>
        </w:pBdr>
        <w:spacing w:before="120" w:after="200"/>
        <w:ind w:left="317"/>
      </w:pPr>
      <w:r>
        <w:rPr>
          <w:rFonts w:ascii="Inter" w:hAnsi="Inter" w:cs="Inter"/>
          <w:b w:val="0"/>
          <w:i w:val="0"/>
          <w:color w:val="5B5F77"/>
          <w:sz w:val="21"/>
        </w:rPr>
        <w:t xml:space="preserve">Enviar un único PDF con los documentos </w:t>
      </w:r>
      <w:r>
        <w:rPr>
          <w:rFonts w:ascii="Inter" w:hAnsi="Inter" w:cs="Inter"/>
          <w:b/>
          <w:i w:val="0"/>
          <w:color w:val="5B5F77"/>
          <w:sz w:val="21"/>
        </w:rPr>
        <w:t>en este orden</w:t>
      </w:r>
      <w:r>
        <w:rPr>
          <w:rFonts w:ascii="Inter" w:hAnsi="Inter" w:cs="Inter"/>
          <w:b w:val="0"/>
          <w:i w:val="0"/>
          <w:color w:val="5B5F77"/>
          <w:sz w:val="21"/>
        </w:rPr>
        <w:t>, con una portada que reproduzca esta tabla. La comisión debe poder ir del mérito al documento en un solo salto.</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Código</w:t>
            </w:r>
          </w:p>
        </w:tc>
        <w:tc>
          <w:tcPr>
            <w:tcW w:type="dxa" w:w="2412"/>
            <w:shd w:val="clear" w:color="auto" w:fill="EEF2FD"/>
          </w:tcPr>
          <w:p>
            <w:pPr>
              <w:spacing w:after="40"/>
            </w:pPr>
            <w:r/>
            <w:r>
              <w:rPr>
                <w:rFonts w:ascii="Inter" w:hAnsi="Inter" w:cs="Inter"/>
                <w:b/>
                <w:i w:val="0"/>
                <w:color w:val="22307C"/>
                <w:sz w:val="19"/>
              </w:rPr>
              <w:t>Documento</w:t>
            </w:r>
          </w:p>
        </w:tc>
        <w:tc>
          <w:tcPr>
            <w:tcW w:type="dxa" w:w="2412"/>
            <w:shd w:val="clear" w:color="auto" w:fill="EEF2FD"/>
          </w:tcPr>
          <w:p>
            <w:pPr>
              <w:spacing w:after="40"/>
            </w:pPr>
            <w:r/>
            <w:r>
              <w:rPr>
                <w:rFonts w:ascii="Inter" w:hAnsi="Inter" w:cs="Inter"/>
                <w:b/>
                <w:i w:val="0"/>
                <w:color w:val="22307C"/>
                <w:sz w:val="19"/>
              </w:rPr>
              <w:t>Acredita</w:t>
            </w:r>
          </w:p>
        </w:tc>
        <w:tc>
          <w:tcPr>
            <w:tcW w:type="dxa" w:w="2412"/>
            <w:shd w:val="clear" w:color="auto" w:fill="EEF2FD"/>
          </w:tcPr>
          <w:p>
            <w:pPr>
              <w:spacing w:after="40"/>
            </w:pPr>
            <w:r/>
            <w:r>
              <w:rPr>
                <w:rFonts w:ascii="Inter" w:hAnsi="Inter" w:cs="Inter"/>
                <w:b/>
                <w:i w:val="0"/>
                <w:color w:val="22307C"/>
                <w:sz w:val="19"/>
              </w:rPr>
              <w:t>Estado</w:t>
            </w:r>
          </w:p>
        </w:tc>
      </w:tr>
      <w:tr>
        <w:tc>
          <w:tcPr>
            <w:tcW w:type="dxa" w:w="2412"/>
          </w:tcPr>
          <w:p>
            <w:pPr>
              <w:spacing w:after="40"/>
            </w:pPr>
            <w:r/>
            <w:r>
              <w:rPr>
                <w:rFonts w:ascii="Inter" w:hAnsi="Inter" w:cs="Inter"/>
                <w:b w:val="0"/>
                <w:i w:val="0"/>
                <w:color w:val="1C1E2E"/>
                <w:sz w:val="19"/>
              </w:rPr>
              <w:t>DOC-01</w:t>
            </w:r>
          </w:p>
        </w:tc>
        <w:tc>
          <w:tcPr>
            <w:tcW w:type="dxa" w:w="2412"/>
          </w:tcPr>
          <w:p>
            <w:pPr>
              <w:spacing w:after="40"/>
            </w:pPr>
            <w:r/>
            <w:r>
              <w:rPr>
                <w:rFonts w:ascii="Inter" w:hAnsi="Inter" w:cs="Inter"/>
                <w:b w:val="0"/>
                <w:i w:val="0"/>
                <w:color w:val="1C1E2E"/>
                <w:sz w:val="19"/>
              </w:rPr>
              <w:t>Certificación académica personal UPV (nota media 9,4/10 + 2 MH)</w:t>
            </w:r>
          </w:p>
        </w:tc>
        <w:tc>
          <w:tcPr>
            <w:tcW w:type="dxa" w:w="2412"/>
          </w:tcPr>
          <w:p>
            <w:pPr>
              <w:spacing w:after="40"/>
            </w:pPr>
            <w:r/>
            <w:r>
              <w:rPr>
                <w:rFonts w:ascii="Inter" w:hAnsi="Inter" w:cs="Inter"/>
                <w:b w:val="0"/>
                <w:i w:val="0"/>
                <w:color w:val="1C1E2E"/>
                <w:sz w:val="19"/>
              </w:rPr>
              <w:t>A.1 · B.2</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DOC-02</w:t>
            </w:r>
          </w:p>
        </w:tc>
        <w:tc>
          <w:tcPr>
            <w:tcW w:type="dxa" w:w="2412"/>
          </w:tcPr>
          <w:p>
            <w:pPr>
              <w:spacing w:after="40"/>
            </w:pPr>
            <w:r/>
            <w:r>
              <w:rPr>
                <w:rFonts w:ascii="Inter" w:hAnsi="Inter" w:cs="Inter"/>
                <w:b w:val="0"/>
                <w:i w:val="0"/>
                <w:color w:val="1C1E2E"/>
                <w:sz w:val="19"/>
              </w:rPr>
              <w:t>Título o resguardo del Máster (UPV)</w:t>
            </w:r>
          </w:p>
        </w:tc>
        <w:tc>
          <w:tcPr>
            <w:tcW w:type="dxa" w:w="2412"/>
          </w:tcPr>
          <w:p>
            <w:pPr>
              <w:spacing w:after="40"/>
            </w:pPr>
            <w:r/>
            <w:r>
              <w:rPr>
                <w:rFonts w:ascii="Inter" w:hAnsi="Inter" w:cs="Inter"/>
                <w:b w:val="0"/>
                <w:i w:val="0"/>
                <w:color w:val="1C1E2E"/>
                <w:sz w:val="19"/>
              </w:rPr>
              <w:t>A.1</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DOC-03</w:t>
            </w:r>
          </w:p>
        </w:tc>
        <w:tc>
          <w:tcPr>
            <w:tcW w:type="dxa" w:w="2412"/>
          </w:tcPr>
          <w:p>
            <w:pPr>
              <w:spacing w:after="40"/>
            </w:pPr>
            <w:r/>
            <w:r>
              <w:rPr>
                <w:rFonts w:ascii="Inter" w:hAnsi="Inter" w:cs="Inter"/>
                <w:b/>
                <w:i w:val="0"/>
                <w:color w:val="1C1E2E"/>
                <w:sz w:val="19"/>
              </w:rPr>
              <w:t>Certificación de Calificaciones Globales + listado de calificaciones</w:t>
            </w:r>
            <w:r>
              <w:rPr>
                <w:rFonts w:ascii="Inter" w:hAnsi="Inter" w:cs="Inter"/>
                <w:b w:val="0"/>
                <w:i w:val="0"/>
                <w:color w:val="1C1E2E"/>
                <w:sz w:val="19"/>
              </w:rPr>
              <w:t xml:space="preserve"> — ULA, Secretaría, 28 ene. 2009 (n.º de control en la copia privada)</w:t>
            </w:r>
          </w:p>
        </w:tc>
        <w:tc>
          <w:tcPr>
            <w:tcW w:type="dxa" w:w="2412"/>
          </w:tcPr>
          <w:p>
            <w:pPr>
              <w:spacing w:after="40"/>
            </w:pPr>
            <w:r/>
            <w:r>
              <w:rPr>
                <w:rFonts w:ascii="Inter" w:hAnsi="Inter" w:cs="Inter"/>
                <w:b w:val="0"/>
                <w:i w:val="0"/>
                <w:color w:val="1C1E2E"/>
                <w:sz w:val="19"/>
              </w:rPr>
              <w:t>A.2</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DOC-04</w:t>
            </w:r>
          </w:p>
        </w:tc>
        <w:tc>
          <w:tcPr>
            <w:tcW w:type="dxa" w:w="2412"/>
          </w:tcPr>
          <w:p>
            <w:pPr>
              <w:spacing w:after="40"/>
            </w:pPr>
            <w:r/>
            <w:r>
              <w:rPr>
                <w:rFonts w:ascii="Inter" w:hAnsi="Inter" w:cs="Inter"/>
                <w:b w:val="0"/>
                <w:i w:val="0"/>
                <w:color w:val="1C1E2E"/>
                <w:sz w:val="19"/>
              </w:rPr>
              <w:t xml:space="preserve">Título de Licenciatura (ULA) + acta de grado con la distinción </w:t>
            </w:r>
            <w:r>
              <w:rPr>
                <w:rFonts w:ascii="Inter" w:hAnsi="Inter" w:cs="Inter"/>
                <w:b w:val="0"/>
                <w:i/>
                <w:color w:val="1C1E2E"/>
                <w:sz w:val="19"/>
              </w:rPr>
              <w:t>Summa Cum Laude</w:t>
            </w:r>
          </w:p>
        </w:tc>
        <w:tc>
          <w:tcPr>
            <w:tcW w:type="dxa" w:w="2412"/>
          </w:tcPr>
          <w:p>
            <w:pPr>
              <w:spacing w:after="40"/>
            </w:pPr>
            <w:r/>
            <w:r>
              <w:rPr>
                <w:rFonts w:ascii="Inter" w:hAnsi="Inter" w:cs="Inter"/>
                <w:b w:val="0"/>
                <w:i w:val="0"/>
                <w:color w:val="1C1E2E"/>
                <w:sz w:val="19"/>
              </w:rPr>
              <w:t>A.2</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DOC-05B</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Declaración de equivalencia del título al nivel académico de GRADO</w:t>
            </w:r>
            <w:r>
              <w:rPr>
                <w:rFonts w:ascii="Inter" w:hAnsi="Inter" w:cs="Inter"/>
                <w:b w:val="0"/>
                <w:i w:val="0"/>
                <w:color w:val="1C1E2E"/>
                <w:sz w:val="19"/>
              </w:rPr>
              <w:t xml:space="preserve"> — Ministerio de Universidades, RD 967/2014, 17 jun. 2020 (rama Artes y Humanidades, campo Idiomas)</w:t>
            </w:r>
          </w:p>
        </w:tc>
        <w:tc>
          <w:tcPr>
            <w:tcW w:type="dxa" w:w="2412"/>
          </w:tcPr>
          <w:p>
            <w:pPr>
              <w:spacing w:after="40"/>
            </w:pPr>
            <w:r/>
            <w:r>
              <w:rPr>
                <w:rFonts w:ascii="Inter" w:hAnsi="Inter" w:cs="Inter"/>
                <w:b w:val="0"/>
                <w:i w:val="0"/>
                <w:color w:val="1C1E2E"/>
                <w:sz w:val="19"/>
              </w:rPr>
              <w:t xml:space="preserve">A.2 · </w:t>
            </w:r>
            <w:r>
              <w:rPr>
                <w:rFonts w:ascii="Inter" w:hAnsi="Inter" w:cs="Inter"/>
                <w:b/>
                <w:i w:val="0"/>
                <w:color w:val="1C1E2E"/>
                <w:sz w:val="19"/>
              </w:rPr>
              <w:t>acceso</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DOC-05</w:t>
            </w:r>
          </w:p>
        </w:tc>
        <w:tc>
          <w:tcPr>
            <w:tcW w:type="dxa" w:w="2412"/>
          </w:tcPr>
          <w:p>
            <w:pPr>
              <w:spacing w:after="40"/>
            </w:pPr>
            <w:r/>
            <w:r>
              <w:rPr>
                <w:rFonts w:ascii="Inter" w:hAnsi="Inter" w:cs="Inter"/>
                <w:b/>
                <w:i w:val="0"/>
                <w:color w:val="1C1E2E"/>
                <w:sz w:val="19"/>
              </w:rPr>
              <w:t>Declaración de equivalencia de la nota media</w:t>
            </w:r>
            <w:r>
              <w:rPr>
                <w:rFonts w:ascii="Inter" w:hAnsi="Inter" w:cs="Inter"/>
                <w:b w:val="0"/>
                <w:i w:val="0"/>
                <w:color w:val="1C1E2E"/>
                <w:sz w:val="19"/>
              </w:rPr>
              <w:t xml:space="preserve"> — Secretaría General de Universidades · </w:t>
            </w:r>
            <w:r>
              <w:rPr>
                <w:rFonts w:ascii="Inter" w:hAnsi="Inter" w:cs="Inter"/>
                <w:b/>
                <w:i w:val="0"/>
                <w:color w:val="1C1E2E"/>
                <w:sz w:val="19"/>
              </w:rPr>
              <w:t>9,07/10</w:t>
            </w:r>
            <w:r>
              <w:rPr>
                <w:rFonts w:ascii="Inter" w:hAnsi="Inter" w:cs="Inter"/>
                <w:b w:val="0"/>
                <w:i w:val="0"/>
                <w:color w:val="1C1E2E"/>
                <w:sz w:val="19"/>
              </w:rPr>
              <w:t xml:space="preserve"> · CSV ⟨CSV en la copia entregada a la comisión⟩</w:t>
            </w:r>
          </w:p>
        </w:tc>
        <w:tc>
          <w:tcPr>
            <w:tcW w:type="dxa" w:w="2412"/>
          </w:tcPr>
          <w:p>
            <w:pPr>
              <w:spacing w:after="40"/>
            </w:pPr>
            <w:r/>
            <w:r>
              <w:rPr>
                <w:rFonts w:ascii="Inter" w:hAnsi="Inter" w:cs="Inter"/>
                <w:b w:val="0"/>
                <w:i w:val="0"/>
                <w:color w:val="1C1E2E"/>
                <w:sz w:val="19"/>
              </w:rPr>
              <w:t xml:space="preserve">A.2 · </w:t>
            </w:r>
            <w:r>
              <w:rPr>
                <w:rFonts w:ascii="Inter" w:hAnsi="Inter" w:cs="Inter"/>
                <w:b/>
                <w:i w:val="0"/>
                <w:color w:val="1C1E2E"/>
                <w:sz w:val="19"/>
              </w:rPr>
              <w:t>70 %</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DOC-06</w:t>
            </w:r>
          </w:p>
        </w:tc>
        <w:tc>
          <w:tcPr>
            <w:tcW w:type="dxa" w:w="2412"/>
          </w:tcPr>
          <w:p>
            <w:pPr>
              <w:spacing w:after="40"/>
            </w:pPr>
            <w:r/>
            <w:r>
              <w:rPr>
                <w:rFonts w:ascii="Inter" w:hAnsi="Inter" w:cs="Inter"/>
                <w:b/>
                <w:i w:val="0"/>
                <w:color w:val="1C1E2E"/>
                <w:sz w:val="19"/>
              </w:rPr>
              <w:t>Constancia de Rango Académico</w:t>
            </w:r>
            <w:r>
              <w:rPr>
                <w:rFonts w:ascii="Inter" w:hAnsi="Inter" w:cs="Inter"/>
                <w:b w:val="0"/>
                <w:i w:val="0"/>
                <w:color w:val="1C1E2E"/>
                <w:sz w:val="19"/>
              </w:rPr>
              <w:t xml:space="preserve"> (1.º de 56) + certificación rectoral n.º ⟨n.º en la copia entregada a la comisión⟩ + </w:t>
            </w:r>
            <w:r>
              <w:rPr>
                <w:rFonts w:ascii="Inter" w:hAnsi="Inter" w:cs="Inter"/>
                <w:b/>
                <w:i w:val="0"/>
                <w:color w:val="1C1E2E"/>
                <w:sz w:val="19"/>
              </w:rPr>
              <w:t>Apostilla ⟨n.º en la copia entregada a la comisión⟩</w:t>
            </w:r>
          </w:p>
        </w:tc>
        <w:tc>
          <w:tcPr>
            <w:tcW w:type="dxa" w:w="2412"/>
          </w:tcPr>
          <w:p>
            <w:pPr>
              <w:spacing w:after="40"/>
            </w:pPr>
            <w:r/>
            <w:r>
              <w:rPr>
                <w:rFonts w:ascii="Inter" w:hAnsi="Inter" w:cs="Inter"/>
                <w:b w:val="0"/>
                <w:i w:val="0"/>
                <w:color w:val="1C1E2E"/>
                <w:sz w:val="19"/>
              </w:rPr>
              <w:t>B.1</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DOC-07</w:t>
            </w:r>
          </w:p>
        </w:tc>
        <w:tc>
          <w:tcPr>
            <w:tcW w:type="dxa" w:w="2412"/>
          </w:tcPr>
          <w:p>
            <w:pPr>
              <w:spacing w:after="40"/>
            </w:pPr>
            <w:r/>
            <w:r>
              <w:rPr>
                <w:rFonts w:ascii="Inter" w:hAnsi="Inter" w:cs="Inter"/>
                <w:b/>
                <w:i w:val="0"/>
                <w:color w:val="1C1E2E"/>
                <w:sz w:val="19"/>
              </w:rPr>
              <w:t>Diploma de Honor</w:t>
            </w:r>
            <w:r>
              <w:rPr>
                <w:rFonts w:ascii="Inter" w:hAnsi="Inter" w:cs="Inter"/>
                <w:b w:val="0"/>
                <w:i w:val="0"/>
                <w:color w:val="1C1E2E"/>
                <w:sz w:val="19"/>
              </w:rPr>
              <w:t xml:space="preserve"> del Trabajo Especial de Grado — 20/20 Sobresaliente, Rector de la ULA, 15 nov. 2004</w:t>
            </w:r>
          </w:p>
        </w:tc>
        <w:tc>
          <w:tcPr>
            <w:tcW w:type="dxa" w:w="2412"/>
          </w:tcPr>
          <w:p>
            <w:pPr>
              <w:spacing w:after="40"/>
            </w:pPr>
            <w:r/>
            <w:r>
              <w:rPr>
                <w:rFonts w:ascii="Inter" w:hAnsi="Inter" w:cs="Inter"/>
                <w:b w:val="0"/>
                <w:i w:val="0"/>
                <w:color w:val="1C1E2E"/>
                <w:sz w:val="19"/>
              </w:rPr>
              <w:t>B.1 · §5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DOC-07B</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Cuatro Órdenes «Luis María Ribas Dávila»</w:t>
            </w:r>
            <w:r>
              <w:rPr>
                <w:rFonts w:ascii="Inter" w:hAnsi="Inter" w:cs="Inter"/>
                <w:b w:val="0"/>
                <w:i w:val="0"/>
                <w:color w:val="1C1E2E"/>
                <w:sz w:val="19"/>
              </w:rPr>
              <w:t xml:space="preserve"> (2000, 2001, 2002, 2003) — más alto rendimiento académico, Escuela de Educación, ULA-Táchira</w:t>
            </w:r>
          </w:p>
        </w:tc>
        <w:tc>
          <w:tcPr>
            <w:tcW w:type="dxa" w:w="2412"/>
          </w:tcPr>
          <w:p>
            <w:pPr>
              <w:spacing w:after="40"/>
            </w:pPr>
            <w:r/>
            <w:r>
              <w:rPr>
                <w:rFonts w:ascii="Inter" w:hAnsi="Inter" w:cs="Inter"/>
                <w:b w:val="0"/>
                <w:i w:val="0"/>
                <w:color w:val="1C1E2E"/>
                <w:sz w:val="19"/>
              </w:rPr>
              <w:t>B.1 · A.2</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DOC-08</w:t>
            </w:r>
          </w:p>
        </w:tc>
        <w:tc>
          <w:tcPr>
            <w:tcW w:type="dxa" w:w="2412"/>
          </w:tcPr>
          <w:p>
            <w:pPr>
              <w:spacing w:after="40"/>
            </w:pPr>
            <w:r/>
            <w:r>
              <w:rPr>
                <w:rFonts w:ascii="Inter" w:hAnsi="Inter" w:cs="Inter"/>
                <w:b w:val="0"/>
                <w:i w:val="0"/>
                <w:color w:val="1C1E2E"/>
                <w:sz w:val="19"/>
              </w:rPr>
              <w:t xml:space="preserve">Resolución del Premio Extraordinario de Máster </w:t>
            </w:r>
            <w:r>
              <w:rPr>
                <w:rFonts w:ascii="Inter" w:hAnsi="Inter" w:cs="Inter"/>
                <w:b w:val="0"/>
                <w:i/>
                <w:color w:val="1C1E2E"/>
                <w:sz w:val="19"/>
              </w:rPr>
              <w:t>(solo si la UPV lo resolviera; hoy no procede)</w:t>
            </w:r>
          </w:p>
        </w:tc>
        <w:tc>
          <w:tcPr>
            <w:tcW w:type="dxa" w:w="2412"/>
          </w:tcPr>
          <w:p>
            <w:pPr>
              <w:spacing w:after="40"/>
            </w:pPr>
            <w:r/>
            <w:r>
              <w:rPr>
                <w:rFonts w:ascii="Inter" w:hAnsi="Inter" w:cs="Inter"/>
                <w:b w:val="0"/>
                <w:i w:val="0"/>
                <w:color w:val="1C1E2E"/>
                <w:sz w:val="19"/>
              </w:rPr>
              <w:t>B.2</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DOC-09</w:t>
            </w:r>
          </w:p>
        </w:tc>
        <w:tc>
          <w:tcPr>
            <w:tcW w:type="dxa" w:w="2412"/>
          </w:tcPr>
          <w:p>
            <w:pPr>
              <w:spacing w:after="40"/>
            </w:pPr>
            <w:r/>
            <w:r>
              <w:rPr>
                <w:rFonts w:ascii="Inter" w:hAnsi="Inter" w:cs="Inter"/>
                <w:b w:val="0"/>
                <w:i w:val="0"/>
                <w:color w:val="1C1E2E"/>
                <w:sz w:val="19"/>
              </w:rPr>
              <w:t>Certificado C1 Advanced (CAE) — Cambridge</w:t>
            </w:r>
          </w:p>
        </w:tc>
        <w:tc>
          <w:tcPr>
            <w:tcW w:type="dxa" w:w="2412"/>
          </w:tcPr>
          <w:p>
            <w:pPr>
              <w:spacing w:after="40"/>
            </w:pPr>
            <w:r/>
            <w:r>
              <w:rPr>
                <w:rFonts w:ascii="Inter" w:hAnsi="Inter" w:cs="Inter"/>
                <w:b w:val="0"/>
                <w:i w:val="0"/>
                <w:color w:val="1C1E2E"/>
                <w:sz w:val="19"/>
              </w:rPr>
              <w:t>B.4</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DOC-10</w:t>
            </w:r>
          </w:p>
        </w:tc>
        <w:tc>
          <w:tcPr>
            <w:tcW w:type="dxa" w:w="2412"/>
          </w:tcPr>
          <w:p>
            <w:pPr>
              <w:spacing w:after="40"/>
            </w:pPr>
            <w:r/>
            <w:r>
              <w:rPr>
                <w:rFonts w:ascii="Inter" w:hAnsi="Inter" w:cs="Inter"/>
                <w:b w:val="0"/>
                <w:i w:val="0"/>
                <w:color w:val="1C1E2E"/>
                <w:sz w:val="19"/>
              </w:rPr>
              <w:t>Certificado CELTA — Cambridge</w:t>
            </w:r>
          </w:p>
        </w:tc>
        <w:tc>
          <w:tcPr>
            <w:tcW w:type="dxa" w:w="2412"/>
          </w:tcPr>
          <w:p>
            <w:pPr>
              <w:spacing w:after="40"/>
            </w:pPr>
            <w:r/>
            <w:r>
              <w:rPr>
                <w:rFonts w:ascii="Inter" w:hAnsi="Inter" w:cs="Inter"/>
                <w:b w:val="0"/>
                <w:i w:val="0"/>
                <w:color w:val="1C1E2E"/>
                <w:sz w:val="19"/>
              </w:rPr>
              <w:t>B.4</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DOC-11</w:t>
            </w:r>
          </w:p>
        </w:tc>
        <w:tc>
          <w:tcPr>
            <w:tcW w:type="dxa" w:w="2412"/>
          </w:tcPr>
          <w:p>
            <w:pPr>
              <w:spacing w:after="40"/>
            </w:pPr>
            <w:r/>
            <w:r>
              <w:rPr>
                <w:rFonts w:ascii="Inter" w:hAnsi="Inter" w:cs="Inter"/>
                <w:b w:val="0"/>
                <w:i w:val="0"/>
                <w:color w:val="1C1E2E"/>
                <w:sz w:val="19"/>
              </w:rPr>
              <w:t>Acreditación de examinadora DELE — Instituto Cervantes</w:t>
            </w:r>
          </w:p>
        </w:tc>
        <w:tc>
          <w:tcPr>
            <w:tcW w:type="dxa" w:w="2412"/>
          </w:tcPr>
          <w:p>
            <w:pPr>
              <w:spacing w:after="40"/>
            </w:pPr>
            <w:r/>
            <w:r>
              <w:rPr>
                <w:rFonts w:ascii="Inter" w:hAnsi="Inter" w:cs="Inter"/>
                <w:b w:val="0"/>
                <w:i w:val="0"/>
                <w:color w:val="1C1E2E"/>
                <w:sz w:val="19"/>
              </w:rPr>
              <w:t>B.4</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DOC-12</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Constancia de Beca de Alto Rendimiento</w:t>
            </w:r>
            <w:r>
              <w:rPr>
                <w:rFonts w:ascii="Inter" w:hAnsi="Inter" w:cs="Inter"/>
                <w:b w:val="0"/>
                <w:i w:val="0"/>
                <w:color w:val="1C1E2E"/>
                <w:sz w:val="19"/>
              </w:rPr>
              <w:t xml:space="preserve"> — ULA-Táchira, Dirección de Asuntos Estudiantiles, 13 may. 2004 (periodo jul.–dic. 2003, vigente)</w:t>
            </w:r>
          </w:p>
        </w:tc>
        <w:tc>
          <w:tcPr>
            <w:tcW w:type="dxa" w:w="2412"/>
          </w:tcPr>
          <w:p>
            <w:pPr>
              <w:spacing w:after="40"/>
            </w:pPr>
            <w:r/>
            <w:r>
              <w:rPr>
                <w:rFonts w:ascii="Inter" w:hAnsi="Inter" w:cs="Inter"/>
                <w:b w:val="0"/>
                <w:i w:val="0"/>
                <w:color w:val="1C1E2E"/>
                <w:sz w:val="19"/>
              </w:rPr>
              <w:t>B.5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DOC-13</w:t>
            </w:r>
          </w:p>
        </w:tc>
        <w:tc>
          <w:tcPr>
            <w:tcW w:type="dxa" w:w="2412"/>
          </w:tcPr>
          <w:p>
            <w:pPr>
              <w:spacing w:after="40"/>
            </w:pPr>
            <w:r/>
            <w:r>
              <w:rPr>
                <w:rFonts w:ascii="Inter" w:hAnsi="Inter" w:cs="Inter"/>
                <w:b w:val="0"/>
                <w:i w:val="0"/>
                <w:color w:val="1C1E2E"/>
                <w:sz w:val="19"/>
              </w:rPr>
              <w:t xml:space="preserve">Resolución de concesión de la </w:t>
            </w:r>
            <w:r>
              <w:rPr>
                <w:rFonts w:ascii="Inter" w:hAnsi="Inter" w:cs="Inter"/>
                <w:b/>
                <w:i w:val="0"/>
                <w:color w:val="1C1E2E"/>
                <w:sz w:val="19"/>
              </w:rPr>
              <w:t>beca del Ministerio</w:t>
            </w:r>
            <w:r>
              <w:rPr>
                <w:rFonts w:ascii="Inter" w:hAnsi="Inter" w:cs="Inter"/>
                <w:b w:val="0"/>
                <w:i w:val="0"/>
                <w:color w:val="1C1E2E"/>
                <w:sz w:val="19"/>
              </w:rPr>
              <w:t xml:space="preserve"> (máster UPV)</w:t>
            </w:r>
          </w:p>
        </w:tc>
        <w:tc>
          <w:tcPr>
            <w:tcW w:type="dxa" w:w="2412"/>
          </w:tcPr>
          <w:p>
            <w:pPr>
              <w:spacing w:after="40"/>
            </w:pPr>
            <w:r/>
            <w:r>
              <w:rPr>
                <w:rFonts w:ascii="Inter" w:hAnsi="Inter" w:cs="Inter"/>
                <w:b w:val="0"/>
                <w:i w:val="0"/>
                <w:color w:val="1C1E2E"/>
                <w:sz w:val="19"/>
              </w:rPr>
              <w:t>B.5</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DOC-14</w:t>
            </w:r>
          </w:p>
        </w:tc>
        <w:tc>
          <w:tcPr>
            <w:tcW w:type="dxa" w:w="2412"/>
          </w:tcPr>
          <w:p>
            <w:pPr>
              <w:spacing w:after="40"/>
            </w:pPr>
            <w:r/>
            <w:r>
              <w:rPr>
                <w:rFonts w:ascii="Inter" w:hAnsi="Inter" w:cs="Inter"/>
                <w:b w:val="0"/>
                <w:i w:val="0"/>
                <w:color w:val="1C1E2E"/>
                <w:sz w:val="19"/>
              </w:rPr>
              <w:t>Sotelo-Casas et al. (2019) — portada + página de agradecimientos (p. 8)</w:t>
            </w:r>
          </w:p>
        </w:tc>
        <w:tc>
          <w:tcPr>
            <w:tcW w:type="dxa" w:w="2412"/>
          </w:tcPr>
          <w:p>
            <w:pPr>
              <w:spacing w:after="40"/>
            </w:pPr>
            <w:r/>
            <w:r>
              <w:rPr>
                <w:rFonts w:ascii="Inter" w:hAnsi="Inter" w:cs="Inter"/>
                <w:b w:val="0"/>
                <w:i w:val="0"/>
                <w:color w:val="1C1E2E"/>
                <w:sz w:val="19"/>
              </w:rPr>
              <w:t>B.6 · §5</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DOC-15</w:t>
            </w:r>
          </w:p>
        </w:tc>
        <w:tc>
          <w:tcPr>
            <w:tcW w:type="dxa" w:w="2412"/>
          </w:tcPr>
          <w:p>
            <w:pPr>
              <w:spacing w:after="40"/>
            </w:pPr>
            <w:r/>
            <w:r>
              <w:rPr>
                <w:rFonts w:ascii="Inter" w:hAnsi="Inter" w:cs="Inter"/>
                <w:b w:val="0"/>
                <w:i w:val="0"/>
                <w:color w:val="1C1E2E"/>
                <w:sz w:val="19"/>
              </w:rPr>
              <w:t xml:space="preserve">Evidencia de la calificación 10/10 de </w:t>
            </w:r>
            <w:r>
              <w:rPr>
                <w:rFonts w:ascii="Inter" w:hAnsi="Inter" w:cs="Inter"/>
                <w:b w:val="0"/>
                <w:i/>
                <w:color w:val="1C1E2E"/>
                <w:sz w:val="19"/>
              </w:rPr>
              <w:t>Academic Writing Journey</w:t>
            </w:r>
            <w:r>
              <w:rPr>
                <w:rFonts w:ascii="Inter" w:hAnsi="Inter" w:cs="Inter"/>
                <w:b w:val="0"/>
                <w:i w:val="0"/>
                <w:color w:val="1C1E2E"/>
                <w:sz w:val="19"/>
              </w:rPr>
              <w:t xml:space="preserve"> (UPV)</w:t>
            </w:r>
          </w:p>
        </w:tc>
        <w:tc>
          <w:tcPr>
            <w:tcW w:type="dxa" w:w="2412"/>
          </w:tcPr>
          <w:p>
            <w:pPr>
              <w:spacing w:after="40"/>
            </w:pPr>
            <w:r/>
            <w:r>
              <w:rPr>
                <w:rFonts w:ascii="Inter" w:hAnsi="Inter" w:cs="Inter"/>
                <w:b w:val="0"/>
                <w:i w:val="0"/>
                <w:color w:val="1C1E2E"/>
                <w:sz w:val="19"/>
              </w:rPr>
              <w:t>A.1 · 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DOC-16</w:t>
            </w:r>
          </w:p>
        </w:tc>
        <w:tc>
          <w:tcPr>
            <w:tcW w:type="dxa" w:w="2412"/>
          </w:tcPr>
          <w:p>
            <w:pPr>
              <w:spacing w:after="40"/>
            </w:pPr>
            <w:r/>
            <w:r>
              <w:rPr>
                <w:rFonts w:ascii="Inter" w:hAnsi="Inter" w:cs="Inter"/>
                <w:b w:val="0"/>
                <w:i w:val="0"/>
                <w:color w:val="1C1E2E"/>
                <w:sz w:val="19"/>
              </w:rPr>
              <w:t xml:space="preserve">Certificados de servicio docente — UDO Núcleo Nueva Esparta (2005–2015), </w:t>
            </w:r>
            <w:r>
              <w:rPr>
                <w:rFonts w:ascii="Inter" w:hAnsi="Inter" w:cs="Inter"/>
                <w:b/>
                <w:i w:val="0"/>
                <w:color w:val="1C1E2E"/>
                <w:sz w:val="19"/>
              </w:rPr>
              <w:t>1.568 h acreditadas</w:t>
            </w:r>
          </w:p>
        </w:tc>
        <w:tc>
          <w:tcPr>
            <w:tcW w:type="dxa" w:w="2412"/>
          </w:tcPr>
          <w:p>
            <w:pPr>
              <w:spacing w:after="40"/>
            </w:pPr>
            <w:r/>
            <w:r>
              <w:rPr>
                <w:rFonts w:ascii="Inter" w:hAnsi="Inter" w:cs="Inter"/>
                <w:b w:val="0"/>
                <w:i w:val="0"/>
                <w:color w:val="1C1E2E"/>
                <w:sz w:val="19"/>
              </w:rPr>
              <w:t>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DOC-17</w:t>
            </w:r>
          </w:p>
        </w:tc>
        <w:tc>
          <w:tcPr>
            <w:tcW w:type="dxa" w:w="2412"/>
          </w:tcPr>
          <w:p>
            <w:pPr>
              <w:spacing w:after="40"/>
            </w:pPr>
            <w:r/>
            <w:r>
              <w:rPr>
                <w:rFonts w:ascii="Inter" w:hAnsi="Inter" w:cs="Inter"/>
                <w:b w:val="0"/>
                <w:i w:val="0"/>
                <w:color w:val="1C1E2E"/>
                <w:sz w:val="19"/>
              </w:rPr>
              <w:t>Vida laboral / certificado de actividad profesional en España</w:t>
            </w:r>
          </w:p>
        </w:tc>
        <w:tc>
          <w:tcPr>
            <w:tcW w:type="dxa" w:w="2412"/>
          </w:tcPr>
          <w:p>
            <w:pPr>
              <w:spacing w:after="40"/>
            </w:pPr>
            <w:r/>
            <w:r>
              <w:rPr>
                <w:rFonts w:ascii="Inter" w:hAnsi="Inter" w:cs="Inter"/>
                <w:b w:val="0"/>
                <w:i w:val="0"/>
                <w:color w:val="1C1E2E"/>
                <w:sz w:val="19"/>
              </w:rPr>
              <w:t>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DOC-18</w:t>
            </w:r>
          </w:p>
        </w:tc>
        <w:tc>
          <w:tcPr>
            <w:tcW w:type="dxa" w:w="2412"/>
          </w:tcPr>
          <w:p>
            <w:pPr>
              <w:spacing w:after="40"/>
            </w:pPr>
            <w:r/>
            <w:r>
              <w:rPr>
                <w:rFonts w:ascii="Inter" w:hAnsi="Inter" w:cs="Inter"/>
                <w:b w:val="0"/>
                <w:i w:val="0"/>
                <w:color w:val="1C1E2E"/>
                <w:sz w:val="19"/>
              </w:rPr>
              <w:t>Acreditación de tutoría en AVE Global — Instituto Cervantes</w:t>
            </w:r>
          </w:p>
        </w:tc>
        <w:tc>
          <w:tcPr>
            <w:tcW w:type="dxa" w:w="2412"/>
          </w:tcPr>
          <w:p>
            <w:pPr>
              <w:spacing w:after="40"/>
            </w:pPr>
            <w:r/>
            <w:r>
              <w:rPr>
                <w:rFonts w:ascii="Inter" w:hAnsi="Inter" w:cs="Inter"/>
                <w:b w:val="0"/>
                <w:i w:val="0"/>
                <w:color w:val="1C1E2E"/>
                <w:sz w:val="19"/>
              </w:rPr>
              <w:t>B.6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DOC-19</w:t>
            </w:r>
          </w:p>
        </w:tc>
        <w:tc>
          <w:tcPr>
            <w:tcW w:type="dxa" w:w="2412"/>
          </w:tcPr>
          <w:p>
            <w:pPr>
              <w:spacing w:after="40"/>
            </w:pPr>
            <w:r/>
            <w:r>
              <w:rPr>
                <w:rFonts w:ascii="Inter" w:hAnsi="Inter" w:cs="Inter"/>
                <w:b/>
                <w:i w:val="0"/>
                <w:color w:val="1C1E2E"/>
                <w:sz w:val="19"/>
              </w:rPr>
              <w:t>Kaleidoscopio 2(3), 51–56 (2005)</w:t>
            </w:r>
            <w:r>
              <w:rPr>
                <w:rFonts w:ascii="Inter" w:hAnsi="Inter" w:cs="Inter"/>
                <w:b w:val="0"/>
                <w:i w:val="0"/>
                <w:color w:val="1C1E2E"/>
                <w:sz w:val="19"/>
              </w:rPr>
              <w:t xml:space="preserve"> — primera y última página + carta de aceptación tras arbitraje (UNEG, 09-03-2005)</w:t>
            </w:r>
          </w:p>
        </w:tc>
        <w:tc>
          <w:tcPr>
            <w:tcW w:type="dxa" w:w="2412"/>
          </w:tcPr>
          <w:p>
            <w:pPr>
              <w:spacing w:after="40"/>
            </w:pPr>
            <w:r/>
            <w:r>
              <w:rPr>
                <w:rFonts w:ascii="Inter" w:hAnsi="Inter" w:cs="Inter"/>
                <w:b w:val="0"/>
                <w:i w:val="0"/>
                <w:color w:val="1C1E2E"/>
                <w:sz w:val="19"/>
              </w:rPr>
              <w:t>§5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r>
        <w:tc>
          <w:tcPr>
            <w:tcW w:type="dxa" w:w="2412"/>
          </w:tcPr>
          <w:p>
            <w:pPr>
              <w:spacing w:after="40"/>
            </w:pPr>
            <w:r/>
            <w:r>
              <w:rPr>
                <w:rFonts w:ascii="Inter" w:hAnsi="Inter" w:cs="Inter"/>
                <w:b w:val="0"/>
                <w:i w:val="0"/>
                <w:color w:val="1C1E2E"/>
                <w:sz w:val="19"/>
              </w:rPr>
              <w:t>DOC-20</w:t>
            </w:r>
          </w:p>
        </w:tc>
        <w:tc>
          <w:tcPr>
            <w:tcW w:type="dxa" w:w="2412"/>
          </w:tcPr>
          <w:p>
            <w:pPr>
              <w:spacing w:after="40"/>
            </w:pPr>
            <w:r/>
            <w:r>
              <w:rPr>
                <w:rFonts w:ascii="Inter" w:hAnsi="Inter" w:cs="Inter"/>
                <w:b w:val="0"/>
                <w:i w:val="0"/>
                <w:color w:val="1C1E2E"/>
                <w:sz w:val="19"/>
              </w:rPr>
              <w:t>Certificado UC Irvine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DOC-21</w:t>
            </w:r>
          </w:p>
        </w:tc>
        <w:tc>
          <w:tcPr>
            <w:tcW w:type="dxa" w:w="2412"/>
          </w:tcPr>
          <w:p>
            <w:pPr>
              <w:spacing w:after="40"/>
            </w:pPr>
            <w:r/>
            <w:r>
              <w:rPr>
                <w:rFonts w:ascii="Inter" w:hAnsi="Inter" w:cs="Inter"/>
                <w:b w:val="0"/>
                <w:i w:val="0"/>
                <w:color w:val="1C1E2E"/>
                <w:sz w:val="19"/>
              </w:rPr>
              <w:t>Certificado University of Cambridge (PCE)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DOC-22</w:t>
            </w:r>
          </w:p>
        </w:tc>
        <w:tc>
          <w:tcPr>
            <w:tcW w:type="dxa" w:w="2412"/>
          </w:tcPr>
          <w:p>
            <w:pPr>
              <w:spacing w:after="40"/>
            </w:pPr>
            <w:r/>
            <w:r>
              <w:rPr>
                <w:rFonts w:ascii="Inter" w:hAnsi="Inter" w:cs="Inter"/>
                <w:b w:val="0"/>
                <w:i w:val="0"/>
                <w:color w:val="1C1E2E"/>
                <w:sz w:val="19"/>
              </w:rPr>
              <w:t>Certificado AP Stylebook</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DOC-23</w:t>
            </w:r>
          </w:p>
        </w:tc>
        <w:tc>
          <w:tcPr>
            <w:tcW w:type="dxa" w:w="2412"/>
          </w:tcPr>
          <w:p>
            <w:pPr>
              <w:spacing w:after="40"/>
            </w:pPr>
            <w:r/>
            <w:r>
              <w:rPr>
                <w:rFonts w:ascii="Inter" w:hAnsi="Inter" w:cs="Inter"/>
                <w:b w:val="0"/>
                <w:i w:val="0"/>
                <w:color w:val="1C1E2E"/>
                <w:sz w:val="19"/>
              </w:rPr>
              <w:t>Certificado SEPE</w:t>
            </w:r>
          </w:p>
        </w:tc>
        <w:tc>
          <w:tcPr>
            <w:tcW w:type="dxa" w:w="2412"/>
          </w:tcPr>
          <w:p>
            <w:pPr>
              <w:spacing w:after="40"/>
            </w:pPr>
            <w:r/>
            <w:r>
              <w:rPr>
                <w:rFonts w:ascii="Inter" w:hAnsi="Inter" w:cs="Inter"/>
                <w:b w:val="0"/>
                <w:i w:val="0"/>
                <w:color w:val="1C1E2E"/>
                <w:sz w:val="19"/>
              </w:rPr>
              <w:t>§6</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DOC-24</w:t>
            </w:r>
          </w:p>
        </w:tc>
        <w:tc>
          <w:tcPr>
            <w:tcW w:type="dxa" w:w="2412"/>
          </w:tcPr>
          <w:p>
            <w:pPr>
              <w:spacing w:after="40"/>
            </w:pPr>
            <w:r/>
            <w:r>
              <w:rPr>
                <w:rFonts w:ascii="Inter" w:hAnsi="Inter" w:cs="Inter"/>
                <w:b/>
                <w:i w:val="0"/>
                <w:color w:val="1C1E2E"/>
                <w:sz w:val="19"/>
              </w:rPr>
              <w:t>II Congreso Internacional de Educación Superior</w:t>
            </w:r>
            <w:r>
              <w:rPr>
                <w:rFonts w:ascii="Inter" w:hAnsi="Inter" w:cs="Inter"/>
                <w:b w:val="0"/>
                <w:i w:val="0"/>
                <w:color w:val="1C1E2E"/>
                <w:sz w:val="19"/>
              </w:rPr>
              <w:t xml:space="preserve"> (Cumaná, 2008) — carta de aceptación de la ponencia, ref. CIES/P 048</w:t>
            </w:r>
          </w:p>
        </w:tc>
        <w:tc>
          <w:tcPr>
            <w:tcW w:type="dxa" w:w="2412"/>
          </w:tcPr>
          <w:p>
            <w:pPr>
              <w:spacing w:after="40"/>
            </w:pPr>
            <w:r/>
            <w:r>
              <w:rPr>
                <w:rFonts w:ascii="Inter" w:hAnsi="Inter" w:cs="Inter"/>
                <w:b w:val="0"/>
                <w:i w:val="0"/>
                <w:color w:val="1C1E2E"/>
                <w:sz w:val="19"/>
              </w:rPr>
              <w:t>§5</w:t>
            </w:r>
          </w:p>
        </w:tc>
        <w:tc>
          <w:tcPr>
            <w:tcW w:type="dxa" w:w="2412"/>
          </w:tcPr>
          <w:p>
            <w:pPr>
              <w:spacing w:after="40"/>
            </w:pPr>
            <w:r/>
            <w:r>
              <w:rPr>
                <w:rFonts w:ascii="Inter" w:hAnsi="Inter" w:cs="Inter"/>
                <w:b w:val="0"/>
                <w:i w:val="0"/>
                <w:color w:val="1C1E2E"/>
                <w:sz w:val="19"/>
              </w:rPr>
              <w:t xml:space="preserve">✅ </w:t>
            </w:r>
            <w:r>
              <w:rPr>
                <w:rFonts w:ascii="Inter" w:hAnsi="Inter" w:cs="Inter"/>
                <w:b/>
                <w:i w:val="0"/>
                <w:color w:val="1C1E2E"/>
                <w:sz w:val="19"/>
              </w:rPr>
              <w:t>en mano</w:t>
            </w:r>
          </w:p>
        </w:tc>
      </w:tr>
    </w:tbl>
    <w:p/>
    <w:p>
      <w:pPr>
        <w:pBdr>
          <w:bottom w:val="single" w:sz="6" w:space="1" w:color="E6E8F2"/>
        </w:pBdr>
      </w:pPr>
    </w:p>
    <w:p>
      <w:pPr>
        <w:spacing w:before="320" w:after="120"/>
      </w:pPr>
      <w:r>
        <w:rPr>
          <w:rFonts w:ascii="Fraunces" w:hAnsi="Fraunces" w:cs="Fraunces"/>
          <w:b/>
          <w:i w:val="0"/>
          <w:color w:val="22307C"/>
          <w:sz w:val="32"/>
        </w:rPr>
        <w:t>Lista de verificación antes de enviar</w:t>
      </w:r>
    </w:p>
    <w:p>
      <w:r>
        <w:rPr>
          <w:rFonts w:ascii="Inter" w:hAnsi="Inter" w:cs="Inter"/>
          <w:b/>
          <w:i w:val="0"/>
          <w:color w:val="1C1E2E"/>
          <w:sz w:val="22"/>
        </w:rPr>
        <w:t>Resuelto con la documentación ya aportada:</w:t>
      </w:r>
    </w:p>
    <w:p>
      <w:pPr>
        <w:pStyle w:val="ListBullet"/>
        <w:spacing w:after="60"/>
        <w:ind w:left="403"/>
      </w:pPr>
      <w:r>
        <w:rPr>
          <w:rFonts w:ascii="Inter" w:hAnsi="Inter" w:cs="Inter"/>
          <w:b w:val="0"/>
          <w:i w:val="0"/>
          <w:color w:val="1C1E2E"/>
          <w:sz w:val="22"/>
        </w:rPr>
        <w:t xml:space="preserve">☑ Nota media de la licenciatura en escala 0–10 → </w:t>
      </w:r>
      <w:r>
        <w:rPr>
          <w:rFonts w:ascii="Inter" w:hAnsi="Inter" w:cs="Inter"/>
          <w:b/>
          <w:i w:val="0"/>
          <w:color w:val="1C1E2E"/>
          <w:sz w:val="22"/>
        </w:rPr>
        <w:t>9,07</w:t>
      </w:r>
      <w:r>
        <w:rPr>
          <w:rFonts w:ascii="Inter" w:hAnsi="Inter" w:cs="Inter"/>
          <w:b w:val="0"/>
          <w:i w:val="0"/>
          <w:color w:val="1C1E2E"/>
          <w:sz w:val="22"/>
        </w:rPr>
        <w:t>, certificada por la Administración española (DOC-05).</w:t>
      </w:r>
    </w:p>
    <w:p>
      <w:pPr>
        <w:pStyle w:val="ListBullet"/>
        <w:spacing w:after="60"/>
        <w:ind w:left="403"/>
      </w:pPr>
      <w:r>
        <w:rPr>
          <w:rFonts w:ascii="Inter" w:hAnsi="Inter" w:cs="Inter"/>
          <w:b w:val="0"/>
          <w:i w:val="0"/>
          <w:color w:val="1C1E2E"/>
          <w:sz w:val="22"/>
        </w:rPr>
        <w:t xml:space="preserve">☑ Premio extraordinario de grado → </w:t>
      </w:r>
      <w:r>
        <w:rPr>
          <w:rFonts w:ascii="Inter" w:hAnsi="Inter" w:cs="Inter"/>
          <w:b/>
          <w:i w:val="0"/>
          <w:color w:val="1C1E2E"/>
          <w:sz w:val="22"/>
        </w:rPr>
        <w:t>1.º de 56</w:t>
      </w:r>
      <w:r>
        <w:rPr>
          <w:rFonts w:ascii="Inter" w:hAnsi="Inter" w:cs="Inter"/>
          <w:b w:val="0"/>
          <w:i w:val="0"/>
          <w:color w:val="1C1E2E"/>
          <w:sz w:val="22"/>
        </w:rPr>
        <w:t>, constancia apostillada (DOC-06).</w:t>
      </w:r>
    </w:p>
    <w:p>
      <w:pPr>
        <w:pStyle w:val="ListBullet"/>
        <w:spacing w:after="60"/>
        <w:ind w:left="403"/>
      </w:pPr>
      <w:r>
        <w:rPr>
          <w:rFonts w:ascii="Inter" w:hAnsi="Inter" w:cs="Inter"/>
          <w:b w:val="0"/>
          <w:i w:val="0"/>
          <w:color w:val="1C1E2E"/>
          <w:sz w:val="22"/>
        </w:rPr>
        <w:t>☑ Estado del Premio Extraordinario de Máster → no procede; se declaran las 2 Matrículas de Honor.</w:t>
      </w:r>
    </w:p>
    <w:p>
      <w:pPr>
        <w:pStyle w:val="ListBullet"/>
        <w:spacing w:after="60"/>
        <w:ind w:left="403"/>
      </w:pPr>
      <w:r>
        <w:rPr>
          <w:rFonts w:ascii="Inter" w:hAnsi="Inter" w:cs="Inter"/>
          <w:b w:val="0"/>
          <w:i w:val="0"/>
          <w:color w:val="1C1E2E"/>
          <w:sz w:val="22"/>
        </w:rPr>
        <w:t xml:space="preserve">☑ Datos completos de la publicación → </w:t>
      </w:r>
      <w:r>
        <w:rPr>
          <w:rFonts w:ascii="Inter" w:hAnsi="Inter" w:cs="Inter"/>
          <w:b w:val="0"/>
          <w:i/>
          <w:color w:val="1C1E2E"/>
          <w:sz w:val="22"/>
        </w:rPr>
        <w:t>Kaleidoscopio</w:t>
      </w:r>
      <w:r>
        <w:rPr>
          <w:rFonts w:ascii="Inter" w:hAnsi="Inter" w:cs="Inter"/>
          <w:b w:val="0"/>
          <w:i w:val="0"/>
          <w:color w:val="1C1E2E"/>
          <w:sz w:val="22"/>
        </w:rPr>
        <w:t xml:space="preserve"> 2(3), 51–56, 2005, con carta de arbitraje y ponencia en congreso internacional (DOC-19, DOC-24).</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Acceso al doctorado</w:t>
      </w:r>
      <w:r>
        <w:rPr>
          <w:rFonts w:ascii="Inter" w:hAnsi="Inter" w:cs="Inter"/>
          <w:b w:val="0"/>
          <w:i w:val="0"/>
          <w:color w:val="1C1E2E"/>
          <w:sz w:val="22"/>
        </w:rPr>
        <w:t xml:space="preserve"> → título con </w:t>
      </w:r>
      <w:r>
        <w:rPr>
          <w:rFonts w:ascii="Inter" w:hAnsi="Inter" w:cs="Inter"/>
          <w:b/>
          <w:i w:val="0"/>
          <w:color w:val="1C1E2E"/>
          <w:sz w:val="22"/>
        </w:rPr>
        <w:t>equivalencia oficial a nivel de Grado</w:t>
      </w:r>
      <w:r>
        <w:rPr>
          <w:rFonts w:ascii="Inter" w:hAnsi="Inter" w:cs="Inter"/>
          <w:b w:val="0"/>
          <w:i w:val="0"/>
          <w:color w:val="1C1E2E"/>
          <w:sz w:val="22"/>
        </w:rPr>
        <w:t xml:space="preserve"> (Ministerio, 2020) + máster oficial español. No hace falta comprobación de nivel (DOC-05B).</w:t>
      </w:r>
    </w:p>
    <w:p>
      <w:pPr>
        <w:pStyle w:val="ListBullet"/>
        <w:spacing w:after="60"/>
        <w:ind w:left="403"/>
      </w:pPr>
      <w:r>
        <w:rPr>
          <w:rFonts w:ascii="Inter" w:hAnsi="Inter" w:cs="Inter"/>
          <w:b w:val="0"/>
          <w:i w:val="0"/>
          <w:color w:val="1C1E2E"/>
          <w:sz w:val="22"/>
        </w:rPr>
        <w:t>☑ Certificación académica de la licenciatura → en mano (DOC-03).</w:t>
      </w:r>
    </w:p>
    <w:p>
      <w:pPr>
        <w:pStyle w:val="ListBullet"/>
        <w:spacing w:after="60"/>
        <w:ind w:left="403"/>
      </w:pPr>
      <w:r>
        <w:rPr>
          <w:rFonts w:ascii="Inter" w:hAnsi="Inter" w:cs="Inter"/>
          <w:b w:val="0"/>
          <w:i w:val="0"/>
          <w:color w:val="1C1E2E"/>
          <w:sz w:val="22"/>
        </w:rPr>
        <w:t xml:space="preserve">☑ </w:t>
      </w:r>
      <w:r>
        <w:rPr>
          <w:rFonts w:ascii="Inter" w:hAnsi="Inter" w:cs="Inter"/>
          <w:b/>
          <w:i w:val="0"/>
          <w:color w:val="1C1E2E"/>
          <w:sz w:val="22"/>
        </w:rPr>
        <w:t>Beca de grado</w:t>
      </w:r>
      <w:r>
        <w:rPr>
          <w:rFonts w:ascii="Inter" w:hAnsi="Inter" w:cs="Inter"/>
          <w:b w:val="0"/>
          <w:i w:val="0"/>
          <w:color w:val="1C1E2E"/>
          <w:sz w:val="22"/>
        </w:rPr>
        <w:t xml:space="preserve"> → </w:t>
      </w:r>
      <w:r>
        <w:rPr>
          <w:rFonts w:ascii="Inter" w:hAnsi="Inter" w:cs="Inter"/>
          <w:b/>
          <w:i w:val="0"/>
          <w:color w:val="1C1E2E"/>
          <w:sz w:val="22"/>
        </w:rPr>
        <w:t>Beca de Alto Rendimiento</w:t>
      </w:r>
      <w:r>
        <w:rPr>
          <w:rFonts w:ascii="Inter" w:hAnsi="Inter" w:cs="Inter"/>
          <w:b w:val="0"/>
          <w:i w:val="0"/>
          <w:color w:val="1C1E2E"/>
          <w:sz w:val="22"/>
        </w:rPr>
        <w:t xml:space="preserve"> de la ULA, acreditada por constancia oficial (DOC-12), más las </w:t>
      </w:r>
      <w:r>
        <w:rPr>
          <w:rFonts w:ascii="Inter" w:hAnsi="Inter" w:cs="Inter"/>
          <w:b/>
          <w:i w:val="0"/>
          <w:color w:val="1C1E2E"/>
          <w:sz w:val="22"/>
        </w:rPr>
        <w:t>cuatro Órdenes «Luis María Ribas Dávila»</w:t>
      </w:r>
      <w:r>
        <w:rPr>
          <w:rFonts w:ascii="Inter" w:hAnsi="Inter" w:cs="Inter"/>
          <w:b w:val="0"/>
          <w:i w:val="0"/>
          <w:color w:val="1C1E2E"/>
          <w:sz w:val="22"/>
        </w:rPr>
        <w:t xml:space="preserve"> (DOC-07B).</w:t>
      </w:r>
    </w:p>
    <w:p>
      <w:r>
        <w:rPr>
          <w:rFonts w:ascii="Inter" w:hAnsi="Inter" w:cs="Inter"/>
          <w:b/>
          <w:i w:val="0"/>
          <w:color w:val="1C1E2E"/>
          <w:sz w:val="22"/>
        </w:rPr>
        <w:t>Pendiente:</w:t>
      </w:r>
    </w:p>
    <w:p>
      <w:pPr>
        <w:pStyle w:val="ListBullet"/>
        <w:spacing w:after="60"/>
        <w:ind w:left="403"/>
      </w:pPr>
      <w:r>
        <w:rPr>
          <w:rFonts w:ascii="Inter" w:hAnsi="Inter" w:cs="Inter"/>
          <w:b w:val="0"/>
          <w:i w:val="0"/>
          <w:color w:val="1C1E2E"/>
          <w:sz w:val="22"/>
        </w:rPr>
        <w:t xml:space="preserve">☐ 🟠 </w:t>
      </w:r>
      <w:r>
        <w:rPr>
          <w:rFonts w:ascii="Inter" w:hAnsi="Inter" w:cs="Inter"/>
          <w:b/>
          <w:i w:val="0"/>
          <w:color w:val="1C1E2E"/>
          <w:sz w:val="22"/>
        </w:rPr>
        <w:t>Nota de identidad</w:t>
      </w:r>
      <w:r>
        <w:rPr>
          <w:rFonts w:ascii="Inter" w:hAnsi="Inter" w:cs="Inter"/>
          <w:b w:val="0"/>
          <w:i w:val="0"/>
          <w:color w:val="1C1E2E"/>
          <w:sz w:val="22"/>
        </w:rPr>
        <w:t xml:space="preserve"> que enlace «Eslava Graterol» y «Eslava de Morales», con el documento que lo acredite, y uso de un solo nombre en todo el expediente.</w:t>
      </w:r>
    </w:p>
    <w:p>
      <w:pPr>
        <w:pStyle w:val="ListBullet"/>
        <w:spacing w:after="60"/>
        <w:ind w:left="403"/>
      </w:pPr>
      <w:r>
        <w:rPr>
          <w:rFonts w:ascii="Inter" w:hAnsi="Inter" w:cs="Inter"/>
          <w:b w:val="0"/>
          <w:i w:val="0"/>
          <w:color w:val="1C1E2E"/>
          <w:sz w:val="22"/>
        </w:rPr>
        <w:t xml:space="preserve">☐ Consultar a la comisión si el </w:t>
      </w:r>
      <w:r>
        <w:rPr>
          <w:rFonts w:ascii="Inter" w:hAnsi="Inter" w:cs="Inter"/>
          <w:b/>
          <w:i w:val="0"/>
          <w:color w:val="1C1E2E"/>
          <w:sz w:val="22"/>
        </w:rPr>
        <w:t>inglés computa</w:t>
      </w:r>
      <w:r>
        <w:rPr>
          <w:rFonts w:ascii="Inter" w:hAnsi="Inter" w:cs="Inter"/>
          <w:b w:val="0"/>
          <w:i w:val="0"/>
          <w:color w:val="1C1E2E"/>
          <w:sz w:val="22"/>
        </w:rPr>
        <w:t xml:space="preserve"> en el apartado de idiomas → §B.4.</w:t>
      </w:r>
    </w:p>
    <w:p>
      <w:pPr>
        <w:pStyle w:val="ListBullet"/>
        <w:spacing w:after="60"/>
        <w:ind w:left="403"/>
      </w:pPr>
      <w:r>
        <w:rPr>
          <w:rFonts w:ascii="Inter" w:hAnsi="Inter" w:cs="Inter"/>
          <w:b w:val="0"/>
          <w:i w:val="0"/>
          <w:color w:val="1C1E2E"/>
          <w:sz w:val="22"/>
        </w:rPr>
        <w:t xml:space="preserve">☐ Completar el </w:t>
      </w:r>
      <w:r>
        <w:rPr>
          <w:rFonts w:ascii="Inter" w:hAnsi="Inter" w:cs="Inter"/>
          <w:b/>
          <w:i w:val="0"/>
          <w:color w:val="1C1E2E"/>
          <w:sz w:val="22"/>
        </w:rPr>
        <w:t>curso académico</w:t>
      </w:r>
      <w:r>
        <w:rPr>
          <w:rFonts w:ascii="Inter" w:hAnsi="Inter" w:cs="Inter"/>
          <w:b w:val="0"/>
          <w:i w:val="0"/>
          <w:color w:val="1C1E2E"/>
          <w:sz w:val="22"/>
        </w:rPr>
        <w:t xml:space="preserve"> y la </w:t>
      </w:r>
      <w:r>
        <w:rPr>
          <w:rFonts w:ascii="Inter" w:hAnsi="Inter" w:cs="Inter"/>
          <w:b/>
          <w:i w:val="0"/>
          <w:color w:val="1C1E2E"/>
          <w:sz w:val="22"/>
        </w:rPr>
        <w:t>denominación oficial</w:t>
      </w:r>
      <w:r>
        <w:rPr>
          <w:rFonts w:ascii="Inter" w:hAnsi="Inter" w:cs="Inter"/>
          <w:b w:val="0"/>
          <w:i w:val="0"/>
          <w:color w:val="1C1E2E"/>
          <w:sz w:val="22"/>
        </w:rPr>
        <w:t xml:space="preserve"> de las dos becas y localizar sus resoluciones → §B.5.</w:t>
      </w:r>
    </w:p>
    <w:p>
      <w:pPr>
        <w:pStyle w:val="ListBullet"/>
        <w:spacing w:after="60"/>
        <w:ind w:left="403"/>
      </w:pPr>
      <w:r>
        <w:rPr>
          <w:rFonts w:ascii="Inter" w:hAnsi="Inter" w:cs="Inter"/>
          <w:b w:val="0"/>
          <w:i w:val="0"/>
          <w:color w:val="1C1E2E"/>
          <w:sz w:val="22"/>
        </w:rPr>
        <w:t>☐ Reunir el resto de certificados (DOC-01, DOC-02, DOC-04, DOC-09 a DOC-11, DOC-13 a DOC-18, DOC-20 a DOC-23).</w:t>
      </w:r>
    </w:p>
    <w:p>
      <w:pPr>
        <w:pStyle w:val="ListBullet"/>
        <w:spacing w:after="60"/>
        <w:ind w:left="403"/>
      </w:pPr>
      <w:r>
        <w:rPr>
          <w:rFonts w:ascii="Inter" w:hAnsi="Inter" w:cs="Inter"/>
          <w:b w:val="0"/>
          <w:i w:val="0"/>
          <w:color w:val="1C1E2E"/>
          <w:sz w:val="22"/>
        </w:rPr>
        <w:t xml:space="preserve">☐ Escanear todo en un </w:t>
      </w:r>
      <w:r>
        <w:rPr>
          <w:rFonts w:ascii="Inter" w:hAnsi="Inter" w:cs="Inter"/>
          <w:b/>
          <w:i w:val="0"/>
          <w:color w:val="1C1E2E"/>
          <w:sz w:val="22"/>
        </w:rPr>
        <w:t>PDF único</w:t>
      </w:r>
      <w:r>
        <w:rPr>
          <w:rFonts w:ascii="Inter" w:hAnsi="Inter" w:cs="Inter"/>
          <w:b w:val="0"/>
          <w:i w:val="0"/>
          <w:color w:val="1C1E2E"/>
          <w:sz w:val="22"/>
        </w:rPr>
        <w:t>, en el orden del Anexo §8, con portada-índice.</w:t>
      </w:r>
    </w:p>
    <w:p>
      <w:pPr>
        <w:pStyle w:val="ListBullet"/>
        <w:spacing w:after="60"/>
        <w:ind w:left="403"/>
      </w:pPr>
      <w:r>
        <w:rPr>
          <w:rFonts w:ascii="Inter" w:hAnsi="Inter" w:cs="Inter"/>
          <w:b w:val="0"/>
          <w:i w:val="0"/>
          <w:color w:val="1C1E2E"/>
          <w:sz w:val="22"/>
        </w:rPr>
        <w:t xml:space="preserve">☐ Adjuntar la </w:t>
      </w:r>
      <w:r>
        <w:rPr>
          <w:rFonts w:ascii="Inter" w:hAnsi="Inter" w:cs="Inter"/>
          <w:b/>
          <w:i w:val="0"/>
          <w:color w:val="1C1E2E"/>
          <w:sz w:val="22"/>
        </w:rPr>
        <w:t>propuesta de tesis MLLDE</w:t>
      </w:r>
      <w:r>
        <w:rPr>
          <w:rFonts w:ascii="Inter" w:hAnsi="Inter" w:cs="Inter"/>
          <w:b w:val="0"/>
          <w:i w:val="0"/>
          <w:color w:val="1C1E2E"/>
          <w:sz w:val="22"/>
        </w:rPr>
        <w:t xml:space="preserve"> (documento independiente, </w:t>
      </w:r>
      <w:r>
        <w:rPr>
          <w:rFonts w:ascii="Consolas" w:hAnsi="Consolas" w:cs="Consolas"/>
          <w:b w:val="0"/>
          <w:i w:val="0"/>
          <w:color w:val="5B5F77"/>
          <w:sz w:val="21"/>
        </w:rPr>
        <w:t>01-propuesta/</w:t>
      </w:r>
      <w:r>
        <w:rPr>
          <w:rFonts w:ascii="Inter" w:hAnsi="Inter" w:cs="Inter"/>
          <w:b w:val="0"/>
          <w:i w:val="0"/>
          <w:color w:val="1C1E2E"/>
          <w:sz w:val="22"/>
        </w:rPr>
        <w:t>).</w:t>
      </w:r>
    </w:p>
    <w:p>
      <w:pPr>
        <w:pBdr>
          <w:bottom w:val="single" w:sz="6" w:space="1" w:color="E6E8F2"/>
        </w:pBdr>
      </w:pPr>
    </w:p>
    <w:p>
      <w:r>
        <w:rPr>
          <w:rFonts w:ascii="Inter" w:hAnsi="Inter" w:cs="Inter"/>
          <w:b w:val="0"/>
          <w:i/>
          <w:color w:val="1C1E2E"/>
          <w:sz w:val="22"/>
        </w:rPr>
        <w:t>© 2026 Ana Eslava-Graterol (ProfeAnaEslavaEdTech). Marca y web: profeanaeslava · GitHub: profeanaeslavaedtech · Universitat Politècnica de València. Documento elaborado con asistencia de IA (Claude Code, Anthropic) bajo supervisión y verificación humana; todos los datos proceden del perfil profesional verificado de la autora.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