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ANEXO DE DOCUMENTACIÓN ACREDITATIVA</w:t>
      </w: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Ana Eslava-Graterol — Solicitud de admisión al Programa de Doctorado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Supporting-evidence annex — PhD admission application</w:t>
      </w:r>
    </w:p>
    <w:p>
      <w:r>
        <w:rPr>
          <w:rFonts w:ascii="Inter" w:hAnsi="Inter" w:cs="Inter"/>
          <w:b/>
          <w:i w:val="0"/>
          <w:color w:val="1C1E2E"/>
          <w:sz w:val="22"/>
        </w:rPr>
        <w:t>Programa / Programme: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Doctorado en Lingüística Aplicada — Universitat Politècnica de València </w:t>
      </w:r>
      <w:r>
        <w:rPr>
          <w:rFonts w:ascii="Inter" w:hAnsi="Inter" w:cs="Inter"/>
          <w:b/>
          <w:i w:val="0"/>
          <w:color w:val="1C1E2E"/>
          <w:sz w:val="22"/>
        </w:rPr>
        <w:t>Propuesta de tesis / Thesis proposal: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MLLDE — </w:t>
      </w:r>
      <w:r>
        <w:rPr>
          <w:rFonts w:ascii="Inter" w:hAnsi="Inter" w:cs="Inter"/>
          <w:b w:val="0"/>
          <w:i/>
          <w:color w:val="1C1E2E"/>
          <w:sz w:val="22"/>
        </w:rPr>
        <w:t>Mobile Language Learning Design Environment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Fecha / Date: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usar esta portada.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Imprímela como </w:t>
      </w:r>
      <w:r>
        <w:rPr>
          <w:rFonts w:ascii="Inter" w:hAnsi="Inter" w:cs="Inter"/>
          <w:b/>
          <w:i w:val="0"/>
          <w:color w:val="5B5F77"/>
          <w:sz w:val="21"/>
        </w:rPr>
        <w:t>primera página del PDF único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documentación. Cada documento va detrás, en el orden de la tabla, con el código DOC-nn escrito a mano o sellado en la esquina superior derecha. La comisión debe poder ir del mérito del CV al documento en un solo salto. </w:t>
      </w:r>
      <w:r>
        <w:rPr>
          <w:rFonts w:ascii="Inter" w:hAnsi="Inter" w:cs="Inter"/>
          <w:b w:val="0"/>
          <w:i/>
          <w:color w:val="5B5F77"/>
          <w:sz w:val="21"/>
        </w:rPr>
        <w:t xml:space="preserve">How to use this cover sheet. Print it as the </w:t>
      </w:r>
      <w:r>
        <w:rPr>
          <w:rFonts w:ascii="Inter" w:hAnsi="Inter" w:cs="Inter"/>
          <w:b w:val="0"/>
          <w:i/>
          <w:color w:val="5B5F77"/>
          <w:sz w:val="21"/>
        </w:rPr>
        <w:t>first page of the single evidence PDF</w:t>
      </w:r>
      <w:r>
        <w:rPr>
          <w:rFonts w:ascii="Inter" w:hAnsi="Inter" w:cs="Inter"/>
          <w:b w:val="0"/>
          <w:i/>
          <w:color w:val="5B5F77"/>
          <w:sz w:val="21"/>
        </w:rPr>
        <w:t>. Each document follows in table order, with its DOC-nn code marked in the top-right corner, so the committee can jump from a CV merit to its document in one step.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A — Expediente académico (70 %) · </w:t>
      </w:r>
      <w:r>
        <w:rPr>
          <w:rFonts w:ascii="Fraunces" w:hAnsi="Fraunces" w:cs="Fraunces"/>
          <w:b/>
          <w:i w:val="0"/>
          <w:color w:val="22307C"/>
          <w:sz w:val="32"/>
        </w:rPr>
        <w:t>Academic record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académica personal UPV — nota media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9,4/10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 Matrículas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UPV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o resguardo del Máster en Lenguas y Tecnología (UPV)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Master's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Certificación de Calificaciones Globales + listado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Secretaría, 28 ene. 2009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ULA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de Licenciatura (ULA) + acta de grado con la distinción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Summa Cum Laude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Undergraduate degree + graduation record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del TÍTULO al nivel académico de GRADO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Ministerio de Universidades, RD 967/2014, 17 jun. 2020 · rama Artes y Humanidades, campo Idiomas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Degree-level equivalence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acceso al doctorado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 la nota media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Secretaría General de Universidades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9,07/10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CSV ⟨CSV en la copia entregada a la comisión⟩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Grade-average equivalence declaration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70 %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B — Otros méritos (30 %) · </w:t>
      </w:r>
      <w:r>
        <w:rPr>
          <w:rFonts w:ascii="Fraunces" w:hAnsi="Fraunces" w:cs="Fraunces"/>
          <w:b/>
          <w:i w:val="0"/>
          <w:color w:val="22307C"/>
          <w:sz w:val="32"/>
        </w:rPr>
        <w:t>Other merits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Mérito / Merit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Rango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1.º de 56 graduandos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, 18,97 vs 15,77 · certificación rectoral n.º ⟨n.º en la copia entregada a la comisión⟩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Apostilla de La Haya ⟨n.º en la copia entregada a la comisión⟩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(código ⟨código en la copia entregada a la comisión⟩)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Diploma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del Trabajo Especial de Grado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20/20 Sobresaliente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Rector de la ULA, 15 nov. 2004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Cuatro Órdenes «Luis María Ribas Dávila»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(2000 · 2001 · 2002 · 2003) — más alto rendimiento académico, Escuela de Educación, ULA-Táchira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Four rectoral distinctions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del Premio Extraordinario de Máster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hoy no procede; el premio es el de grado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➖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C1 Advanced (CAE)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CELTA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examinadora DELE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Beca de Alto Rendimiento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ULA-Táchira, Dirección de Asuntos Estudiantiles, 13 may. 2004 (jul.–dic. 2003, vigente)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Merit scholarship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 concesión de la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beca del Ministerio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(máster, UPV)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Sotelo-Casas et al. (2019),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Estuarine, Coastal and Shelf Science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portada +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página de agradecimientos (p. 8)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Evidencia de la calificación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Academic Writing Journey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(UPV, 2026)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Certificados de servicio docente — UDO Núcleo Nueva Esparta (2005–2015),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 acreditadas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Vida laboral / certificado de actividad profesional en España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tutoría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AVE Global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Producción científica y formación · </w:t>
      </w:r>
      <w:r>
        <w:rPr>
          <w:rFonts w:ascii="Fraunces" w:hAnsi="Fraunces" w:cs="Fraunces"/>
          <w:b/>
          <w:i w:val="0"/>
          <w:color w:val="22307C"/>
          <w:sz w:val="32"/>
        </w:rPr>
        <w:t>Research output and training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Kaleidoscopio 2(3), 51–56 (2005)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primera y última página + carta de aceptación tras arbitraje (UNEG, 09-03-2005). ISSN 1690-6054, indexada en CLASE–UNAM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II Congreso Internacional de Educación Superior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(Cumaná, 31 jul.–2 ago. 2008) — carta de aceptación de la ponencia, ref. CIES/P 048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Design: Course Planning and Pedagogy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UC Irvine (ene.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 Fundamentals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University of Cambridge (mar.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AP Stylebook Workshop Certificate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The Associated Press (may. 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Certificado SEPE — contenidos digitales, mobile learning y gamificación (2024)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⭐ = documento </w:t>
      </w:r>
      <w:r>
        <w:rPr>
          <w:rFonts w:ascii="Inter" w:hAnsi="Inter" w:cs="Inter"/>
          <w:b/>
          <w:i w:val="0"/>
          <w:color w:val="5B5F77"/>
          <w:sz w:val="21"/>
        </w:rPr>
        <w:t>ya en mano y verificado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Colócalos al principio de su bloque: son los que sostienen el 70 % y el mérito B.1. </w:t>
      </w:r>
      <w:r>
        <w:rPr>
          <w:rFonts w:ascii="Inter" w:hAnsi="Inter" w:cs="Inter"/>
          <w:b w:val="0"/>
          <w:i/>
          <w:color w:val="5B5F77"/>
          <w:sz w:val="21"/>
        </w:rPr>
        <w:t xml:space="preserve">⭐ = document </w:t>
      </w:r>
      <w:r>
        <w:rPr>
          <w:rFonts w:ascii="Inter" w:hAnsi="Inter" w:cs="Inter"/>
          <w:b w:val="0"/>
          <w:i/>
          <w:color w:val="5B5F77"/>
          <w:sz w:val="21"/>
        </w:rPr>
        <w:t>already in hand and verified</w:t>
      </w:r>
      <w:r>
        <w:rPr>
          <w:rFonts w:ascii="Inter" w:hAnsi="Inter" w:cs="Inter"/>
          <w:b w:val="0"/>
          <w:i/>
          <w:color w:val="5B5F77"/>
          <w:sz w:val="21"/>
        </w:rPr>
        <w:t>. Place these first within their block — they carry the 70% and merit B.1.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Antes de escanear · </w:t>
      </w:r>
      <w:r>
        <w:rPr>
          <w:rFonts w:ascii="Fraunces" w:hAnsi="Fraunces" w:cs="Fraunces"/>
          <w:b/>
          <w:i w:val="0"/>
          <w:color w:val="22307C"/>
          <w:sz w:val="32"/>
        </w:rPr>
        <w:t>Before scanning</w:t>
      </w:r>
    </w:p>
    <w:p>
      <w:r>
        <w:rPr>
          <w:rFonts w:ascii="Inter" w:hAnsi="Inter" w:cs="Inter"/>
          <w:b/>
          <w:i w:val="0"/>
          <w:color w:val="1C1E2E"/>
          <w:sz w:val="22"/>
        </w:rPr>
        <w:t>Ya resuelto con los documentos en mano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already resolved: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 de la licenciatura: 9,07/10</w:t>
      </w:r>
      <w:r>
        <w:rPr>
          <w:rFonts w:ascii="Inter" w:hAnsi="Inter" w:cs="Inter"/>
          <w:b w:val="0"/>
          <w:i w:val="0"/>
          <w:color w:val="1C1E2E"/>
          <w:sz w:val="22"/>
        </w:rPr>
        <w:t>, certificada por la Administración española (DOC-05). Es el número que entra en el 70 %.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Acceso al doctorado: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título tiene </w:t>
      </w:r>
      <w:r>
        <w:rPr>
          <w:rFonts w:ascii="Inter" w:hAnsi="Inter" w:cs="Inter"/>
          <w:b/>
          <w:i w:val="0"/>
          <w:color w:val="1C1E2E"/>
          <w:sz w:val="22"/>
        </w:rPr>
        <w:t>equivalencia oficial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(Ministerio de Universidades, RD 967/2014, 17 jun. 2020 — DOC-05B). Sumado al </w:t>
      </w:r>
      <w:r>
        <w:rPr>
          <w:rFonts w:ascii="Inter" w:hAnsi="Inter" w:cs="Inter"/>
          <w:b/>
          <w:i w:val="0"/>
          <w:color w:val="1C1E2E"/>
          <w:sz w:val="22"/>
        </w:rPr>
        <w:t>máster oficial español de la UPV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acceso por el art. 6 del RD 99/2011 queda completo: </w:t>
      </w:r>
      <w:r>
        <w:rPr>
          <w:rFonts w:ascii="Inter" w:hAnsi="Inter" w:cs="Inter"/>
          <w:b/>
          <w:i w:val="0"/>
          <w:color w:val="1C1E2E"/>
          <w:sz w:val="22"/>
        </w:rPr>
        <w:t>no hay que pedir comprobación de nivel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grado: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(DOC-06), con certificación rectoral y apostilla de La Haya, respaldado por la </w:t>
      </w:r>
      <w:r>
        <w:rPr>
          <w:rFonts w:ascii="Inter" w:hAnsi="Inter" w:cs="Inter"/>
          <w:b/>
          <w:i w:val="0"/>
          <w:color w:val="1C1E2E"/>
          <w:sz w:val="22"/>
        </w:rPr>
        <w:t>Orden «Luis María Ribas Dávila» de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(DOC-07B).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máster: no procede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premio es el de grado. Se declaran las 2 Matrículas de Honor como distinción del máster.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Certificación académica de la licenciatura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(DOC-03) y </w:t>
      </w:r>
      <w:r>
        <w:rPr>
          <w:rFonts w:ascii="Inter" w:hAnsi="Inter" w:cs="Inter"/>
          <w:b/>
          <w:i w:val="0"/>
          <w:color w:val="1C1E2E"/>
          <w:sz w:val="22"/>
        </w:rPr>
        <w:t>recorrido investigador del TFG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(DOC-07, DOC-19, DOC-24): en mano.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Beca de grado: Beca de Alto Rendimiento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ULA, acreditada por constancia oficial (DOC-12). Es beca de mérito, no asistencial.</w:t>
      </w:r>
    </w:p>
    <w:p>
      <w:r>
        <w:rPr>
          <w:rFonts w:ascii="Inter" w:hAnsi="Inter" w:cs="Inter"/>
          <w:b/>
          <w:i w:val="0"/>
          <w:color w:val="1C1E2E"/>
          <w:sz w:val="22"/>
        </w:rPr>
        <w:t>Pendiente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outstanding: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🟠 </w:t>
      </w:r>
      <w:r>
        <w:rPr>
          <w:rFonts w:ascii="Inter" w:hAnsi="Inter" w:cs="Inter"/>
          <w:b/>
          <w:i w:val="0"/>
          <w:color w:val="1C1E2E"/>
          <w:sz w:val="22"/>
        </w:rPr>
        <w:t>Cadena de identidad.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Los documentos alternan </w:t>
      </w:r>
      <w:r>
        <w:rPr>
          <w:rFonts w:ascii="Inter" w:hAnsi="Inter" w:cs="Inter"/>
          <w:b/>
          <w:i w:val="0"/>
          <w:color w:val="1C1E2E"/>
          <w:sz w:val="22"/>
        </w:rPr>
        <w:t>«Eslava Graterol»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(ULA, publicación, beca, Órdenes), </w:t>
      </w:r>
      <w:r>
        <w:rPr>
          <w:rFonts w:ascii="Inter" w:hAnsi="Inter" w:cs="Inter"/>
          <w:b/>
          <w:i w:val="0"/>
          <w:color w:val="1C1E2E"/>
          <w:sz w:val="22"/>
        </w:rPr>
        <w:t>«Eslava de Morales»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(resolución del Ministerio, congreso 2008) y una errata, </w:t>
      </w:r>
      <w:r>
        <w:rPr>
          <w:rFonts w:ascii="Inter" w:hAnsi="Inter" w:cs="Inter"/>
          <w:b/>
          <w:i w:val="0"/>
          <w:color w:val="1C1E2E"/>
          <w:sz w:val="22"/>
        </w:rPr>
        <w:t>«Ana Soraymi»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en la Orden de 2003. Añadir al PDF una </w:t>
      </w:r>
      <w:r>
        <w:rPr>
          <w:rFonts w:ascii="Inter" w:hAnsi="Inter" w:cs="Inter"/>
          <w:b/>
          <w:i w:val="0"/>
          <w:color w:val="1C1E2E"/>
          <w:sz w:val="22"/>
        </w:rPr>
        <w:t>nota de identidad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una línea con el documento que enlaza ambos nombres, y usar un solo nombre en todo el expediente.</w:t>
      </w:r>
    </w:p>
    <w:p>
      <w:r>
        <w:rPr>
          <w:rFonts w:ascii="Inter" w:hAnsi="Inter" w:cs="Inter"/>
          <w:b w:val="0"/>
          <w:i/>
          <w:color w:val="1C1E2E"/>
          <w:sz w:val="22"/>
        </w:rPr>
        <w:t>The documents alternate two surnames — add a one-line identity note plus the linking document, and use one name consistently.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Elegibilidad del inglés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apartado de idiomas — preguntar a la comisión, dado que las titulaciones previas son de inglés.</w:t>
      </w:r>
    </w:p>
    <w:p>
      <w:r>
        <w:rPr>
          <w:rFonts w:ascii="Inter" w:hAnsi="Inter" w:cs="Inter"/>
          <w:b w:val="0"/>
          <w:i/>
          <w:color w:val="1C1E2E"/>
          <w:sz w:val="22"/>
        </w:rPr>
        <w:t>Eligibility of English in the languages item — ask the committee.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Resolución de la beca del Ministerio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(máster, UPV) con su curso académico y denominación oficial de la convocatoria.</w:t>
      </w:r>
    </w:p>
    <w:p>
      <w:r>
        <w:rPr>
          <w:rFonts w:ascii="Inter" w:hAnsi="Inter" w:cs="Inter"/>
          <w:b w:val="0"/>
          <w:i/>
          <w:color w:val="1C1E2E"/>
          <w:sz w:val="22"/>
        </w:rPr>
        <w:t>Award letter for the Ministry scholarship, with academic year and official name.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 (ProfeAnaEslavaEdTech) · Universitat Politècnica de València.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