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CURRICULUM VITAE — PhD ADMISSION</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Programme applied for:</w:t>
      </w:r>
      <w:r>
        <w:rPr>
          <w:rFonts w:ascii="Inter" w:hAnsi="Inter" w:cs="Inter"/>
          <w:b w:val="0"/>
          <w:i w:val="0"/>
          <w:color w:val="1C1E2E"/>
          <w:sz w:val="22"/>
        </w:rPr>
        <w:t xml:space="preserve"> PhD Programme — Applied Linguistics</w:t>
      </w:r>
    </w:p>
    <w:p>
      <w:r>
        <w:rPr>
          <w:rFonts w:ascii="Inter" w:hAnsi="Inter" w:cs="Inter"/>
          <w:b/>
          <w:i w:val="0"/>
          <w:color w:val="1C1E2E"/>
          <w:sz w:val="22"/>
        </w:rPr>
        <w:t>Department of Applied Linguistics · Universitat Politècnica de València (UPV), Spain</w:t>
      </w:r>
    </w:p>
    <w:p>
      <w:r>
        <w:rPr>
          <w:rFonts w:ascii="Inter" w:hAnsi="Inter" w:cs="Inter"/>
          <w:b/>
          <w:i w:val="0"/>
          <w:color w:val="1C1E2E"/>
          <w:sz w:val="22"/>
        </w:rPr>
        <w:t>Research line:</w:t>
      </w:r>
      <w:r>
        <w:rPr>
          <w:rFonts w:ascii="Inter" w:hAnsi="Inter" w:cs="Inter"/>
          <w:b w:val="0"/>
          <w:i w:val="0"/>
          <w:color w:val="1C1E2E"/>
          <w:sz w:val="22"/>
        </w:rPr>
        <w:t xml:space="preserve"> Language technologies and instructional design for language learning</w:t>
      </w:r>
    </w:p>
    <w:p>
      <w:r>
        <w:rPr>
          <w:rFonts w:ascii="Inter" w:hAnsi="Inter" w:cs="Inter"/>
          <w:b/>
          <w:i w:val="0"/>
          <w:color w:val="1C1E2E"/>
          <w:sz w:val="22"/>
        </w:rPr>
        <w:t>Thesis proposal:</w:t>
      </w:r>
      <w:r>
        <w:rPr>
          <w:rFonts w:ascii="Inter" w:hAnsi="Inter" w:cs="Inter"/>
          <w:b w:val="0"/>
          <w:i w:val="0"/>
          <w:color w:val="1C1E2E"/>
          <w:sz w:val="22"/>
        </w:rPr>
        <w:t xml:space="preserve"> </w:t>
      </w:r>
      <w:r>
        <w:rPr>
          <w:rFonts w:ascii="Inter" w:hAnsi="Inter" w:cs="Inter"/>
          <w:b w:val="0"/>
          <w:i/>
          <w:color w:val="1C1E2E"/>
          <w:sz w:val="22"/>
        </w:rPr>
        <w:t>MLLDE — Mobile Language Learning Design Environment: a method for integrating LLM tutors and AI literacy into CEFR curriculum design</w:t>
      </w:r>
    </w:p>
    <w:p>
      <w:pPr>
        <w:pBdr>
          <w:left w:val="single" w:sz="18" w:space="8" w:color="9A5B00"/>
        </w:pBdr>
        <w:spacing w:before="120" w:after="200"/>
        <w:ind w:left="317"/>
      </w:pPr>
      <w:r>
        <w:rPr>
          <w:rFonts w:ascii="Inter" w:hAnsi="Inter" w:cs="Inter"/>
          <w:b/>
          <w:i w:val="0"/>
          <w:color w:val="5B5F77"/>
          <w:sz w:val="21"/>
        </w:rPr>
        <w:t>Note on structure.</w:t>
      </w:r>
      <w:r>
        <w:rPr>
          <w:rFonts w:ascii="Inter" w:hAnsi="Inter" w:cs="Inter"/>
          <w:b w:val="0"/>
          <w:i w:val="0"/>
          <w:color w:val="5B5F77"/>
          <w:sz w:val="21"/>
        </w:rPr>
        <w:t xml:space="preserve"> This CV is organised </w:t>
      </w:r>
      <w:r>
        <w:rPr>
          <w:rFonts w:ascii="Inter" w:hAnsi="Inter" w:cs="Inter"/>
          <w:b/>
          <w:i w:val="0"/>
          <w:color w:val="5B5F77"/>
          <w:sz w:val="21"/>
        </w:rPr>
        <w:t>exactly according to the call's scoring rubric</w:t>
      </w:r>
      <w:r>
        <w:rPr>
          <w:rFonts w:ascii="Inter" w:hAnsi="Inter" w:cs="Inter"/>
          <w:b w:val="0"/>
          <w:i w:val="0"/>
          <w:color w:val="5B5F77"/>
          <w:sz w:val="21"/>
        </w:rPr>
        <w:t xml:space="preserve"> (Academic record 70% + Other merits 30%, six merits worth 5% each), so the admissions committee can score each item without searching for the information. Every merit points to its supporting document through a </w:t>
      </w:r>
      <w:r>
        <w:rPr>
          <w:rFonts w:ascii="Inter" w:hAnsi="Inter" w:cs="Inter"/>
          <w:b/>
          <w:i w:val="0"/>
          <w:color w:val="5B5F77"/>
          <w:sz w:val="21"/>
        </w:rPr>
        <w:t>[DOC-nn]</w:t>
      </w:r>
      <w:r>
        <w:rPr>
          <w:rFonts w:ascii="Inter" w:hAnsi="Inter" w:cs="Inter"/>
          <w:b w:val="0"/>
          <w:i w:val="0"/>
          <w:color w:val="5B5F77"/>
          <w:sz w:val="21"/>
        </w:rPr>
        <w:t xml:space="preserve"> code matching the index in the Annex (§8) and the order of the evidence PDF.</w:t>
      </w:r>
    </w:p>
    <w:p>
      <w:pPr>
        <w:pBdr>
          <w:bottom w:val="single" w:sz="6" w:space="1" w:color="E6E8F2"/>
        </w:pBdr>
      </w:pPr>
    </w:p>
    <w:p>
      <w:pPr>
        <w:spacing w:before="320" w:after="120"/>
      </w:pPr>
      <w:r>
        <w:rPr>
          <w:rFonts w:ascii="Fraunces" w:hAnsi="Fraunces" w:cs="Fraunces"/>
          <w:b/>
          <w:i w:val="0"/>
          <w:color w:val="22307C"/>
          <w:sz w:val="32"/>
        </w:rPr>
        <w:t>0. Identification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Field</w:t>
            </w:r>
          </w:p>
        </w:tc>
        <w:tc>
          <w:tcPr>
            <w:tcW w:type="dxa" w:w="4824"/>
            <w:shd w:val="clear" w:color="auto" w:fill="EEF2FD"/>
          </w:tcPr>
          <w:p>
            <w:pPr>
              <w:spacing w:after="40"/>
            </w:pPr>
            <w:r/>
            <w:r>
              <w:rPr>
                <w:rFonts w:ascii="Inter" w:hAnsi="Inter" w:cs="Inter"/>
                <w:b/>
                <w:i w:val="0"/>
                <w:color w:val="22307C"/>
                <w:sz w:val="19"/>
              </w:rPr>
              <w:t>Detail</w:t>
            </w:r>
          </w:p>
        </w:tc>
      </w:tr>
      <w:tr>
        <w:tc>
          <w:tcPr>
            <w:tcW w:type="dxa" w:w="4824"/>
          </w:tcPr>
          <w:p>
            <w:pPr>
              <w:spacing w:after="40"/>
            </w:pPr>
            <w:r/>
            <w:r>
              <w:rPr>
                <w:rFonts w:ascii="Inter" w:hAnsi="Inter" w:cs="Inter"/>
                <w:b w:val="0"/>
                <w:i w:val="0"/>
                <w:color w:val="1C1E2E"/>
                <w:sz w:val="19"/>
              </w:rPr>
              <w:t>Full name</w:t>
            </w:r>
          </w:p>
        </w:tc>
        <w:tc>
          <w:tcPr>
            <w:tcW w:type="dxa" w:w="4824"/>
          </w:tcPr>
          <w:p>
            <w:pPr>
              <w:spacing w:after="40"/>
            </w:pPr>
            <w:r/>
            <w:r>
              <w:rPr>
                <w:rFonts w:ascii="Inter" w:hAnsi="Inter" w:cs="Inter"/>
                <w:b w:val="0"/>
                <w:i w:val="0"/>
                <w:color w:val="1C1E2E"/>
                <w:sz w:val="19"/>
              </w:rPr>
              <w:t>Ana Zoraida Eslava-Graterol</w:t>
            </w:r>
          </w:p>
        </w:tc>
      </w:tr>
      <w:tr>
        <w:tc>
          <w:tcPr>
            <w:tcW w:type="dxa" w:w="4824"/>
          </w:tcPr>
          <w:p>
            <w:pPr>
              <w:spacing w:after="40"/>
            </w:pPr>
            <w:r/>
            <w:r>
              <w:rPr>
                <w:rFonts w:ascii="Inter" w:hAnsi="Inter" w:cs="Inter"/>
                <w:b w:val="0"/>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Location</w:t>
            </w:r>
          </w:p>
        </w:tc>
        <w:tc>
          <w:tcPr>
            <w:tcW w:type="dxa" w:w="4824"/>
          </w:tcPr>
          <w:p>
            <w:pPr>
              <w:spacing w:after="40"/>
            </w:pPr>
            <w:r/>
            <w:r>
              <w:rPr>
                <w:rFonts w:ascii="Inter" w:hAnsi="Inter" w:cs="Inter"/>
                <w:b w:val="0"/>
                <w:i w:val="0"/>
                <w:color w:val="1C1E2E"/>
                <w:sz w:val="19"/>
              </w:rPr>
              <w:t>Valencia, Spain (immediate availability)</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EdTech portfolio (6 areas)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Research &amp; ID portfolio</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Professional site</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Supporting documents</w:t>
            </w:r>
          </w:p>
        </w:tc>
        <w:tc>
          <w:tcPr>
            <w:tcW w:type="dxa" w:w="4824"/>
          </w:tcPr>
          <w:p>
            <w:pPr>
              <w:spacing w:after="40"/>
            </w:pPr>
            <w:r/>
            <w:r>
              <w:rPr>
                <w:rFonts w:ascii="Inter" w:hAnsi="Inter" w:cs="Inter"/>
                <w:b w:val="0"/>
                <w:i w:val="0"/>
                <w:color w:val="1C1E2E"/>
                <w:sz w:val="19"/>
              </w:rPr>
              <w:t>Annex §8 — one PDF per merit, numbered [DOC-01]…[DOC-nn]</w:t>
            </w:r>
          </w:p>
        </w:tc>
      </w:tr>
    </w:tbl>
    <w:p/>
    <w:p>
      <w:pPr>
        <w:pBdr>
          <w:bottom w:val="single" w:sz="6" w:space="1" w:color="E6E8F2"/>
        </w:pBdr>
      </w:pPr>
    </w:p>
    <w:p>
      <w:pPr>
        <w:spacing w:before="320" w:after="120"/>
      </w:pPr>
      <w:r>
        <w:rPr>
          <w:rFonts w:ascii="Fraunces" w:hAnsi="Fraunces" w:cs="Fraunces"/>
          <w:b/>
          <w:i w:val="0"/>
          <w:color w:val="22307C"/>
          <w:sz w:val="42"/>
        </w:rPr>
        <w:t xml:space="preserve">BLOCK A — ACADEMIC RECORD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The heaviest-weighted block. A </w:t>
      </w:r>
      <w:r>
        <w:rPr>
          <w:rFonts w:ascii="Inter" w:hAnsi="Inter" w:cs="Inter"/>
          <w:b/>
          <w:i w:val="0"/>
          <w:color w:val="5B5F77"/>
          <w:sz w:val="21"/>
        </w:rPr>
        <w:t>personal academic transcript</w:t>
      </w:r>
      <w:r>
        <w:rPr>
          <w:rFonts w:ascii="Inter" w:hAnsi="Inter" w:cs="Inter"/>
          <w:b w:val="0"/>
          <w:i w:val="0"/>
          <w:color w:val="5B5F77"/>
          <w:sz w:val="21"/>
        </w:rPr>
        <w:t xml:space="preserve"> with the grade-point average on the 0–10 Spanish scale is supplied for each degree, plus the official equivalence for the foreign degree.</w:t>
      </w:r>
    </w:p>
    <w:p>
      <w:pPr>
        <w:spacing w:before="320" w:after="120"/>
      </w:pPr>
      <w:r>
        <w:rPr>
          <w:rFonts w:ascii="Fraunces" w:hAnsi="Fraunces" w:cs="Fraunces"/>
          <w:b/>
          <w:i w:val="0"/>
          <w:color w:val="22307C"/>
          <w:sz w:val="32"/>
        </w:rPr>
        <w:t>A.1 · Master's Degree in Languages and Technology — Didactics specialisation</w:t>
      </w:r>
    </w:p>
    <w:p>
      <w:r>
        <w:rPr>
          <w:rFonts w:ascii="Inter" w:hAnsi="Inter" w:cs="Inter"/>
          <w:b/>
          <w:i w:val="0"/>
          <w:color w:val="1C1E2E"/>
          <w:sz w:val="22"/>
        </w:rPr>
        <w:t>Universitat Politècnica de València (UPV), Spain — July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Grade-point average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Distinctions (</w:t>
            </w:r>
            <w:r>
              <w:rPr>
                <w:rFonts w:ascii="Inter" w:hAnsi="Inter" w:cs="Inter"/>
                <w:b w:val="0"/>
                <w:i/>
                <w:color w:val="1C1E2E"/>
                <w:sz w:val="19"/>
              </w:rPr>
              <w:t>Matrícula de Honor</w:t>
            </w:r>
            <w:r>
              <w:rPr>
                <w:rFonts w:ascii="Inter" w:hAnsi="Inter" w:cs="Inter"/>
                <w:b w:val="0"/>
                <w:i w:val="0"/>
                <w:color w:val="1C1E2E"/>
                <w:sz w:val="19"/>
              </w:rPr>
              <w:t>)</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Grade for the </w:t>
            </w:r>
            <w:r>
              <w:rPr>
                <w:rFonts w:ascii="Inter" w:hAnsi="Inter" w:cs="Inter"/>
                <w:b w:val="0"/>
                <w:i/>
                <w:color w:val="1C1E2E"/>
                <w:sz w:val="19"/>
              </w:rPr>
              <w:t>Academic Writing Journey</w:t>
            </w:r>
            <w:r>
              <w:rPr>
                <w:rFonts w:ascii="Inter" w:hAnsi="Inter" w:cs="Inter"/>
                <w:b w:val="0"/>
                <w:i w:val="0"/>
                <w:color w:val="1C1E2E"/>
                <w:sz w:val="19"/>
              </w:rPr>
              <w:t xml:space="preserve"> project</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(course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UPV academic transcript </w:t>
            </w:r>
            <w:r>
              <w:rPr>
                <w:rFonts w:ascii="Inter" w:hAnsi="Inter" w:cs="Inter"/>
                <w:b/>
                <w:i w:val="0"/>
                <w:color w:val="1C1E2E"/>
                <w:sz w:val="19"/>
              </w:rPr>
              <w:t>[DOC-01]</w:t>
            </w:r>
            <w:r>
              <w:rPr>
                <w:rFonts w:ascii="Inter" w:hAnsi="Inter" w:cs="Inter"/>
                <w:b w:val="0"/>
                <w:i w:val="0"/>
                <w:color w:val="1C1E2E"/>
                <w:sz w:val="19"/>
              </w:rPr>
              <w:t xml:space="preserve"> · Degree certificate </w:t>
            </w:r>
            <w:r>
              <w:rPr>
                <w:rFonts w:ascii="Inter" w:hAnsi="Inter" w:cs="Inter"/>
                <w:b/>
                <w:i w:val="0"/>
                <w:color w:val="1C1E2E"/>
                <w:sz w:val="19"/>
              </w:rPr>
              <w:t>[DOC-02]</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This master's is the direct access qualification for the programme and places the record in the upper band of the scale. The Didactics specialisation and UPV's Department of Applied Linguistics are precisely the setting of the MLLDE thesis proposal, which guarantees methodological and supervisory continuity.</w:t>
      </w:r>
    </w:p>
    <w:p>
      <w:pPr>
        <w:spacing w:before="320" w:after="120"/>
      </w:pPr>
      <w:r>
        <w:rPr>
          <w:rFonts w:ascii="Fraunces" w:hAnsi="Fraunces" w:cs="Fraunces"/>
          <w:b/>
          <w:i w:val="0"/>
          <w:color w:val="22307C"/>
          <w:sz w:val="32"/>
        </w:rPr>
        <w:t>A.2 · Degree in Education, English major — Curriculum specialisation</w:t>
      </w:r>
    </w:p>
    <w:p>
      <w:r>
        <w:rPr>
          <w:rFonts w:ascii="Inter" w:hAnsi="Inter" w:cs="Inter"/>
          <w:b/>
          <w:i w:val="0"/>
          <w:color w:val="1C1E2E"/>
          <w:sz w:val="22"/>
        </w:rPr>
        <w:t>Universidad de Los Andes (ULA), Táchira, Venezuela —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Academic distinction</w:t>
            </w:r>
          </w:p>
        </w:tc>
        <w:tc>
          <w:tcPr>
            <w:tcW w:type="dxa" w:w="4824"/>
          </w:tcPr>
          <w:p>
            <w:pPr>
              <w:spacing w:after="40"/>
            </w:pPr>
            <w:r/>
            <w:r>
              <w:rPr>
                <w:rFonts w:ascii="Inter" w:hAnsi="Inter" w:cs="Inter"/>
                <w:b/>
                <w:i w:val="0"/>
                <w:color w:val="1C1E2E"/>
                <w:sz w:val="19"/>
              </w:rPr>
              <w:t>Summa Cum Laude</w:t>
            </w:r>
          </w:p>
        </w:tc>
      </w:tr>
      <w:tr>
        <w:tc>
          <w:tcPr>
            <w:tcW w:type="dxa" w:w="4824"/>
          </w:tcPr>
          <w:p>
            <w:pPr>
              <w:spacing w:after="40"/>
            </w:pPr>
            <w:r/>
            <w:r>
              <w:rPr>
                <w:rFonts w:ascii="Inter" w:hAnsi="Inter" w:cs="Inter"/>
                <w:b w:val="0"/>
                <w:i w:val="0"/>
                <w:color w:val="1C1E2E"/>
                <w:sz w:val="19"/>
              </w:rPr>
              <w:t>Class ranking</w:t>
            </w:r>
          </w:p>
        </w:tc>
        <w:tc>
          <w:tcPr>
            <w:tcW w:type="dxa" w:w="4824"/>
          </w:tcPr>
          <w:p>
            <w:pPr>
              <w:spacing w:after="40"/>
            </w:pPr>
            <w:r/>
            <w:r>
              <w:rPr>
                <w:rFonts w:ascii="Inter" w:hAnsi="Inter" w:cs="Inter"/>
                <w:b/>
                <w:i w:val="0"/>
                <w:color w:val="1C1E2E"/>
                <w:sz w:val="19"/>
              </w:rPr>
              <w:t>First in the graduating class</w:t>
            </w:r>
          </w:p>
        </w:tc>
      </w:tr>
      <w:tr>
        <w:tc>
          <w:tcPr>
            <w:tcW w:type="dxa" w:w="4824"/>
          </w:tcPr>
          <w:p>
            <w:pPr>
              <w:spacing w:after="40"/>
            </w:pPr>
            <w:r/>
            <w:r>
              <w:rPr>
                <w:rFonts w:ascii="Inter" w:hAnsi="Inter" w:cs="Inter"/>
                <w:b w:val="0"/>
                <w:i w:val="0"/>
                <w:color w:val="1C1E2E"/>
                <w:sz w:val="19"/>
              </w:rPr>
              <w:t>Final-year dissertation</w:t>
            </w:r>
          </w:p>
        </w:tc>
        <w:tc>
          <w:tcPr>
            <w:tcW w:type="dxa" w:w="4824"/>
          </w:tcPr>
          <w:p>
            <w:pPr>
              <w:spacing w:after="40"/>
            </w:pPr>
            <w:r/>
            <w:r>
              <w:rPr>
                <w:rFonts w:ascii="Inter" w:hAnsi="Inter" w:cs="Inter"/>
                <w:b/>
                <w:i w:val="0"/>
                <w:color w:val="1C1E2E"/>
                <w:sz w:val="19"/>
              </w:rPr>
              <w:t>Summa Cum Laude</w:t>
            </w:r>
            <w:r>
              <w:rPr>
                <w:rFonts w:ascii="Inter" w:hAnsi="Inter" w:cs="Inter"/>
                <w:b w:val="0"/>
                <w:i w:val="0"/>
                <w:color w:val="1C1E2E"/>
                <w:sz w:val="19"/>
              </w:rPr>
              <w:t xml:space="preserve">, subsequently </w:t>
            </w:r>
            <w:r>
              <w:rPr>
                <w:rFonts w:ascii="Inter" w:hAnsi="Inter" w:cs="Inter"/>
                <w:b/>
                <w:i w:val="0"/>
                <w:color w:val="1C1E2E"/>
                <w:sz w:val="19"/>
              </w:rPr>
              <w:t>published in an indexed journal</w:t>
            </w:r>
            <w:r>
              <w:rPr>
                <w:rFonts w:ascii="Inter" w:hAnsi="Inter" w:cs="Inter"/>
                <w:b w:val="0"/>
                <w:i w:val="0"/>
                <w:color w:val="1C1E2E"/>
                <w:sz w:val="19"/>
              </w:rPr>
              <w:t xml:space="preserve"> (see §B.6 and §5)</w:t>
            </w:r>
          </w:p>
        </w:tc>
      </w:tr>
      <w:tr>
        <w:tc>
          <w:tcPr>
            <w:tcW w:type="dxa" w:w="4824"/>
          </w:tcPr>
          <w:p>
            <w:pPr>
              <w:spacing w:after="40"/>
            </w:pPr>
            <w:r/>
            <w:r>
              <w:rPr>
                <w:rFonts w:ascii="Inter" w:hAnsi="Inter" w:cs="Inter"/>
                <w:b w:val="0"/>
                <w:i w:val="0"/>
                <w:color w:val="1C1E2E"/>
                <w:sz w:val="19"/>
              </w:rPr>
              <w:t>Degree research lines</w:t>
            </w:r>
          </w:p>
        </w:tc>
        <w:tc>
          <w:tcPr>
            <w:tcW w:type="dxa" w:w="4824"/>
          </w:tcPr>
          <w:p>
            <w:pPr>
              <w:spacing w:after="40"/>
            </w:pPr>
            <w:r/>
            <w:r>
              <w:rPr>
                <w:rFonts w:ascii="Inter" w:hAnsi="Inter" w:cs="Inter"/>
                <w:b w:val="0"/>
                <w:i w:val="0"/>
                <w:color w:val="1C1E2E"/>
                <w:sz w:val="19"/>
              </w:rPr>
              <w:t>Curriculum design and English language teaching</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ULA academic transcript with GPA </w:t>
            </w:r>
            <w:r>
              <w:rPr>
                <w:rFonts w:ascii="Inter" w:hAnsi="Inter" w:cs="Inter"/>
                <w:b/>
                <w:i w:val="0"/>
                <w:color w:val="1C1E2E"/>
                <w:sz w:val="19"/>
              </w:rPr>
              <w:t>[DOC-03]</w:t>
            </w:r>
            <w:r>
              <w:rPr>
                <w:rFonts w:ascii="Inter" w:hAnsi="Inter" w:cs="Inter"/>
                <w:b w:val="0"/>
                <w:i w:val="0"/>
                <w:color w:val="1C1E2E"/>
                <w:sz w:val="19"/>
              </w:rPr>
              <w:t xml:space="preserve"> · Degree certificate </w:t>
            </w:r>
            <w:r>
              <w:rPr>
                <w:rFonts w:ascii="Inter" w:hAnsi="Inter" w:cs="Inter"/>
                <w:b/>
                <w:i w:val="0"/>
                <w:color w:val="1C1E2E"/>
                <w:sz w:val="19"/>
              </w:rPr>
              <w:t>[DOC-04]</w:t>
            </w:r>
            <w:r>
              <w:rPr>
                <w:rFonts w:ascii="Inter" w:hAnsi="Inter" w:cs="Inter"/>
                <w:b w:val="0"/>
                <w:i w:val="0"/>
                <w:color w:val="1C1E2E"/>
                <w:sz w:val="19"/>
              </w:rPr>
              <w:t xml:space="preserve"> · Official academic-level equivalence </w:t>
            </w:r>
            <w:r>
              <w:rPr>
                <w:rFonts w:ascii="Inter" w:hAnsi="Inter" w:cs="Inter"/>
                <w:b/>
                <w:i w:val="0"/>
                <w:color w:val="1C1E2E"/>
                <w:sz w:val="19"/>
              </w:rPr>
              <w:t>[DOC-05]</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The degree is in </w:t>
      </w:r>
      <w:r>
        <w:rPr>
          <w:rFonts w:ascii="Inter" w:hAnsi="Inter" w:cs="Inter"/>
          <w:b/>
          <w:i w:val="0"/>
          <w:color w:val="1C1E2E"/>
          <w:sz w:val="22"/>
        </w:rPr>
        <w:t>English with a Curriculum specialisation</w:t>
      </w:r>
      <w:r>
        <w:rPr>
          <w:rFonts w:ascii="Inter" w:hAnsi="Inter" w:cs="Inter"/>
          <w:b w:val="0"/>
          <w:i w:val="0"/>
          <w:color w:val="1C1E2E"/>
          <w:sz w:val="22"/>
        </w:rPr>
        <w:t xml:space="preserve">: the original training is already in curriculum design, which is the object of the thesis. The final-year dissertation, awarded Summa Cum Laude, did not stay in the file — it was taken through to </w:t>
      </w:r>
      <w:r>
        <w:rPr>
          <w:rFonts w:ascii="Inter" w:hAnsi="Inter" w:cs="Inter"/>
          <w:b/>
          <w:i w:val="0"/>
          <w:color w:val="1C1E2E"/>
          <w:sz w:val="22"/>
        </w:rPr>
        <w:t>publication in an indexed journal</w:t>
      </w:r>
      <w:r>
        <w:rPr>
          <w:rFonts w:ascii="Inter" w:hAnsi="Inter" w:cs="Inter"/>
          <w:b w:val="0"/>
          <w:i w:val="0"/>
          <w:color w:val="1C1E2E"/>
          <w:sz w:val="22"/>
        </w:rPr>
        <w:t xml:space="preserve"> (Kaleidoscopio, ISSN 1690-6054, indexed in CLASE–UNAM), evidencing research capacity from the undergraduate stage onward.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To complete before submission:</w:t>
      </w:r>
      <w:r>
        <w:rPr>
          <w:rFonts w:ascii="Inter" w:hAnsi="Inter" w:cs="Inter"/>
          <w:b w:val="0"/>
          <w:i w:val="0"/>
          <w:color w:val="5B5F77"/>
          <w:sz w:val="21"/>
        </w:rPr>
        <w:t xml:space="preserve"> confirm the </w:t>
      </w:r>
      <w:r>
        <w:rPr>
          <w:rFonts w:ascii="Inter" w:hAnsi="Inter" w:cs="Inter"/>
          <w:b/>
          <w:i w:val="0"/>
          <w:color w:val="5B5F77"/>
          <w:sz w:val="21"/>
        </w:rPr>
        <w:t>numerical GPA of the undergraduate degree on the 0–10 Spanish scale</w:t>
      </w:r>
      <w:r>
        <w:rPr>
          <w:rFonts w:ascii="Inter" w:hAnsi="Inter" w:cs="Inter"/>
          <w:b w:val="0"/>
          <w:i w:val="0"/>
          <w:color w:val="5B5F77"/>
          <w:sz w:val="21"/>
        </w:rPr>
        <w:t xml:space="preserve"> as stated in the official equivalence, since that is the figure the committee enters into the 70%. State it here: </w:t>
      </w:r>
      <w:r>
        <w:rPr>
          <w:rFonts w:ascii="Inter" w:hAnsi="Inter" w:cs="Inter"/>
          <w:b/>
          <w:i w:val="0"/>
          <w:color w:val="5B5F77"/>
          <w:sz w:val="21"/>
        </w:rPr>
        <w:t>[UNDERGRADUATE GPA: ____ / 10]</w:t>
      </w:r>
      <w:r>
        <w:rPr>
          <w:rFonts w:ascii="Inter" w:hAnsi="Inter" w:cs="Inter"/>
          <w:b w:val="0"/>
          <w:i w:val="0"/>
          <w:color w:val="5B5F77"/>
          <w:sz w:val="21"/>
        </w:rPr>
        <w:t>.</w:t>
      </w:r>
    </w:p>
    <w:p>
      <w:pPr>
        <w:pBdr>
          <w:bottom w:val="single" w:sz="6" w:space="1" w:color="E6E8F2"/>
        </w:pBdr>
      </w:pPr>
    </w:p>
    <w:p>
      <w:pPr>
        <w:spacing w:before="320" w:after="120"/>
      </w:pPr>
      <w:r>
        <w:rPr>
          <w:rFonts w:ascii="Fraunces" w:hAnsi="Fraunces" w:cs="Fraunces"/>
          <w:b/>
          <w:i w:val="0"/>
          <w:color w:val="22307C"/>
          <w:sz w:val="42"/>
        </w:rPr>
        <w:t xml:space="preserve">BLOCK B — OTHER MERITS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The six merits are presented </w:t>
      </w:r>
      <w:r>
        <w:rPr>
          <w:rFonts w:ascii="Inter" w:hAnsi="Inter" w:cs="Inter"/>
          <w:b/>
          <w:i w:val="0"/>
          <w:color w:val="5B5F77"/>
          <w:sz w:val="21"/>
        </w:rPr>
        <w:t>in the same order and wording as the call</w:t>
      </w:r>
      <w:r>
        <w:rPr>
          <w:rFonts w:ascii="Inter" w:hAnsi="Inter" w:cs="Inter"/>
          <w:b w:val="0"/>
          <w:i w:val="0"/>
          <w:color w:val="5B5F77"/>
          <w:sz w:val="21"/>
        </w:rPr>
        <w:t>, each with its weight (5%), status and supporting document.</w:t>
      </w:r>
    </w:p>
    <w:p>
      <w:pPr>
        <w:pBdr>
          <w:bottom w:val="single" w:sz="6" w:space="1" w:color="E6E8F2"/>
        </w:pBdr>
      </w:pPr>
    </w:p>
    <w:p>
      <w:pPr>
        <w:spacing w:before="320" w:after="120"/>
      </w:pPr>
      <w:r>
        <w:rPr>
          <w:rFonts w:ascii="Fraunces" w:hAnsi="Fraunces" w:cs="Fraunces"/>
          <w:b/>
          <w:i w:val="0"/>
          <w:color w:val="22307C"/>
          <w:sz w:val="32"/>
        </w:rPr>
        <w:t xml:space="preserve">B.1 · Extraordinary award for the undergraduate degree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Extraordinary Graduation Award (*Premio Extraordinario Fin de Carrera*)</w:t>
      </w:r>
      <w:r>
        <w:rPr>
          <w:rFonts w:ascii="Inter" w:hAnsi="Inter" w:cs="Inter"/>
          <w:b w:val="0"/>
          <w:i w:val="0"/>
          <w:color w:val="1C1E2E"/>
          <w:sz w:val="22"/>
        </w:rPr>
        <w:t xml:space="preserve"> — Universidad de Los Andes (ULA), Táchira, Venezuela, 2004.</w:t>
      </w:r>
    </w:p>
    <w:p>
      <w:pPr>
        <w:pStyle w:val="ListBullet"/>
        <w:spacing w:after="60"/>
        <w:ind w:left="403"/>
      </w:pPr>
      <w:r>
        <w:rPr>
          <w:rFonts w:ascii="Inter" w:hAnsi="Inter" w:cs="Inter"/>
          <w:b/>
          <w:i w:val="0"/>
          <w:color w:val="1C1E2E"/>
          <w:sz w:val="22"/>
        </w:rPr>
        <w:t>First in the graduating class</w:t>
      </w:r>
      <w:r>
        <w:rPr>
          <w:rFonts w:ascii="Inter" w:hAnsi="Inter" w:cs="Inter"/>
          <w:b w:val="0"/>
          <w:i w:val="0"/>
          <w:color w:val="1C1E2E"/>
          <w:sz w:val="22"/>
        </w:rPr>
        <w:t xml:space="preserve"> of the Degree in Education, English major.</w:t>
      </w:r>
    </w:p>
    <w:p>
      <w:pPr>
        <w:pStyle w:val="ListBullet"/>
        <w:spacing w:after="60"/>
        <w:ind w:left="403"/>
      </w:pPr>
      <w:r>
        <w:rPr>
          <w:rFonts w:ascii="Inter" w:hAnsi="Inter" w:cs="Inter"/>
          <w:b w:val="0"/>
          <w:i w:val="0"/>
          <w:color w:val="1C1E2E"/>
          <w:sz w:val="22"/>
        </w:rPr>
        <w:t xml:space="preserve">Academic distinction </w:t>
      </w:r>
      <w:r>
        <w:rPr>
          <w:rFonts w:ascii="Inter" w:hAnsi="Inter" w:cs="Inter"/>
          <w:b/>
          <w:i w:val="0"/>
          <w:color w:val="1C1E2E"/>
          <w:sz w:val="22"/>
        </w:rPr>
        <w:t>Summa Cum Laude</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Final-year dissertation awarded Summa Cum Laude</w:t>
      </w:r>
      <w:r>
        <w:rPr>
          <w:rFonts w:ascii="Inter" w:hAnsi="Inter" w:cs="Inter"/>
          <w:b w:val="0"/>
          <w:i w:val="0"/>
          <w:color w:val="1C1E2E"/>
          <w:sz w:val="22"/>
        </w:rPr>
        <w:t>, later published in an indexed journal (§5).</w:t>
      </w:r>
    </w:p>
    <w:p>
      <w:r>
        <w:rPr>
          <w:rFonts w:ascii="Inter" w:hAnsi="Inter" w:cs="Inter"/>
          <w:b/>
          <w:i w:val="0"/>
          <w:color w:val="1C1E2E"/>
          <w:sz w:val="22"/>
        </w:rPr>
        <w:t>Evidence:</w:t>
      </w:r>
      <w:r>
        <w:rPr>
          <w:rFonts w:ascii="Inter" w:hAnsi="Inter" w:cs="Inter"/>
          <w:b w:val="0"/>
          <w:i w:val="0"/>
          <w:color w:val="1C1E2E"/>
          <w:sz w:val="22"/>
        </w:rPr>
        <w:t xml:space="preserve"> award resolution / diploma </w:t>
      </w:r>
      <w:r>
        <w:rPr>
          <w:rFonts w:ascii="Inter" w:hAnsi="Inter" w:cs="Inter"/>
          <w:b/>
          <w:i w:val="0"/>
          <w:color w:val="1C1E2E"/>
          <w:sz w:val="22"/>
        </w:rPr>
        <w:t>[DOC-06]</w:t>
      </w:r>
      <w:r>
        <w:rPr>
          <w:rFonts w:ascii="Inter" w:hAnsi="Inter" w:cs="Inter"/>
          <w:b w:val="0"/>
          <w:i w:val="0"/>
          <w:color w:val="1C1E2E"/>
          <w:sz w:val="22"/>
        </w:rPr>
        <w:t xml:space="preserve"> · certificate of first-in-class ranking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Extraordinary award for the master's degree — </w:t>
      </w:r>
      <w:r>
        <w:rPr>
          <w:rFonts w:ascii="Fraunces" w:hAnsi="Fraunces" w:cs="Fraunces"/>
          <w:b/>
          <w:i w:val="0"/>
          <w:color w:val="22307C"/>
          <w:sz w:val="32"/>
        </w:rPr>
        <w:t>5 %</w:t>
      </w:r>
      <w:r>
        <w:rPr>
          <w:rFonts w:ascii="Fraunces" w:hAnsi="Fraunces" w:cs="Fraunces"/>
          <w:b/>
          <w:i w:val="0"/>
          <w:color w:val="22307C"/>
          <w:sz w:val="32"/>
        </w:rPr>
        <w:t xml:space="preserve"> ⚠️ WORDING TO VERIFY</w:t>
      </w:r>
    </w:p>
    <w:p>
      <w:r>
        <w:rPr>
          <w:rFonts w:ascii="Inter" w:hAnsi="Inter" w:cs="Inter"/>
          <w:b/>
          <w:i w:val="0"/>
          <w:color w:val="1C1E2E"/>
          <w:sz w:val="22"/>
        </w:rPr>
        <w:t>Distinction held:</w:t>
      </w:r>
      <w:r>
        <w:rPr>
          <w:rFonts w:ascii="Inter" w:hAnsi="Inter" w:cs="Inter"/>
          <w:b w:val="0"/>
          <w:i w:val="0"/>
          <w:color w:val="1C1E2E"/>
          <w:sz w:val="22"/>
        </w:rPr>
        <w:t xml:space="preserve"> </w:t>
      </w:r>
      <w:r>
        <w:rPr>
          <w:rFonts w:ascii="Inter" w:hAnsi="Inter" w:cs="Inter"/>
          <w:b/>
          <w:i w:val="0"/>
          <w:color w:val="1C1E2E"/>
          <w:sz w:val="22"/>
        </w:rPr>
        <w:t>2 *Matrículas de Honor</w:t>
      </w:r>
      <w:r>
        <w:rPr>
          <w:rFonts w:ascii="Inter" w:hAnsi="Inter" w:cs="Inter"/>
          <w:b w:val="0"/>
          <w:i w:val="0"/>
          <w:color w:val="1C1E2E"/>
          <w:sz w:val="22"/>
        </w:rPr>
        <w:t>* in the Master's Degree in Languages and Technology (UPV, 2026), on a 9.4/10 record.</w:t>
      </w:r>
    </w:p>
    <w:p>
      <w:pPr>
        <w:pBdr>
          <w:left w:val="single" w:sz="18" w:space="8" w:color="9A5B00"/>
        </w:pBdr>
        <w:spacing w:before="120" w:after="200"/>
        <w:ind w:left="317"/>
      </w:pPr>
      <w:r>
        <w:rPr>
          <w:rFonts w:ascii="Inter" w:hAnsi="Inter" w:cs="Inter"/>
          <w:b/>
          <w:i w:val="0"/>
          <w:color w:val="5B5F77"/>
          <w:sz w:val="21"/>
        </w:rPr>
        <w:t>Honest warning — this is where points are most easily lost.</w:t>
      </w:r>
      <w:r>
        <w:rPr>
          <w:rFonts w:ascii="Inter" w:hAnsi="Inter" w:cs="Inter"/>
          <w:b w:val="0"/>
          <w:i w:val="0"/>
          <w:color w:val="5B5F77"/>
          <w:sz w:val="21"/>
        </w:rPr>
        <w:t xml:space="preserve"> A </w:t>
      </w:r>
      <w:r>
        <w:rPr>
          <w:rFonts w:ascii="Inter" w:hAnsi="Inter" w:cs="Inter"/>
          <w:b w:val="0"/>
          <w:i/>
          <w:color w:val="5B5F77"/>
          <w:sz w:val="21"/>
        </w:rPr>
        <w:t>Matrícula de Honor</w:t>
      </w:r>
      <w:r>
        <w:rPr>
          <w:rFonts w:ascii="Inter" w:hAnsi="Inter" w:cs="Inter"/>
          <w:b w:val="0"/>
          <w:i w:val="0"/>
          <w:color w:val="5B5F77"/>
          <w:sz w:val="21"/>
        </w:rPr>
        <w:t xml:space="preserve"> and an </w:t>
      </w:r>
      <w:r>
        <w:rPr>
          <w:rFonts w:ascii="Inter" w:hAnsi="Inter" w:cs="Inter"/>
          <w:b w:val="0"/>
          <w:i/>
          <w:color w:val="5B5F77"/>
          <w:sz w:val="21"/>
        </w:rPr>
        <w:t>Extraordinary Master's Award</w:t>
      </w:r>
      <w:r>
        <w:rPr>
          <w:rFonts w:ascii="Inter" w:hAnsi="Inter" w:cs="Inter"/>
          <w:b w:val="0"/>
          <w:i w:val="0"/>
          <w:color w:val="5B5F77"/>
          <w:sz w:val="21"/>
        </w:rPr>
        <w:t xml:space="preserve"> are </w:t>
      </w:r>
      <w:r>
        <w:rPr>
          <w:rFonts w:ascii="Inter" w:hAnsi="Inter" w:cs="Inter"/>
          <w:b/>
          <w:i w:val="0"/>
          <w:color w:val="5B5F77"/>
          <w:sz w:val="21"/>
        </w:rPr>
        <w:t>different merits</w:t>
      </w:r>
      <w:r>
        <w:rPr>
          <w:rFonts w:ascii="Inter" w:hAnsi="Inter" w:cs="Inter"/>
          <w:b w:val="0"/>
          <w:i w:val="0"/>
          <w:color w:val="5B5F77"/>
          <w:sz w:val="21"/>
        </w:rPr>
        <w:t xml:space="preserve">: the former is a course-level grade, the latter a university resolution awarded to the best record of the cohort, usually published months after the academic year closes. Two scenarios: - </w:t>
      </w:r>
      <w:r>
        <w:rPr>
          <w:rFonts w:ascii="Inter" w:hAnsi="Inter" w:cs="Inter"/>
          <w:b/>
          <w:i w:val="0"/>
          <w:color w:val="5B5F77"/>
          <w:sz w:val="21"/>
        </w:rPr>
        <w:t>If UPV has already resolved the Extraordinary Award in your favour</w:t>
      </w:r>
      <w:r>
        <w:rPr>
          <w:rFonts w:ascii="Inter" w:hAnsi="Inter" w:cs="Inter"/>
          <w:b w:val="0"/>
          <w:i w:val="0"/>
          <w:color w:val="5B5F77"/>
          <w:sz w:val="21"/>
        </w:rPr>
        <w:t xml:space="preserve">, attach the resolution as </w:t>
      </w:r>
      <w:r>
        <w:rPr>
          <w:rFonts w:ascii="Inter" w:hAnsi="Inter" w:cs="Inter"/>
          <w:b/>
          <w:i w:val="0"/>
          <w:color w:val="5B5F77"/>
          <w:sz w:val="21"/>
        </w:rPr>
        <w:t>[DOC-08]</w:t>
      </w:r>
      <w:r>
        <w:rPr>
          <w:rFonts w:ascii="Inter" w:hAnsi="Inter" w:cs="Inter"/>
          <w:b w:val="0"/>
          <w:i w:val="0"/>
          <w:color w:val="5B5F77"/>
          <w:sz w:val="21"/>
        </w:rPr>
        <w:t xml:space="preserve"> and this item scores in full (5%). - </w:t>
      </w:r>
      <w:r>
        <w:rPr>
          <w:rFonts w:ascii="Inter" w:hAnsi="Inter" w:cs="Inter"/>
          <w:b/>
          <w:i w:val="0"/>
          <w:color w:val="5B5F77"/>
          <w:sz w:val="21"/>
        </w:rPr>
        <w:t>If it has not been resolved or was not awarded to you</w:t>
      </w:r>
      <w:r>
        <w:rPr>
          <w:rFonts w:ascii="Inter" w:hAnsi="Inter" w:cs="Inter"/>
          <w:b w:val="0"/>
          <w:i w:val="0"/>
          <w:color w:val="5B5F77"/>
          <w:sz w:val="21"/>
        </w:rPr>
        <w:t xml:space="preserve">, </w:t>
      </w:r>
      <w:r>
        <w:rPr>
          <w:rFonts w:ascii="Inter" w:hAnsi="Inter" w:cs="Inter"/>
          <w:b/>
          <w:i w:val="0"/>
          <w:color w:val="5B5F77"/>
          <w:sz w:val="21"/>
        </w:rPr>
        <w:t>do not declare it as an award</w:t>
      </w:r>
      <w:r>
        <w:rPr>
          <w:rFonts w:ascii="Inter" w:hAnsi="Inter" w:cs="Inter"/>
          <w:b w:val="0"/>
          <w:i w:val="0"/>
          <w:color w:val="5B5F77"/>
          <w:sz w:val="21"/>
        </w:rPr>
        <w:t xml:space="preserve">: declare the </w:t>
      </w:r>
      <w:r>
        <w:rPr>
          <w:rFonts w:ascii="Inter" w:hAnsi="Inter" w:cs="Inter"/>
          <w:b/>
          <w:i w:val="0"/>
          <w:color w:val="5B5F77"/>
          <w:sz w:val="21"/>
        </w:rPr>
        <w:t>2 Matrículas de Honor</w:t>
      </w:r>
      <w:r>
        <w:rPr>
          <w:rFonts w:ascii="Inter" w:hAnsi="Inter" w:cs="Inter"/>
          <w:b w:val="0"/>
          <w:i w:val="0"/>
          <w:color w:val="5B5F77"/>
          <w:sz w:val="21"/>
        </w:rPr>
        <w:t xml:space="preserve"> and the 9.4/10 record as the master's academic distinction. Declaring an unresolved award can void the merit and signals imprecision to the committee. </w:t>
      </w:r>
      <w:r>
        <w:rPr>
          <w:rFonts w:ascii="Inter" w:hAnsi="Inter" w:cs="Inter"/>
          <w:b/>
          <w:i w:val="0"/>
          <w:color w:val="5B5F77"/>
          <w:sz w:val="21"/>
        </w:rPr>
        <w:t>Action:</w:t>
      </w:r>
      <w:r>
        <w:rPr>
          <w:rFonts w:ascii="Inter" w:hAnsi="Inter" w:cs="Inter"/>
          <w:b w:val="0"/>
          <w:i w:val="0"/>
          <w:color w:val="5B5F77"/>
          <w:sz w:val="21"/>
        </w:rPr>
        <w:t xml:space="preserve"> check the status of the Extraordinary Master's Award for your cohort with the UPV registrar / department before finalising the CV.</w:t>
      </w:r>
    </w:p>
    <w:p>
      <w:r>
        <w:rPr>
          <w:rFonts w:ascii="Inter" w:hAnsi="Inter" w:cs="Inter"/>
          <w:b/>
          <w:i w:val="0"/>
          <w:color w:val="1C1E2E"/>
          <w:sz w:val="22"/>
        </w:rPr>
        <w:t>Evidence:</w:t>
      </w:r>
      <w:r>
        <w:rPr>
          <w:rFonts w:ascii="Inter" w:hAnsi="Inter" w:cs="Inter"/>
          <w:b w:val="0"/>
          <w:i w:val="0"/>
          <w:color w:val="1C1E2E"/>
          <w:sz w:val="22"/>
        </w:rPr>
        <w:t xml:space="preserve"> academic transcript showing the 2 MH (included in </w:t>
      </w:r>
      <w:r>
        <w:rPr>
          <w:rFonts w:ascii="Inter" w:hAnsi="Inter" w:cs="Inter"/>
          <w:b/>
          <w:i w:val="0"/>
          <w:color w:val="1C1E2E"/>
          <w:sz w:val="22"/>
        </w:rPr>
        <w:t>[DOC-01]</w:t>
      </w:r>
      <w:r>
        <w:rPr>
          <w:rFonts w:ascii="Inter" w:hAnsi="Inter" w:cs="Inter"/>
          <w:b w:val="0"/>
          <w:i w:val="0"/>
          <w:color w:val="1C1E2E"/>
          <w:sz w:val="22"/>
        </w:rPr>
        <w:t xml:space="preserve">) · award resolution, if applicable </w:t>
      </w:r>
      <w:r>
        <w:rPr>
          <w:rFonts w:ascii="Inter" w:hAnsi="Inter" w:cs="Inter"/>
          <w:b/>
          <w:i w:val="0"/>
          <w:color w:val="1C1E2E"/>
          <w:sz w:val="22"/>
        </w:rPr>
        <w:t>[DOC-08]</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A second master's degree — </w:t>
      </w:r>
      <w:r>
        <w:rPr>
          <w:rFonts w:ascii="Fraunces" w:hAnsi="Fraunces" w:cs="Fraunces"/>
          <w:b/>
          <w:i w:val="0"/>
          <w:color w:val="22307C"/>
          <w:sz w:val="32"/>
        </w:rPr>
        <w:t>5 %</w:t>
      </w:r>
      <w:r>
        <w:rPr>
          <w:rFonts w:ascii="Fraunces" w:hAnsi="Fraunces" w:cs="Fraunces"/>
          <w:b/>
          <w:i w:val="0"/>
          <w:color w:val="22307C"/>
          <w:sz w:val="32"/>
        </w:rPr>
        <w:t xml:space="preserve"> ❌ NOT HELD AT PRESENT</w:t>
      </w:r>
    </w:p>
    <w:p>
      <w:r>
        <w:rPr>
          <w:rFonts w:ascii="Inter" w:hAnsi="Inter" w:cs="Inter"/>
          <w:b w:val="0"/>
          <w:i w:val="0"/>
          <w:color w:val="1C1E2E"/>
          <w:sz w:val="22"/>
        </w:rPr>
        <w:t>As of this application, no second official master's degree is held besides the Master's in Languages and Technology (UPV).</w:t>
      </w:r>
    </w:p>
    <w:p>
      <w:r>
        <w:rPr>
          <w:rFonts w:ascii="Inter" w:hAnsi="Inter" w:cs="Inter"/>
          <w:b/>
          <w:i w:val="0"/>
          <w:color w:val="1C1E2E"/>
          <w:sz w:val="22"/>
        </w:rPr>
        <w:t>What can be offered as complementary postgraduate training</w:t>
      </w:r>
      <w:r>
        <w:rPr>
          <w:rFonts w:ascii="Inter" w:hAnsi="Inter" w:cs="Inter"/>
          <w:b w:val="0"/>
          <w:i w:val="0"/>
          <w:color w:val="1C1E2E"/>
          <w:sz w:val="22"/>
        </w:rPr>
        <w:t xml:space="preserve"> (it does not score in this item, but strengthens the file as a whole and is declared in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January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March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 2024 (valid to December 2034).</w:t>
      </w:r>
    </w:p>
    <w:p>
      <w:pPr>
        <w:pStyle w:val="ListBullet"/>
        <w:spacing w:after="60"/>
        <w:ind w:left="403"/>
      </w:pPr>
      <w:r>
        <w:rPr>
          <w:rFonts w:ascii="Inter" w:hAnsi="Inter" w:cs="Inter"/>
          <w:b w:val="0"/>
          <w:i/>
          <w:color w:val="1C1E2E"/>
          <w:sz w:val="22"/>
        </w:rPr>
        <w:t>Digital Content Creation, Mobile Learning and Gamification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Strategic note.</w:t>
      </w:r>
      <w:r>
        <w:rPr>
          <w:rFonts w:ascii="Inter" w:hAnsi="Inter" w:cs="Inter"/>
          <w:b w:val="0"/>
          <w:i w:val="0"/>
          <w:color w:val="5B5F77"/>
          <w:sz w:val="21"/>
        </w:rPr>
        <w:t xml:space="preserve"> This is the only one of the six merits currently at zero. Leaving it honestly at zero is the right call: the committee values a coherent file, and the other five items are covered. Passing off specialist short courses as an official master's degree is not worth the risk.</w:t>
      </w:r>
    </w:p>
    <w:p>
      <w:pPr>
        <w:pBdr>
          <w:bottom w:val="single" w:sz="6" w:space="1" w:color="E6E8F2"/>
        </w:pBdr>
      </w:pPr>
    </w:p>
    <w:p>
      <w:pPr>
        <w:spacing w:before="320" w:after="120"/>
      </w:pPr>
      <w:r>
        <w:rPr>
          <w:rFonts w:ascii="Fraunces" w:hAnsi="Fraunces" w:cs="Fraunces"/>
          <w:b/>
          <w:i w:val="0"/>
          <w:color w:val="22307C"/>
          <w:sz w:val="32"/>
        </w:rPr>
        <w:t xml:space="preserve">B.4 · Knowledge of languages other than those of the previous degrees — </w:t>
      </w:r>
      <w:r>
        <w:rPr>
          <w:rFonts w:ascii="Fraunces" w:hAnsi="Fraunces" w:cs="Fraunces"/>
          <w:b/>
          <w:i w:val="0"/>
          <w:color w:val="22307C"/>
          <w:sz w:val="32"/>
        </w:rPr>
        <w:t>5 %</w:t>
      </w:r>
      <w:r>
        <w:rPr>
          <w:rFonts w:ascii="Fraunces" w:hAnsi="Fraunces" w:cs="Fraunces"/>
          <w:b/>
          <w:i w:val="0"/>
          <w:color w:val="22307C"/>
          <w:sz w:val="32"/>
        </w:rPr>
        <w:t xml:space="preserve"> ⚠️ INTERPRETATION</w:t>
      </w:r>
    </w:p>
    <w:p>
      <w:r>
        <w:rPr>
          <w:rFonts w:ascii="Inter" w:hAnsi="Inter" w:cs="Inter"/>
          <w:b/>
          <w:i w:val="0"/>
          <w:color w:val="1C1E2E"/>
          <w:sz w:val="22"/>
        </w:rPr>
        <w:t>Credentials supplied:</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Credential</w:t>
            </w:r>
          </w:p>
        </w:tc>
        <w:tc>
          <w:tcPr>
            <w:tcW w:type="dxa" w:w="3216"/>
            <w:shd w:val="clear" w:color="auto" w:fill="EEF2FD"/>
          </w:tcPr>
          <w:p>
            <w:pPr>
              <w:spacing w:after="40"/>
            </w:pPr>
            <w:r/>
            <w:r>
              <w:rPr>
                <w:rFonts w:ascii="Inter" w:hAnsi="Inter" w:cs="Inter"/>
                <w:b/>
                <w:i w:val="0"/>
                <w:color w:val="22307C"/>
                <w:sz w:val="19"/>
              </w:rPr>
              <w:t>Awarding body</w:t>
            </w:r>
          </w:p>
        </w:tc>
        <w:tc>
          <w:tcPr>
            <w:tcW w:type="dxa" w:w="3216"/>
            <w:shd w:val="clear" w:color="auto" w:fill="EEF2FD"/>
          </w:tcPr>
          <w:p>
            <w:pPr>
              <w:spacing w:after="40"/>
            </w:pPr>
            <w:r/>
            <w:r>
              <w:rPr>
                <w:rFonts w:ascii="Inter" w:hAnsi="Inter" w:cs="Inter"/>
                <w:b/>
                <w:i w:val="0"/>
                <w:color w:val="22307C"/>
                <w:sz w:val="19"/>
              </w:rPr>
              <w:t>Level / status</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official certificate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English teaching qualification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Accredited DELE examiner</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Current accreditation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Honest warning.</w:t>
      </w:r>
      <w:r>
        <w:rPr>
          <w:rFonts w:ascii="Inter" w:hAnsi="Inter" w:cs="Inter"/>
          <w:b w:val="0"/>
          <w:i w:val="0"/>
          <w:color w:val="5B5F77"/>
          <w:sz w:val="21"/>
        </w:rPr>
        <w:t xml:space="preserve"> The call scores languages </w:t>
      </w:r>
      <w:r>
        <w:rPr>
          <w:rFonts w:ascii="Inter" w:hAnsi="Inter" w:cs="Inter"/>
          <w:b/>
          <w:i w:val="0"/>
          <w:color w:val="5B5F77"/>
          <w:sz w:val="21"/>
        </w:rPr>
        <w:t>other than those of the previous degrees</w:t>
      </w:r>
      <w:r>
        <w:rPr>
          <w:rFonts w:ascii="Inter" w:hAnsi="Inter" w:cs="Inter"/>
          <w:b w:val="0"/>
          <w:i w:val="0"/>
          <w:color w:val="5B5F77"/>
          <w:sz w:val="21"/>
        </w:rPr>
        <w:t xml:space="preserve">. Since the undergraduate degree is an </w:t>
      </w:r>
      <w:r>
        <w:rPr>
          <w:rFonts w:ascii="Inter" w:hAnsi="Inter" w:cs="Inter"/>
          <w:b w:val="0"/>
          <w:i/>
          <w:color w:val="5B5F77"/>
          <w:sz w:val="21"/>
        </w:rPr>
        <w:t>English major</w:t>
      </w:r>
      <w:r>
        <w:rPr>
          <w:rFonts w:ascii="Inter" w:hAnsi="Inter" w:cs="Inter"/>
          <w:b w:val="0"/>
          <w:i w:val="0"/>
          <w:color w:val="5B5F77"/>
          <w:sz w:val="21"/>
        </w:rPr>
        <w:t xml:space="preserve"> and the master's is in </w:t>
      </w:r>
      <w:r>
        <w:rPr>
          <w:rFonts w:ascii="Inter" w:hAnsi="Inter" w:cs="Inter"/>
          <w:b w:val="0"/>
          <w:i/>
          <w:color w:val="5B5F77"/>
          <w:sz w:val="21"/>
        </w:rPr>
        <w:t>Languages and Technology</w:t>
      </w:r>
      <w:r>
        <w:rPr>
          <w:rFonts w:ascii="Inter" w:hAnsi="Inter" w:cs="Inter"/>
          <w:b w:val="0"/>
          <w:i w:val="0"/>
          <w:color w:val="5B5F77"/>
          <w:sz w:val="21"/>
        </w:rPr>
        <w:t xml:space="preserve">, the committee may consider English </w:t>
      </w:r>
      <w:r>
        <w:rPr>
          <w:rFonts w:ascii="Inter" w:hAnsi="Inter" w:cs="Inter"/>
          <w:b/>
          <w:i w:val="0"/>
          <w:color w:val="5B5F77"/>
          <w:sz w:val="21"/>
        </w:rPr>
        <w:t>already contained</w:t>
      </w:r>
      <w:r>
        <w:rPr>
          <w:rFonts w:ascii="Inter" w:hAnsi="Inter" w:cs="Inter"/>
          <w:b w:val="0"/>
          <w:i w:val="0"/>
          <w:color w:val="5B5F77"/>
          <w:sz w:val="21"/>
        </w:rPr>
        <w:t xml:space="preserve"> in the degrees and not count it here. Recommended strategy: 1. </w:t>
      </w:r>
      <w:r>
        <w:rPr>
          <w:rFonts w:ascii="Inter" w:hAnsi="Inter" w:cs="Inter"/>
          <w:b/>
          <w:i w:val="0"/>
          <w:color w:val="5B5F77"/>
          <w:sz w:val="21"/>
        </w:rPr>
        <w:t>Submit them anyway</w:t>
      </w:r>
      <w:r>
        <w:rPr>
          <w:rFonts w:ascii="Inter" w:hAnsi="Inter" w:cs="Inter"/>
          <w:b w:val="0"/>
          <w:i w:val="0"/>
          <w:color w:val="5B5F77"/>
          <w:sz w:val="21"/>
        </w:rPr>
        <w:t xml:space="preserve"> — the C1 Advanced, the CELTA and the DELE accreditation strengthen Block A and merit B.6 even if they do not score here. 2. </w:t>
      </w:r>
      <w:r>
        <w:rPr>
          <w:rFonts w:ascii="Inter" w:hAnsi="Inter" w:cs="Inter"/>
          <w:b/>
          <w:i w:val="0"/>
          <w:color w:val="5B5F77"/>
          <w:sz w:val="21"/>
        </w:rPr>
        <w:t>Argue</w:t>
      </w:r>
      <w:r>
        <w:rPr>
          <w:rFonts w:ascii="Inter" w:hAnsi="Inter" w:cs="Inter"/>
          <w:b w:val="0"/>
          <w:i w:val="0"/>
          <w:color w:val="5B5F77"/>
          <w:sz w:val="21"/>
        </w:rPr>
        <w:t xml:space="preserve"> in the application that the Instituto Cervantes DELE accreditation and the Cambridge CELTA are </w:t>
      </w:r>
      <w:r>
        <w:rPr>
          <w:rFonts w:ascii="Inter" w:hAnsi="Inter" w:cs="Inter"/>
          <w:b/>
          <w:i w:val="0"/>
          <w:color w:val="5B5F77"/>
          <w:sz w:val="21"/>
        </w:rPr>
        <w:t>external professional qualifications</w:t>
      </w:r>
      <w:r>
        <w:rPr>
          <w:rFonts w:ascii="Inter" w:hAnsi="Inter" w:cs="Inter"/>
          <w:b w:val="0"/>
          <w:i w:val="0"/>
          <w:color w:val="5B5F77"/>
          <w:sz w:val="21"/>
        </w:rPr>
        <w:t xml:space="preserve">, not competences derived from the degree syllabi. 3. </w:t>
      </w:r>
      <w:r>
        <w:rPr>
          <w:rFonts w:ascii="Inter" w:hAnsi="Inter" w:cs="Inter"/>
          <w:b/>
          <w:i w:val="0"/>
          <w:color w:val="5B5F77"/>
          <w:sz w:val="21"/>
        </w:rPr>
        <w:t>Genuine improvement route (recommended for the next call):</w:t>
      </w:r>
      <w:r>
        <w:rPr>
          <w:rFonts w:ascii="Inter" w:hAnsi="Inter" w:cs="Inter"/>
          <w:b w:val="0"/>
          <w:i w:val="0"/>
          <w:color w:val="5B5F77"/>
          <w:sz w:val="21"/>
        </w:rPr>
        <w:t xml:space="preserve"> obtain an official certificate in a </w:t>
      </w:r>
      <w:r>
        <w:rPr>
          <w:rFonts w:ascii="Inter" w:hAnsi="Inter" w:cs="Inter"/>
          <w:b/>
          <w:i w:val="0"/>
          <w:color w:val="5B5F77"/>
          <w:sz w:val="21"/>
        </w:rPr>
        <w:t>third language</w:t>
      </w:r>
      <w:r>
        <w:rPr>
          <w:rFonts w:ascii="Inter" w:hAnsi="Inter" w:cs="Inter"/>
          <w:b w:val="0"/>
          <w:i w:val="0"/>
          <w:color w:val="5B5F77"/>
          <w:sz w:val="21"/>
        </w:rPr>
        <w:t xml:space="preserve">. In the Valencian context the most cost-effective is </w:t>
      </w:r>
      <w:r>
        <w:rPr>
          <w:rFonts w:ascii="Inter" w:hAnsi="Inter" w:cs="Inter"/>
          <w:b/>
          <w:i w:val="0"/>
          <w:color w:val="5B5F77"/>
          <w:sz w:val="21"/>
        </w:rPr>
        <w:t>Valencian</w:t>
      </w:r>
      <w:r>
        <w:rPr>
          <w:rFonts w:ascii="Inter" w:hAnsi="Inter" w:cs="Inter"/>
          <w:b w:val="0"/>
          <w:i w:val="0"/>
          <w:color w:val="5B5F77"/>
          <w:sz w:val="21"/>
        </w:rPr>
        <w:t xml:space="preserve"> (JQCV / CIEACOVA, levels A2–B2, regular sittings, low cost), followed by </w:t>
      </w:r>
      <w:r>
        <w:rPr>
          <w:rFonts w:ascii="Inter" w:hAnsi="Inter" w:cs="Inter"/>
          <w:b/>
          <w:i w:val="0"/>
          <w:color w:val="5B5F77"/>
          <w:sz w:val="21"/>
        </w:rPr>
        <w:t>French</w:t>
      </w:r>
      <w:r>
        <w:rPr>
          <w:rFonts w:ascii="Inter" w:hAnsi="Inter" w:cs="Inter"/>
          <w:b w:val="0"/>
          <w:i w:val="0"/>
          <w:color w:val="5B5F77"/>
          <w:sz w:val="21"/>
        </w:rPr>
        <w:t xml:space="preserve"> or </w:t>
      </w:r>
      <w:r>
        <w:rPr>
          <w:rFonts w:ascii="Inter" w:hAnsi="Inter" w:cs="Inter"/>
          <w:b/>
          <w:i w:val="0"/>
          <w:color w:val="5B5F77"/>
          <w:sz w:val="21"/>
        </w:rPr>
        <w:t>Italian</w:t>
      </w:r>
      <w:r>
        <w:rPr>
          <w:rFonts w:ascii="Inter" w:hAnsi="Inter" w:cs="Inter"/>
          <w:b w:val="0"/>
          <w:i w:val="0"/>
          <w:color w:val="5B5F77"/>
          <w:sz w:val="21"/>
        </w:rPr>
        <w:t xml:space="preserve"> through the official language schools (EOI). A certified A2–B1 would be enough to activate this 5%.</w:t>
      </w:r>
    </w:p>
    <w:p>
      <w:r>
        <w:rPr>
          <w:rFonts w:ascii="Inter" w:hAnsi="Inter" w:cs="Inter"/>
          <w:b/>
          <w:i w:val="0"/>
          <w:color w:val="1C1E2E"/>
          <w:sz w:val="22"/>
        </w:rPr>
        <w:t>Action:</w:t>
      </w:r>
      <w:r>
        <w:rPr>
          <w:rFonts w:ascii="Inter" w:hAnsi="Inter" w:cs="Inter"/>
          <w:b w:val="0"/>
          <w:i w:val="0"/>
          <w:color w:val="1C1E2E"/>
          <w:sz w:val="22"/>
        </w:rPr>
        <w:t xml:space="preserve"> confirm with the committee, before the deadline, whether English counts in this item. If not, treat it like B.3.</w:t>
      </w:r>
    </w:p>
    <w:p>
      <w:pPr>
        <w:pBdr>
          <w:bottom w:val="single" w:sz="6" w:space="1" w:color="E6E8F2"/>
        </w:pBdr>
      </w:pPr>
    </w:p>
    <w:p>
      <w:pPr>
        <w:spacing w:before="320" w:after="120"/>
      </w:pPr>
      <w:r>
        <w:rPr>
          <w:rFonts w:ascii="Fraunces" w:hAnsi="Fraunces" w:cs="Fraunces"/>
          <w:b/>
          <w:i w:val="0"/>
          <w:color w:val="22307C"/>
          <w:sz w:val="32"/>
        </w:rPr>
        <w:t xml:space="preserve">B.5 · Scholarships and grants obtained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Two scholarships, one per degree — one merit-based, one awarded through a ministerial call:</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EEF2FD"/>
          </w:tcPr>
          <w:p>
            <w:pPr>
              <w:spacing w:after="40"/>
            </w:pPr>
            <w:r/>
            <w:r>
              <w:rPr>
                <w:rFonts w:ascii="Inter" w:hAnsi="Inter" w:cs="Inter"/>
                <w:b/>
                <w:i w:val="0"/>
                <w:color w:val="22307C"/>
                <w:sz w:val="19"/>
              </w:rPr>
              <w:t>#</w:t>
            </w:r>
          </w:p>
        </w:tc>
        <w:tc>
          <w:tcPr>
            <w:tcW w:type="dxa" w:w="1608"/>
            <w:shd w:val="clear" w:color="auto" w:fill="EEF2FD"/>
          </w:tcPr>
          <w:p>
            <w:pPr>
              <w:spacing w:after="40"/>
            </w:pPr>
            <w:r/>
            <w:r>
              <w:rPr>
                <w:rFonts w:ascii="Inter" w:hAnsi="Inter" w:cs="Inter"/>
                <w:b/>
                <w:i w:val="0"/>
                <w:color w:val="22307C"/>
                <w:sz w:val="19"/>
              </w:rPr>
              <w:t>Scholarship</w:t>
            </w:r>
          </w:p>
        </w:tc>
        <w:tc>
          <w:tcPr>
            <w:tcW w:type="dxa" w:w="1608"/>
            <w:shd w:val="clear" w:color="auto" w:fill="EEF2FD"/>
          </w:tcPr>
          <w:p>
            <w:pPr>
              <w:spacing w:after="40"/>
            </w:pPr>
            <w:r/>
            <w:r>
              <w:rPr>
                <w:rFonts w:ascii="Inter" w:hAnsi="Inter" w:cs="Inter"/>
                <w:b/>
                <w:i w:val="0"/>
                <w:color w:val="22307C"/>
                <w:sz w:val="19"/>
              </w:rPr>
              <w:t>Awarding body</w:t>
            </w:r>
          </w:p>
        </w:tc>
        <w:tc>
          <w:tcPr>
            <w:tcW w:type="dxa" w:w="1608"/>
            <w:shd w:val="clear" w:color="auto" w:fill="EEF2FD"/>
          </w:tcPr>
          <w:p>
            <w:pPr>
              <w:spacing w:after="40"/>
            </w:pPr>
            <w:r/>
            <w:r>
              <w:rPr>
                <w:rFonts w:ascii="Inter" w:hAnsi="Inter" w:cs="Inter"/>
                <w:b/>
                <w:i w:val="0"/>
                <w:color w:val="22307C"/>
                <w:sz w:val="19"/>
              </w:rPr>
              <w:t>Degree / period</w:t>
            </w:r>
          </w:p>
        </w:tc>
        <w:tc>
          <w:tcPr>
            <w:tcW w:type="dxa" w:w="1608"/>
            <w:shd w:val="clear" w:color="auto" w:fill="EEF2FD"/>
          </w:tcPr>
          <w:p>
            <w:pPr>
              <w:spacing w:after="40"/>
            </w:pPr>
            <w:r/>
            <w:r>
              <w:rPr>
                <w:rFonts w:ascii="Inter" w:hAnsi="Inter" w:cs="Inter"/>
                <w:b/>
                <w:i w:val="0"/>
                <w:color w:val="22307C"/>
                <w:sz w:val="19"/>
              </w:rPr>
              <w:t>Type</w:t>
            </w:r>
          </w:p>
        </w:tc>
        <w:tc>
          <w:tcPr>
            <w:tcW w:type="dxa" w:w="1608"/>
            <w:shd w:val="clear" w:color="auto" w:fill="EEF2FD"/>
          </w:tcPr>
          <w:p>
            <w:pPr>
              <w:spacing w:after="40"/>
            </w:pPr>
            <w:r/>
            <w:r>
              <w:rPr>
                <w:rFonts w:ascii="Inter" w:hAnsi="Inter" w:cs="Inter"/>
                <w:b/>
                <w:i w:val="0"/>
                <w:color w:val="22307C"/>
                <w:sz w:val="19"/>
              </w:rPr>
              <w:t>Document</w:t>
            </w:r>
          </w:p>
        </w:tc>
      </w:tr>
      <w:tr>
        <w:tc>
          <w:tcPr>
            <w:tcW w:type="dxa" w:w="1608"/>
          </w:tcPr>
          <w:p>
            <w:pPr>
              <w:spacing w:after="40"/>
            </w:pPr>
            <w:r/>
            <w:r>
              <w:rPr>
                <w:rFonts w:ascii="Inter" w:hAnsi="Inter" w:cs="Inter"/>
                <w:b w:val="0"/>
                <w:i w:val="0"/>
                <w:color w:val="1C1E2E"/>
                <w:sz w:val="19"/>
              </w:rPr>
              <w:t>1</w:t>
            </w:r>
          </w:p>
        </w:tc>
        <w:tc>
          <w:tcPr>
            <w:tcW w:type="dxa" w:w="1608"/>
          </w:tcPr>
          <w:p>
            <w:pPr>
              <w:spacing w:after="40"/>
            </w:pPr>
            <w:r/>
            <w:r>
              <w:rPr>
                <w:rFonts w:ascii="Inter" w:hAnsi="Inter" w:cs="Inter"/>
                <w:b/>
                <w:i w:val="0"/>
                <w:color w:val="1C1E2E"/>
                <w:sz w:val="19"/>
              </w:rPr>
              <w:t>Academic Excellence Scholarship</w:t>
            </w:r>
          </w:p>
        </w:tc>
        <w:tc>
          <w:tcPr>
            <w:tcW w:type="dxa" w:w="1608"/>
          </w:tcPr>
          <w:p>
            <w:pPr>
              <w:spacing w:after="40"/>
            </w:pPr>
            <w:r/>
            <w:r>
              <w:rPr>
                <w:rFonts w:ascii="Inter" w:hAnsi="Inter" w:cs="Inter"/>
                <w:b w:val="0"/>
                <w:i w:val="0"/>
                <w:color w:val="1C1E2E"/>
                <w:sz w:val="19"/>
              </w:rPr>
              <w:t>Universidad de Los Andes (ULA), Táchira, Venezuela</w:t>
            </w:r>
          </w:p>
        </w:tc>
        <w:tc>
          <w:tcPr>
            <w:tcW w:type="dxa" w:w="1608"/>
          </w:tcPr>
          <w:p>
            <w:pPr>
              <w:spacing w:after="40"/>
            </w:pPr>
            <w:r/>
            <w:r>
              <w:rPr>
                <w:rFonts w:ascii="Inter" w:hAnsi="Inter" w:cs="Inter"/>
                <w:b w:val="0"/>
                <w:i w:val="0"/>
                <w:color w:val="1C1E2E"/>
                <w:sz w:val="19"/>
              </w:rPr>
              <w:t xml:space="preserve">Degree in Education, English major · </w:t>
            </w:r>
            <w:r>
              <w:rPr>
                <w:rFonts w:ascii="Inter" w:hAnsi="Inter" w:cs="Inter"/>
                <w:b w:val="0"/>
                <w:i/>
                <w:color w:val="1C1E2E"/>
                <w:sz w:val="19"/>
              </w:rPr>
              <w:t>[year to complete]</w:t>
            </w:r>
          </w:p>
        </w:tc>
        <w:tc>
          <w:tcPr>
            <w:tcW w:type="dxa" w:w="1608"/>
          </w:tcPr>
          <w:p>
            <w:pPr>
              <w:spacing w:after="40"/>
            </w:pPr>
            <w:r/>
            <w:r>
              <w:rPr>
                <w:rFonts w:ascii="Inter" w:hAnsi="Inter" w:cs="Inter"/>
                <w:b/>
                <w:i w:val="0"/>
                <w:color w:val="1C1E2E"/>
                <w:sz w:val="19"/>
              </w:rPr>
              <w:t>Academic excellence</w:t>
            </w:r>
            <w:r>
              <w:rPr>
                <w:rFonts w:ascii="Inter" w:hAnsi="Inter" w:cs="Inter"/>
                <w:b w:val="0"/>
                <w:i w:val="0"/>
                <w:color w:val="1C1E2E"/>
                <w:sz w:val="19"/>
              </w:rPr>
              <w:t xml:space="preserve"> (awarded on performance, not on income)</w:t>
            </w:r>
          </w:p>
        </w:tc>
        <w:tc>
          <w:tcPr>
            <w:tcW w:type="dxa" w:w="1608"/>
          </w:tcPr>
          <w:p>
            <w:pPr>
              <w:spacing w:after="40"/>
            </w:pPr>
            <w:r/>
            <w:r>
              <w:rPr>
                <w:rFonts w:ascii="Inter" w:hAnsi="Inter" w:cs="Inter"/>
                <w:b/>
                <w:i w:val="0"/>
                <w:color w:val="1C1E2E"/>
                <w:sz w:val="19"/>
              </w:rPr>
              <w:t>[DOC-12]</w:t>
            </w:r>
          </w:p>
        </w:tc>
      </w:tr>
      <w:tr>
        <w:tc>
          <w:tcPr>
            <w:tcW w:type="dxa" w:w="1608"/>
          </w:tcPr>
          <w:p>
            <w:pPr>
              <w:spacing w:after="40"/>
            </w:pPr>
            <w:r/>
            <w:r>
              <w:rPr>
                <w:rFonts w:ascii="Inter" w:hAnsi="Inter" w:cs="Inter"/>
                <w:b w:val="0"/>
                <w:i w:val="0"/>
                <w:color w:val="1C1E2E"/>
                <w:sz w:val="19"/>
              </w:rPr>
              <w:t>2</w:t>
            </w:r>
          </w:p>
        </w:tc>
        <w:tc>
          <w:tcPr>
            <w:tcW w:type="dxa" w:w="1608"/>
          </w:tcPr>
          <w:p>
            <w:pPr>
              <w:spacing w:after="40"/>
            </w:pPr>
            <w:r/>
            <w:r>
              <w:rPr>
                <w:rFonts w:ascii="Inter" w:hAnsi="Inter" w:cs="Inter"/>
                <w:b/>
                <w:i w:val="0"/>
                <w:color w:val="1C1E2E"/>
                <w:sz w:val="19"/>
              </w:rPr>
              <w:t>Ministry scholarship</w:t>
            </w:r>
            <w:r>
              <w:rPr>
                <w:rFonts w:ascii="Inter" w:hAnsi="Inter" w:cs="Inter"/>
                <w:b w:val="0"/>
                <w:i w:val="0"/>
                <w:color w:val="1C1E2E"/>
                <w:sz w:val="19"/>
              </w:rPr>
              <w:t xml:space="preserve"> (general higher-education grant)</w:t>
            </w:r>
          </w:p>
        </w:tc>
        <w:tc>
          <w:tcPr>
            <w:tcW w:type="dxa" w:w="1608"/>
          </w:tcPr>
          <w:p>
            <w:pPr>
              <w:spacing w:after="40"/>
            </w:pPr>
            <w:r/>
            <w:r>
              <w:rPr>
                <w:rFonts w:ascii="Inter" w:hAnsi="Inter" w:cs="Inter"/>
                <w:b w:val="0"/>
                <w:i w:val="0"/>
                <w:color w:val="1C1E2E"/>
                <w:sz w:val="19"/>
              </w:rPr>
              <w:t xml:space="preserve">Ministry of Education </w:t>
            </w:r>
            <w:r>
              <w:rPr>
                <w:rFonts w:ascii="Inter" w:hAnsi="Inter" w:cs="Inter"/>
                <w:b w:val="0"/>
                <w:i/>
                <w:color w:val="1C1E2E"/>
                <w:sz w:val="19"/>
              </w:rPr>
              <w:t>[confirm the exact name of the call]</w:t>
            </w:r>
          </w:p>
        </w:tc>
        <w:tc>
          <w:tcPr>
            <w:tcW w:type="dxa" w:w="1608"/>
          </w:tcPr>
          <w:p>
            <w:pPr>
              <w:spacing w:after="40"/>
            </w:pPr>
            <w:r/>
            <w:r>
              <w:rPr>
                <w:rFonts w:ascii="Inter" w:hAnsi="Inter" w:cs="Inter"/>
                <w:b w:val="0"/>
                <w:i w:val="0"/>
                <w:color w:val="1C1E2E"/>
                <w:sz w:val="19"/>
              </w:rPr>
              <w:t xml:space="preserve">Master's in Languages and Technology, UPV · </w:t>
            </w:r>
            <w:r>
              <w:rPr>
                <w:rFonts w:ascii="Inter" w:hAnsi="Inter" w:cs="Inter"/>
                <w:b w:val="0"/>
                <w:i/>
                <w:color w:val="1C1E2E"/>
                <w:sz w:val="19"/>
              </w:rPr>
              <w:t>[year to complete]</w:t>
            </w:r>
          </w:p>
        </w:tc>
        <w:tc>
          <w:tcPr>
            <w:tcW w:type="dxa" w:w="1608"/>
          </w:tcPr>
          <w:p>
            <w:pPr>
              <w:spacing w:after="40"/>
            </w:pPr>
            <w:r/>
            <w:r>
              <w:rPr>
                <w:rFonts w:ascii="Inter" w:hAnsi="Inter" w:cs="Inter"/>
                <w:b w:val="0"/>
                <w:i w:val="0"/>
                <w:color w:val="1C1E2E"/>
                <w:sz w:val="19"/>
              </w:rPr>
              <w:t>General master's-level study grant</w:t>
            </w:r>
          </w:p>
        </w:tc>
        <w:tc>
          <w:tcPr>
            <w:tcW w:type="dxa" w:w="1608"/>
          </w:tcPr>
          <w:p>
            <w:pPr>
              <w:spacing w:after="40"/>
            </w:pPr>
            <w:r/>
            <w:r>
              <w:rPr>
                <w:rFonts w:ascii="Inter" w:hAnsi="Inter" w:cs="Inter"/>
                <w:b/>
                <w:i w:val="0"/>
                <w:color w:val="1C1E2E"/>
                <w:sz w:val="19"/>
              </w:rPr>
              <w:t>[DOC-13]</w:t>
            </w:r>
          </w:p>
        </w:tc>
      </w:tr>
    </w:tbl>
    <w:p/>
    <w:p>
      <w:r>
        <w:rPr>
          <w:rFonts w:ascii="Inter" w:hAnsi="Inter" w:cs="Inter"/>
          <w:b/>
          <w:i w:val="0"/>
          <w:color w:val="1C1E2E"/>
          <w:sz w:val="22"/>
        </w:rPr>
        <w:t>Why this merit reinforces Block A.</w:t>
      </w:r>
      <w:r>
        <w:rPr>
          <w:rFonts w:ascii="Inter" w:hAnsi="Inter" w:cs="Inter"/>
          <w:b w:val="0"/>
          <w:i w:val="0"/>
          <w:color w:val="1C1E2E"/>
          <w:sz w:val="22"/>
        </w:rPr>
        <w:t xml:space="preserve"> The </w:t>
      </w:r>
      <w:r>
        <w:rPr>
          <w:rFonts w:ascii="Inter" w:hAnsi="Inter" w:cs="Inter"/>
          <w:b/>
          <w:i w:val="0"/>
          <w:color w:val="1C1E2E"/>
          <w:sz w:val="22"/>
        </w:rPr>
        <w:t>academic excellence scholarship</w:t>
      </w:r>
      <w:r>
        <w:rPr>
          <w:rFonts w:ascii="Inter" w:hAnsi="Inter" w:cs="Inter"/>
          <w:b w:val="0"/>
          <w:i w:val="0"/>
          <w:color w:val="1C1E2E"/>
          <w:sz w:val="22"/>
        </w:rPr>
        <w:t xml:space="preserve"> is not need-based aid: it is awarded on performance, so it </w:t>
      </w:r>
      <w:r>
        <w:rPr>
          <w:rFonts w:ascii="Inter" w:hAnsi="Inter" w:cs="Inter"/>
          <w:b/>
          <w:i w:val="0"/>
          <w:color w:val="1C1E2E"/>
          <w:sz w:val="22"/>
        </w:rPr>
        <w:t>independently corroborates the very fact the undergraduate record states</w:t>
      </w:r>
      <w:r>
        <w:rPr>
          <w:rFonts w:ascii="Inter" w:hAnsi="Inter" w:cs="Inter"/>
          <w:b w:val="0"/>
          <w:i w:val="0"/>
          <w:color w:val="1C1E2E"/>
          <w:sz w:val="22"/>
        </w:rPr>
        <w:t xml:space="preserve"> (Summa Cum Laude, first in class). Say so explicitly in the application — it turns the 5% scholarship item into additional evidence for the 70% academic record.</w:t>
      </w:r>
    </w:p>
    <w:p>
      <w:pPr>
        <w:pBdr>
          <w:left w:val="single" w:sz="18" w:space="8" w:color="9A5B00"/>
        </w:pBdr>
        <w:spacing w:before="120" w:after="200"/>
        <w:ind w:left="317"/>
      </w:pPr>
      <w:r>
        <w:rPr>
          <w:rFonts w:ascii="Inter" w:hAnsi="Inter" w:cs="Inter"/>
          <w:b/>
          <w:i w:val="0"/>
          <w:color w:val="5B5F77"/>
          <w:sz w:val="21"/>
        </w:rPr>
        <w:t>Action before submission:</w:t>
      </w:r>
      <w:r>
        <w:rPr>
          <w:rFonts w:ascii="Inter" w:hAnsi="Inter" w:cs="Inter"/>
          <w:b w:val="0"/>
          <w:i w:val="0"/>
          <w:color w:val="5B5F77"/>
          <w:sz w:val="21"/>
        </w:rPr>
        <w:t xml:space="preserve"> - Locate the </w:t>
      </w:r>
      <w:r>
        <w:rPr>
          <w:rFonts w:ascii="Inter" w:hAnsi="Inter" w:cs="Inter"/>
          <w:b/>
          <w:i w:val="0"/>
          <w:color w:val="5B5F77"/>
          <w:sz w:val="21"/>
        </w:rPr>
        <w:t>award letter or resolution</w:t>
      </w:r>
      <w:r>
        <w:rPr>
          <w:rFonts w:ascii="Inter" w:hAnsi="Inter" w:cs="Inter"/>
          <w:b w:val="0"/>
          <w:i w:val="0"/>
          <w:color w:val="5B5F77"/>
          <w:sz w:val="21"/>
        </w:rPr>
        <w:t xml:space="preserve"> for each scholarship (a payment receipt does not evidence the merit). - Complete the </w:t>
      </w:r>
      <w:r>
        <w:rPr>
          <w:rFonts w:ascii="Inter" w:hAnsi="Inter" w:cs="Inter"/>
          <w:b/>
          <w:i w:val="0"/>
          <w:color w:val="5B5F77"/>
          <w:sz w:val="21"/>
        </w:rPr>
        <w:t>academic year</w:t>
      </w:r>
      <w:r>
        <w:rPr>
          <w:rFonts w:ascii="Inter" w:hAnsi="Inter" w:cs="Inter"/>
          <w:b w:val="0"/>
          <w:i w:val="0"/>
          <w:color w:val="5B5F77"/>
          <w:sz w:val="21"/>
        </w:rPr>
        <w:t xml:space="preserve"> for each and the </w:t>
      </w:r>
      <w:r>
        <w:rPr>
          <w:rFonts w:ascii="Inter" w:hAnsi="Inter" w:cs="Inter"/>
          <w:b/>
          <w:i w:val="0"/>
          <w:color w:val="5B5F77"/>
          <w:sz w:val="21"/>
        </w:rPr>
        <w:t>exact official name</w:t>
      </w:r>
      <w:r>
        <w:rPr>
          <w:rFonts w:ascii="Inter" w:hAnsi="Inter" w:cs="Inter"/>
          <w:b w:val="0"/>
          <w:i w:val="0"/>
          <w:color w:val="5B5F77"/>
          <w:sz w:val="21"/>
        </w:rPr>
        <w:t xml:space="preserve"> of the ministerial call. - If the ULA resolution uses local Venezuelan terminology, attach a </w:t>
      </w:r>
      <w:r>
        <w:rPr>
          <w:rFonts w:ascii="Inter" w:hAnsi="Inter" w:cs="Inter"/>
          <w:b/>
          <w:i w:val="0"/>
          <w:color w:val="5B5F77"/>
          <w:sz w:val="21"/>
        </w:rPr>
        <w:t>short explanatory note</w:t>
      </w:r>
      <w:r>
        <w:rPr>
          <w:rFonts w:ascii="Inter" w:hAnsi="Inter" w:cs="Inter"/>
          <w:b w:val="0"/>
          <w:i w:val="0"/>
          <w:color w:val="5B5F77"/>
          <w:sz w:val="21"/>
        </w:rPr>
        <w:t xml:space="preserve"> confirming the competitive nature of the call.</w:t>
      </w:r>
    </w:p>
    <w:p>
      <w:pPr>
        <w:pBdr>
          <w:bottom w:val="single" w:sz="6" w:space="1" w:color="E6E8F2"/>
        </w:pBdr>
      </w:pPr>
    </w:p>
    <w:p>
      <w:pPr>
        <w:spacing w:before="320" w:after="120"/>
      </w:pPr>
      <w:r>
        <w:rPr>
          <w:rFonts w:ascii="Fraunces" w:hAnsi="Fraunces" w:cs="Fraunces"/>
          <w:b/>
          <w:i w:val="0"/>
          <w:color w:val="22307C"/>
          <w:sz w:val="32"/>
        </w:rPr>
        <w:t xml:space="preserve">B.6 · Professional experience in the field of the doctorate — </w:t>
      </w:r>
      <w:r>
        <w:rPr>
          <w:rFonts w:ascii="Fraunces" w:hAnsi="Fraunces" w:cs="Fraunces"/>
          <w:b/>
          <w:i w:val="0"/>
          <w:color w:val="22307C"/>
          <w:sz w:val="32"/>
        </w:rPr>
        <w:t>5 %</w:t>
      </w:r>
      <w:r>
        <w:rPr>
          <w:rFonts w:ascii="Fraunces" w:hAnsi="Fraunces" w:cs="Fraunces"/>
          <w:b/>
          <w:i w:val="0"/>
          <w:color w:val="22307C"/>
          <w:sz w:val="32"/>
        </w:rPr>
        <w:t xml:space="preserve"> ✅ EVIDENCED — STRONGEST MERIT</w:t>
      </w:r>
    </w:p>
    <w:p>
      <w:r>
        <w:rPr>
          <w:rFonts w:ascii="Inter" w:hAnsi="Inter" w:cs="Inter"/>
          <w:b/>
          <w:i w:val="0"/>
          <w:color w:val="1C1E2E"/>
          <w:sz w:val="22"/>
        </w:rPr>
        <w:t>More than 20 years of continuous experience in the exact field of the thesis, including 1,568 accredited university teaching hours:</w:t>
      </w:r>
      <w:r>
        <w:rPr>
          <w:rFonts w:ascii="Inter" w:hAnsi="Inter" w:cs="Inter"/>
          <w:b w:val="0"/>
          <w:i w:val="0"/>
          <w:color w:val="1C1E2E"/>
          <w:sz w:val="22"/>
        </w:rPr>
        <w:t xml:space="preserve"> CEFR-aligned language teaching, curriculum and instructional design, and educational technology for language learning.</w:t>
      </w:r>
    </w:p>
    <w:p>
      <w:pPr>
        <w:spacing w:before="240" w:after="120"/>
      </w:pPr>
      <w:r>
        <w:rPr>
          <w:rFonts w:ascii="Inter" w:hAnsi="Inter" w:cs="Inter"/>
          <w:b/>
          <w:i w:val="0"/>
          <w:color w:val="1C1E2E"/>
          <w:sz w:val="26"/>
        </w:rPr>
        <w:t>B.6.1 · University teaching and research</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accredited university teaching hours</w:t>
      </w:r>
      <w:r>
        <w:rPr>
          <w:rFonts w:ascii="Inter" w:hAnsi="Inter" w:cs="Inter"/>
          <w:b w:val="0"/>
          <w:i w:val="0"/>
          <w:color w:val="1C1E2E"/>
          <w:sz w:val="22"/>
        </w:rPr>
        <w:t xml:space="preserve"> (service certificate,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Taught scientific English within science degree programmes.</w:t>
      </w:r>
    </w:p>
    <w:p>
      <w:pPr>
        <w:pStyle w:val="ListBullet"/>
        <w:spacing w:after="60"/>
        <w:ind w:left="403"/>
      </w:pPr>
      <w:r>
        <w:rPr>
          <w:rFonts w:ascii="Inter" w:hAnsi="Inter" w:cs="Inter"/>
          <w:b w:val="0"/>
          <w:i w:val="0"/>
          <w:color w:val="1C1E2E"/>
          <w:sz w:val="22"/>
        </w:rPr>
        <w:t>Wrote and reviewed scientific content in English (dentistry, marine biology) for high-impact peer-reviewed journals.</w:t>
      </w:r>
    </w:p>
    <w:p>
      <w:pPr>
        <w:pStyle w:val="ListBullet"/>
        <w:spacing w:after="60"/>
        <w:ind w:left="403"/>
      </w:pPr>
      <w:r>
        <w:rPr>
          <w:rFonts w:ascii="Inter" w:hAnsi="Inter" w:cs="Inter"/>
          <w:b/>
          <w:i w:val="0"/>
          <w:color w:val="1C1E2E"/>
          <w:sz w:val="22"/>
        </w:rPr>
        <w:t>Named in the acknowledgements</w:t>
      </w:r>
      <w:r>
        <w:rPr>
          <w:rFonts w:ascii="Inter" w:hAnsi="Inter" w:cs="Inter"/>
          <w:b w:val="0"/>
          <w:i w:val="0"/>
          <w:color w:val="1C1E2E"/>
          <w:sz w:val="22"/>
        </w:rPr>
        <w:t xml:space="preserve"> of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for the manuscript's English and scientific content. </w:t>
      </w:r>
      <w:r>
        <w:rPr>
          <w:rFonts w:ascii="Inter" w:hAnsi="Inter" w:cs="Inter"/>
          <w:b/>
          <w:i w:val="0"/>
          <w:color w:val="1C1E2E"/>
          <w:sz w:val="22"/>
        </w:rPr>
        <w:t>[DOC-14]</w:t>
      </w:r>
    </w:p>
    <w:p>
      <w:pPr>
        <w:spacing w:before="240" w:after="120"/>
      </w:pPr>
      <w:r>
        <w:rPr>
          <w:rFonts w:ascii="Inter" w:hAnsi="Inter" w:cs="Inter"/>
          <w:b/>
          <w:i w:val="0"/>
          <w:color w:val="1C1E2E"/>
          <w:sz w:val="26"/>
        </w:rPr>
        <w:t>B.6.2 · Instructional design and eLearning architecture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October 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6-level gamified course in academic English B2→C1, </w:t>
      </w:r>
      <w:r>
        <w:rPr>
          <w:rFonts w:ascii="Inter" w:hAnsi="Inter" w:cs="Inter"/>
          <w:b/>
          <w:i w:val="0"/>
          <w:color w:val="1C1E2E"/>
          <w:sz w:val="22"/>
        </w:rPr>
        <w:t>rated 10/10 for inclusive design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Full module scripting and a professional High-Level Design Document (HDD).</w:t>
      </w:r>
    </w:p>
    <w:p>
      <w:pPr>
        <w:pStyle w:val="ListBullet"/>
        <w:spacing w:after="60"/>
        <w:ind w:left="403"/>
      </w:pPr>
      <w:r>
        <w:rPr>
          <w:rFonts w:ascii="Inter" w:hAnsi="Inter" w:cs="Inter"/>
          <w:b/>
          <w:i w:val="0"/>
          <w:color w:val="1C1E2E"/>
          <w:sz w:val="22"/>
        </w:rPr>
        <w:t>Documented human–AI governance model</w:t>
      </w:r>
      <w:r>
        <w:rPr>
          <w:rFonts w:ascii="Inter" w:hAnsi="Inter" w:cs="Inter"/>
          <w:b w:val="0"/>
          <w:i w:val="0"/>
          <w:color w:val="1C1E2E"/>
          <w:sz w:val="22"/>
        </w:rPr>
        <w:t xml:space="preserve"> for content and code generation — the direct antecedent of the thesis's </w:t>
      </w:r>
      <w:r>
        <w:rPr>
          <w:rFonts w:ascii="Inter" w:hAnsi="Inter" w:cs="Inter"/>
          <w:b w:val="0"/>
          <w:i/>
          <w:color w:val="1C1E2E"/>
          <w:sz w:val="22"/>
        </w:rPr>
        <w:t>AI literacy</w:t>
      </w:r>
      <w:r>
        <w:rPr>
          <w:rFonts w:ascii="Inter" w:hAnsi="Inter" w:cs="Inter"/>
          <w:b w:val="0"/>
          <w:i w:val="0"/>
          <w:color w:val="1C1E2E"/>
          <w:sz w:val="22"/>
        </w:rPr>
        <w:t xml:space="preserve"> component.</w:t>
      </w:r>
    </w:p>
    <w:p>
      <w:pPr>
        <w:pStyle w:val="ListBullet"/>
        <w:spacing w:after="60"/>
        <w:ind w:left="403"/>
      </w:pPr>
      <w:r>
        <w:rPr>
          <w:rFonts w:ascii="Inter" w:hAnsi="Inter" w:cs="Inter"/>
          <w:b w:val="0"/>
          <w:i w:val="0"/>
          <w:color w:val="1C1E2E"/>
          <w:sz w:val="22"/>
        </w:rPr>
        <w:t xml:space="preserve">Native accessibility layer (voice dictation, high contrast, audio read-back) compliant with </w:t>
      </w:r>
      <w:r>
        <w:rPr>
          <w:rFonts w:ascii="Inter" w:hAnsi="Inter" w:cs="Inter"/>
          <w:b/>
          <w:i w:val="0"/>
          <w:color w:val="1C1E2E"/>
          <w:sz w:val="22"/>
        </w:rPr>
        <w:t>WCAG</w:t>
      </w:r>
      <w:r>
        <w:rPr>
          <w:rFonts w:ascii="Inter" w:hAnsi="Inter" w:cs="Inter"/>
          <w:b w:val="0"/>
          <w:i w:val="0"/>
          <w:color w:val="1C1E2E"/>
          <w:sz w:val="22"/>
        </w:rPr>
        <w:t xml:space="preserve"> and the </w:t>
      </w:r>
      <w:r>
        <w:rPr>
          <w:rFonts w:ascii="Inter" w:hAnsi="Inter" w:cs="Inter"/>
          <w:b/>
          <w:i w:val="0"/>
          <w:color w:val="1C1E2E"/>
          <w:sz w:val="22"/>
        </w:rPr>
        <w:t>European Accessibility Act</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Migrated AWJ from Canva to </w:t>
      </w:r>
      <w:r>
        <w:rPr>
          <w:rFonts w:ascii="Inter" w:hAnsi="Inter" w:cs="Inter"/>
          <w:b/>
          <w:i w:val="0"/>
          <w:color w:val="1C1E2E"/>
          <w:sz w:val="22"/>
        </w:rPr>
        <w:t>Articulate 360 (Rise)</w:t>
      </w:r>
      <w:r>
        <w:rPr>
          <w:rFonts w:ascii="Inter" w:hAnsi="Inter" w:cs="Inter"/>
          <w:b w:val="0"/>
          <w:i w:val="0"/>
          <w:color w:val="1C1E2E"/>
          <w:sz w:val="22"/>
        </w:rPr>
        <w:t xml:space="preserve"> with </w:t>
      </w:r>
      <w:r>
        <w:rPr>
          <w:rFonts w:ascii="Inter" w:hAnsi="Inter" w:cs="Inter"/>
          <w:b/>
          <w:i w:val="0"/>
          <w:color w:val="1C1E2E"/>
          <w:sz w:val="22"/>
        </w:rPr>
        <w:t>SCORM / xAPI</w:t>
      </w:r>
      <w:r>
        <w:rPr>
          <w:rFonts w:ascii="Inter" w:hAnsi="Inter" w:cs="Inter"/>
          <w:b w:val="0"/>
          <w:i w:val="0"/>
          <w:color w:val="1C1E2E"/>
          <w:sz w:val="22"/>
        </w:rPr>
        <w:t xml:space="preserve"> packaging — technical competence directly reusable in the thesis's measurement module.</w:t>
      </w:r>
    </w:p>
    <w:p>
      <w:pPr>
        <w:spacing w:before="240" w:after="120"/>
      </w:pPr>
      <w:r>
        <w:rPr>
          <w:rFonts w:ascii="Inter" w:hAnsi="Inter" w:cs="Inter"/>
          <w:b/>
          <w:i w:val="0"/>
          <w:color w:val="1C1E2E"/>
          <w:sz w:val="26"/>
        </w:rPr>
        <w:t>B.6.3 · Own venture and LMS administration</w:t>
      </w:r>
    </w:p>
    <w:p>
      <w:r>
        <w:rPr>
          <w:rFonts w:ascii="Inter" w:hAnsi="Inter" w:cs="Inter"/>
          <w:b/>
          <w:i w:val="0"/>
          <w:color w:val="1C1E2E"/>
          <w:sz w:val="22"/>
        </w:rPr>
        <w:t>Founder &amp; eLearning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Chamilo (LMS) administrator since 2019</w:t>
      </w:r>
      <w:r>
        <w:rPr>
          <w:rFonts w:ascii="Inter" w:hAnsi="Inter" w:cs="Inter"/>
          <w:b w:val="0"/>
          <w:i w:val="0"/>
          <w:color w:val="1C1E2E"/>
          <w:sz w:val="22"/>
        </w:rPr>
        <w:t xml:space="preserve">; gamified content on </w:t>
      </w:r>
      <w:r>
        <w:rPr>
          <w:rFonts w:ascii="Inter" w:hAnsi="Inter" w:cs="Inter"/>
          <w:b/>
          <w:i w:val="0"/>
          <w:color w:val="1C1E2E"/>
          <w:sz w:val="22"/>
        </w:rPr>
        <w:t>Moodle, Canvas LMS and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Audiobook production in </w:t>
      </w:r>
      <w:r>
        <w:rPr>
          <w:rFonts w:ascii="Inter" w:hAnsi="Inter" w:cs="Inter"/>
          <w:b/>
          <w:i w:val="0"/>
          <w:color w:val="1C1E2E"/>
          <w:sz w:val="22"/>
        </w:rPr>
        <w:t>Adobe Podcast</w:t>
      </w:r>
      <w:r>
        <w:rPr>
          <w:rFonts w:ascii="Inter" w:hAnsi="Inter" w:cs="Inter"/>
          <w:b w:val="0"/>
          <w:i w:val="0"/>
          <w:color w:val="1C1E2E"/>
          <w:sz w:val="22"/>
        </w:rPr>
        <w:t xml:space="preserve"> (scripting, editing, publishing).</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EdTech product evaluation site (mobile responsiveness and technology): https://profeanaeslava.my.canva.site/tkcoachreview</w:t>
      </w:r>
    </w:p>
    <w:p>
      <w:pPr>
        <w:spacing w:before="240" w:after="120"/>
      </w:pPr>
      <w:r>
        <w:rPr>
          <w:rFonts w:ascii="Inter" w:hAnsi="Inter" w:cs="Inter"/>
          <w:b/>
          <w:i w:val="0"/>
          <w:color w:val="1C1E2E"/>
          <w:sz w:val="26"/>
        </w:rPr>
        <w:t>B.6.4 · CEFR-aligned language teaching</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July 2004 – present</w:t>
      </w:r>
    </w:p>
    <w:p>
      <w:pPr>
        <w:pStyle w:val="ListBullet"/>
        <w:spacing w:after="60"/>
        <w:ind w:left="403"/>
      </w:pPr>
      <w:r>
        <w:rPr>
          <w:rFonts w:ascii="Inter" w:hAnsi="Inter" w:cs="Inter"/>
          <w:b w:val="0"/>
          <w:i w:val="0"/>
          <w:color w:val="1C1E2E"/>
          <w:sz w:val="22"/>
        </w:rPr>
        <w:t>20+ years teaching English and Spanish to adults, in person and online.</w:t>
      </w:r>
    </w:p>
    <w:p>
      <w:pPr>
        <w:pStyle w:val="ListBullet"/>
        <w:spacing w:after="60"/>
        <w:ind w:left="403"/>
      </w:pPr>
      <w:r>
        <w:rPr>
          <w:rFonts w:ascii="Inter" w:hAnsi="Inter" w:cs="Inter"/>
          <w:b/>
          <w:i w:val="0"/>
          <w:color w:val="1C1E2E"/>
          <w:sz w:val="22"/>
        </w:rPr>
        <w:t>Tutor on AVE Global</w:t>
      </w:r>
      <w:r>
        <w:rPr>
          <w:rFonts w:ascii="Inter" w:hAnsi="Inter" w:cs="Inter"/>
          <w:b w:val="0"/>
          <w:i w:val="0"/>
          <w:color w:val="1C1E2E"/>
          <w:sz w:val="22"/>
        </w:rPr>
        <w:t xml:space="preserve"> (Instituto Cervantes online Spanish classroom / LMS).</w:t>
      </w:r>
    </w:p>
    <w:p>
      <w:pPr>
        <w:pStyle w:val="ListBullet"/>
        <w:spacing w:after="60"/>
        <w:ind w:left="403"/>
      </w:pPr>
      <w:r>
        <w:rPr>
          <w:rFonts w:ascii="Inter" w:hAnsi="Inter" w:cs="Inter"/>
          <w:b/>
          <w:i w:val="0"/>
          <w:color w:val="1C1E2E"/>
          <w:sz w:val="22"/>
        </w:rPr>
        <w:t>CEFR-aligned learning paths and rubrics</w:t>
      </w:r>
      <w:r>
        <w:rPr>
          <w:rFonts w:ascii="Inter" w:hAnsi="Inter" w:cs="Inter"/>
          <w:b w:val="0"/>
          <w:i w:val="0"/>
          <w:color w:val="1C1E2E"/>
          <w:sz w:val="22"/>
        </w:rPr>
        <w:t xml:space="preserve">; </w:t>
      </w:r>
      <w:r>
        <w:rPr>
          <w:rFonts w:ascii="Inter" w:hAnsi="Inter" w:cs="Inter"/>
          <w:b/>
          <w:i w:val="0"/>
          <w:color w:val="1C1E2E"/>
          <w:sz w:val="22"/>
        </w:rPr>
        <w:t>Cambridge (B2 First, C1 Advanced)</w:t>
      </w:r>
      <w:r>
        <w:rPr>
          <w:rFonts w:ascii="Inter" w:hAnsi="Inter" w:cs="Inter"/>
          <w:b w:val="0"/>
          <w:i w:val="0"/>
          <w:color w:val="1C1E2E"/>
          <w:sz w:val="22"/>
        </w:rPr>
        <w:t xml:space="preserve"> and </w:t>
      </w:r>
      <w:r>
        <w:rPr>
          <w:rFonts w:ascii="Inter" w:hAnsi="Inter" w:cs="Inter"/>
          <w:b/>
          <w:i w:val="0"/>
          <w:color w:val="1C1E2E"/>
          <w:sz w:val="22"/>
        </w:rPr>
        <w:t>DELE</w:t>
      </w:r>
      <w:r>
        <w:rPr>
          <w:rFonts w:ascii="Inter" w:hAnsi="Inter" w:cs="Inter"/>
          <w:b w:val="0"/>
          <w:i w:val="0"/>
          <w:color w:val="1C1E2E"/>
          <w:sz w:val="22"/>
        </w:rPr>
        <w:t xml:space="preserve"> exam preparation.</w:t>
      </w:r>
    </w:p>
    <w:p>
      <w:r>
        <w:rPr>
          <w:rFonts w:ascii="Inter" w:hAnsi="Inter" w:cs="Inter"/>
          <w:b/>
          <w:i w:val="0"/>
          <w:color w:val="1C1E2E"/>
          <w:sz w:val="22"/>
        </w:rPr>
        <w:t>Evidence:</w:t>
      </w:r>
      <w:r>
        <w:rPr>
          <w:rFonts w:ascii="Inter" w:hAnsi="Inter" w:cs="Inter"/>
          <w:b w:val="0"/>
          <w:i w:val="0"/>
          <w:color w:val="1C1E2E"/>
          <w:sz w:val="22"/>
        </w:rPr>
        <w:t xml:space="preserve"> UDO service certificates </w:t>
      </w:r>
      <w:r>
        <w:rPr>
          <w:rFonts w:ascii="Inter" w:hAnsi="Inter" w:cs="Inter"/>
          <w:b/>
          <w:i w:val="0"/>
          <w:color w:val="1C1E2E"/>
          <w:sz w:val="22"/>
        </w:rPr>
        <w:t>[DOC-16]</w:t>
      </w:r>
      <w:r>
        <w:rPr>
          <w:rFonts w:ascii="Inter" w:hAnsi="Inter" w:cs="Inter"/>
          <w:b w:val="0"/>
          <w:i w:val="0"/>
          <w:color w:val="1C1E2E"/>
          <w:sz w:val="22"/>
        </w:rPr>
        <w:t xml:space="preserve"> · Spanish employment history / self-employment certificate </w:t>
      </w:r>
      <w:r>
        <w:rPr>
          <w:rFonts w:ascii="Inter" w:hAnsi="Inter" w:cs="Inter"/>
          <w:b/>
          <w:i w:val="0"/>
          <w:color w:val="1C1E2E"/>
          <w:sz w:val="22"/>
        </w:rPr>
        <w:t>[DOC-17]</w:t>
      </w:r>
      <w:r>
        <w:rPr>
          <w:rFonts w:ascii="Inter" w:hAnsi="Inter" w:cs="Inter"/>
          <w:b w:val="0"/>
          <w:i w:val="0"/>
          <w:color w:val="1C1E2E"/>
          <w:sz w:val="22"/>
        </w:rPr>
        <w:t xml:space="preserve"> · AVE Global tutoring accreditation </w:t>
      </w:r>
      <w:r>
        <w:rPr>
          <w:rFonts w:ascii="Inter" w:hAnsi="Inter" w:cs="Inter"/>
          <w:b/>
          <w:i w:val="0"/>
          <w:color w:val="1C1E2E"/>
          <w:sz w:val="22"/>
        </w:rPr>
        <w:t>[DOC-18]</w:t>
      </w:r>
      <w:r>
        <w:rPr>
          <w:rFonts w:ascii="Inter" w:hAnsi="Inter" w:cs="Inter"/>
          <w:b w:val="0"/>
          <w:i w:val="0"/>
          <w:color w:val="1C1E2E"/>
          <w:sz w:val="22"/>
        </w:rPr>
        <w:t xml:space="preserve"> · online portfolio (link in §0).</w:t>
      </w:r>
    </w:p>
    <w:p>
      <w:pPr>
        <w:pBdr>
          <w:left w:val="single" w:sz="18" w:space="8" w:color="9A5B00"/>
        </w:pBdr>
        <w:spacing w:before="120" w:after="200"/>
        <w:ind w:left="317"/>
      </w:pPr>
      <w:r>
        <w:rPr>
          <w:rFonts w:ascii="Inter" w:hAnsi="Inter" w:cs="Inter"/>
          <w:b/>
          <w:i w:val="0"/>
          <w:color w:val="5B5F77"/>
          <w:sz w:val="21"/>
        </w:rPr>
        <w:t>Fit with the thesis.</w:t>
      </w:r>
      <w:r>
        <w:rPr>
          <w:rFonts w:ascii="Inter" w:hAnsi="Inter" w:cs="Inter"/>
          <w:b w:val="0"/>
          <w:i w:val="0"/>
          <w:color w:val="5B5F77"/>
          <w:sz w:val="21"/>
        </w:rPr>
        <w:t xml:space="preserve"> The four experience blocks map one-to-one onto the components of the MLLDE proposal: CEFR teaching → CEFR anchoring; instructional design → the MLLDE method; human–AI governance → AI literacy; SCORM/xAPI and LMS administration → the measurement module and learning-data architecture.</w:t>
      </w:r>
    </w:p>
    <w:p>
      <w:pPr>
        <w:pBdr>
          <w:bottom w:val="single" w:sz="6" w:space="1" w:color="E6E8F2"/>
        </w:pBdr>
      </w:pPr>
    </w:p>
    <w:p>
      <w:pPr>
        <w:spacing w:before="320" w:after="120"/>
      </w:pPr>
      <w:r>
        <w:rPr>
          <w:rFonts w:ascii="Fraunces" w:hAnsi="Fraunces" w:cs="Fraunces"/>
          <w:b/>
          <w:i w:val="0"/>
          <w:color w:val="22307C"/>
          <w:sz w:val="32"/>
        </w:rPr>
        <w:t>RUBRIC SUMMARY — SELF-ASSESSMENT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Item</w:t>
            </w:r>
          </w:p>
        </w:tc>
        <w:tc>
          <w:tcPr>
            <w:tcW w:type="dxa" w:w="2412"/>
            <w:shd w:val="clear" w:color="auto" w:fill="EEF2FD"/>
          </w:tcPr>
          <w:p>
            <w:pPr>
              <w:spacing w:after="40"/>
            </w:pPr>
            <w:r/>
            <w:r>
              <w:rPr>
                <w:rFonts w:ascii="Inter" w:hAnsi="Inter" w:cs="Inter"/>
                <w:b/>
                <w:i w:val="0"/>
                <w:color w:val="22307C"/>
                <w:sz w:val="19"/>
              </w:rPr>
              <w:t>Weight</w:t>
            </w:r>
          </w:p>
        </w:tc>
        <w:tc>
          <w:tcPr>
            <w:tcW w:type="dxa" w:w="2412"/>
            <w:shd w:val="clear" w:color="auto" w:fill="EEF2FD"/>
          </w:tcPr>
          <w:p>
            <w:pPr>
              <w:spacing w:after="40"/>
            </w:pPr>
            <w:r/>
            <w:r>
              <w:rPr>
                <w:rFonts w:ascii="Inter" w:hAnsi="Inter" w:cs="Inter"/>
                <w:b/>
                <w:i w:val="0"/>
                <w:color w:val="22307C"/>
                <w:sz w:val="19"/>
              </w:rPr>
              <w:t>Status</w:t>
            </w:r>
          </w:p>
        </w:tc>
        <w:tc>
          <w:tcPr>
            <w:tcW w:type="dxa" w:w="2412"/>
            <w:shd w:val="clear" w:color="auto" w:fill="EEF2FD"/>
          </w:tcPr>
          <w:p>
            <w:pPr>
              <w:spacing w:after="40"/>
            </w:pPr>
            <w:r/>
            <w:r>
              <w:rPr>
                <w:rFonts w:ascii="Inter" w:hAnsi="Inter" w:cs="Inter"/>
                <w:b/>
                <w:i w:val="0"/>
                <w:color w:val="22307C"/>
                <w:sz w:val="19"/>
              </w:rPr>
              <w:t>Main evidence</w:t>
            </w:r>
          </w:p>
        </w:tc>
      </w:tr>
      <w:tr>
        <w:tc>
          <w:tcPr>
            <w:tcW w:type="dxa" w:w="2412"/>
          </w:tcPr>
          <w:p>
            <w:pPr>
              <w:spacing w:after="40"/>
            </w:pPr>
            <w:r/>
            <w:r>
              <w:rPr>
                <w:rFonts w:ascii="Inter" w:hAnsi="Inter" w:cs="Inter"/>
                <w:b/>
                <w:i w:val="0"/>
                <w:color w:val="1C1E2E"/>
                <w:sz w:val="19"/>
              </w:rPr>
              <w:t>Academic record</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UPV master's 9.4/10 with 2 MH · Undergraduate Summa Cum Laude, first in class</w:t>
            </w:r>
          </w:p>
        </w:tc>
      </w:tr>
      <w:tr>
        <w:tc>
          <w:tcPr>
            <w:tcW w:type="dxa" w:w="2412"/>
          </w:tcPr>
          <w:p>
            <w:pPr>
              <w:spacing w:after="40"/>
            </w:pPr>
            <w:r/>
            <w:r>
              <w:rPr>
                <w:rFonts w:ascii="Inter" w:hAnsi="Inter" w:cs="Inter"/>
                <w:b w:val="0"/>
                <w:i w:val="0"/>
                <w:color w:val="1C1E2E"/>
                <w:sz w:val="19"/>
              </w:rPr>
              <w:t>B.1 Extraordinary undergraduate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Extraordinary Graduation Award (ULA, 2004)</w:t>
            </w:r>
          </w:p>
        </w:tc>
      </w:tr>
      <w:tr>
        <w:tc>
          <w:tcPr>
            <w:tcW w:type="dxa" w:w="2412"/>
          </w:tcPr>
          <w:p>
            <w:pPr>
              <w:spacing w:after="40"/>
            </w:pPr>
            <w:r/>
            <w:r>
              <w:rPr>
                <w:rFonts w:ascii="Inter" w:hAnsi="Inter" w:cs="Inter"/>
                <w:b w:val="0"/>
                <w:i w:val="0"/>
                <w:color w:val="1C1E2E"/>
                <w:sz w:val="19"/>
              </w:rPr>
              <w:t>B.2 Extraordinary master's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2 Matrículas de Honor (UPV) — verify award resolution</w:t>
            </w:r>
          </w:p>
        </w:tc>
      </w:tr>
      <w:tr>
        <w:tc>
          <w:tcPr>
            <w:tcW w:type="dxa" w:w="2412"/>
          </w:tcPr>
          <w:p>
            <w:pPr>
              <w:spacing w:after="40"/>
            </w:pPr>
            <w:r/>
            <w:r>
              <w:rPr>
                <w:rFonts w:ascii="Inter" w:hAnsi="Inter" w:cs="Inter"/>
                <w:b w:val="0"/>
                <w:i w:val="0"/>
                <w:color w:val="1C1E2E"/>
                <w:sz w:val="19"/>
              </w:rPr>
              <w:t>B.3 Second master's degree</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w:t>
            </w:r>
          </w:p>
        </w:tc>
      </w:tr>
      <w:tr>
        <w:tc>
          <w:tcPr>
            <w:tcW w:type="dxa" w:w="2412"/>
          </w:tcPr>
          <w:p>
            <w:pPr>
              <w:spacing w:after="40"/>
            </w:pPr>
            <w:r/>
            <w:r>
              <w:rPr>
                <w:rFonts w:ascii="Inter" w:hAnsi="Inter" w:cs="Inter"/>
                <w:b w:val="0"/>
                <w:i w:val="0"/>
                <w:color w:val="1C1E2E"/>
                <w:sz w:val="19"/>
              </w:rPr>
              <w:t>B.4 Languages beyond the degrees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DELE examiner — verify eligibility</w:t>
            </w:r>
          </w:p>
        </w:tc>
      </w:tr>
      <w:tr>
        <w:tc>
          <w:tcPr>
            <w:tcW w:type="dxa" w:w="2412"/>
          </w:tcPr>
          <w:p>
            <w:pPr>
              <w:spacing w:after="40"/>
            </w:pPr>
            <w:r/>
            <w:r>
              <w:rPr>
                <w:rFonts w:ascii="Inter" w:hAnsi="Inter" w:cs="Inter"/>
                <w:b w:val="0"/>
                <w:i w:val="0"/>
                <w:color w:val="1C1E2E"/>
                <w:sz w:val="19"/>
              </w:rPr>
              <w:t>B.5 Scholarships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Academic excellence scholarship (undergraduate)</w:t>
            </w:r>
            <w:r>
              <w:rPr>
                <w:rFonts w:ascii="Inter" w:hAnsi="Inter" w:cs="Inter"/>
                <w:b w:val="0"/>
                <w:i w:val="0"/>
                <w:color w:val="1C1E2E"/>
                <w:sz w:val="19"/>
              </w:rPr>
              <w:t xml:space="preserve"> · </w:t>
            </w:r>
            <w:r>
              <w:rPr>
                <w:rFonts w:ascii="Inter" w:hAnsi="Inter" w:cs="Inter"/>
                <w:b/>
                <w:i w:val="0"/>
                <w:color w:val="1C1E2E"/>
                <w:sz w:val="19"/>
              </w:rPr>
              <w:t>Ministry scholarship (master's)</w:t>
            </w:r>
          </w:p>
        </w:tc>
      </w:tr>
      <w:tr>
        <w:tc>
          <w:tcPr>
            <w:tcW w:type="dxa" w:w="2412"/>
          </w:tcPr>
          <w:p>
            <w:pPr>
              <w:spacing w:after="40"/>
            </w:pPr>
            <w:r/>
            <w:r>
              <w:rPr>
                <w:rFonts w:ascii="Inter" w:hAnsi="Inter" w:cs="Inter"/>
                <w:b w:val="0"/>
                <w:i w:val="0"/>
                <w:color w:val="1C1E2E"/>
                <w:sz w:val="19"/>
              </w:rPr>
              <w:t>B.6 Professional experience in the field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accredited university teaching hours</w:t>
            </w:r>
            <w:r>
              <w:rPr>
                <w:rFonts w:ascii="Inter" w:hAnsi="Inter" w:cs="Inter"/>
                <w:b w:val="0"/>
                <w:i w:val="0"/>
                <w:color w:val="1C1E2E"/>
                <w:sz w:val="19"/>
              </w:rPr>
              <w:t xml:space="preserve"> · 20+ years · ID 2019–present</w:t>
            </w:r>
          </w:p>
        </w:tc>
      </w:tr>
    </w:tbl>
    <w:p/>
    <w:p>
      <w:r>
        <w:rPr>
          <w:rFonts w:ascii="Inter" w:hAnsi="Inter" w:cs="Inter"/>
          <w:b/>
          <w:i w:val="0"/>
          <w:color w:val="1C1E2E"/>
          <w:sz w:val="22"/>
        </w:rPr>
        <w:t>Reading:</w:t>
      </w:r>
      <w:r>
        <w:rPr>
          <w:rFonts w:ascii="Inter" w:hAnsi="Inter" w:cs="Inter"/>
          <w:b w:val="0"/>
          <w:i w:val="0"/>
          <w:color w:val="1C1E2E"/>
          <w:sz w:val="22"/>
        </w:rPr>
        <w:t xml:space="preserve"> four of the six merits are covered or coverable with existing documentation; two need prior verification (B.2 and B.4) and one does not apply (B.3). The decisive weight — the 70% academic record — sits in the upper band.</w:t>
      </w:r>
    </w:p>
    <w:p>
      <w:pPr>
        <w:pBdr>
          <w:bottom w:val="single" w:sz="6" w:space="1" w:color="E6E8F2"/>
        </w:pBdr>
      </w:pPr>
    </w:p>
    <w:p>
      <w:pPr>
        <w:spacing w:before="320" w:after="120"/>
      </w:pPr>
      <w:r>
        <w:rPr>
          <w:rFonts w:ascii="Fraunces" w:hAnsi="Fraunces" w:cs="Fraunces"/>
          <w:b/>
          <w:i w:val="0"/>
          <w:color w:val="22307C"/>
          <w:sz w:val="42"/>
        </w:rPr>
        <w:t>5. Research output and dissemination</w:t>
      </w:r>
    </w:p>
    <w:p>
      <w:r>
        <w:rPr>
          <w:rFonts w:ascii="Inter" w:hAnsi="Inter" w:cs="Inter"/>
          <w:b/>
          <w:i w:val="0"/>
          <w:color w:val="1C1E2E"/>
          <w:sz w:val="22"/>
        </w:rPr>
        <w:t>Indexed-journal publication (derived from the Summa Cum Laude dissertation)</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ISSN 1690-6054. Indexed in CLASE (UNAM). https://hdl.handle.net/20.500.14330/CLA01000260594</w:t>
      </w:r>
    </w:p>
    <w:p>
      <w:r>
        <w:rPr>
          <w:rFonts w:ascii="Inter" w:hAnsi="Inter" w:cs="Inter"/>
          <w:b/>
          <w:i w:val="0"/>
          <w:color w:val="1C1E2E"/>
          <w:sz w:val="22"/>
        </w:rPr>
        <w:t>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w:t>
      </w:r>
    </w:p>
    <w:p>
      <w:r>
        <w:rPr>
          <w:rFonts w:ascii="Inter" w:hAnsi="Inter" w:cs="Inter"/>
          <w:b/>
          <w:i w:val="0"/>
          <w:color w:val="1C1E2E"/>
          <w:sz w:val="22"/>
        </w:rPr>
        <w:t>Professional dissemination</w:t>
      </w:r>
    </w:p>
    <w:p>
      <w:pPr>
        <w:pStyle w:val="ListBullet"/>
        <w:spacing w:after="60"/>
        <w:ind w:left="403"/>
      </w:pPr>
      <w:r>
        <w:rPr>
          <w:rFonts w:ascii="Inter" w:hAnsi="Inter" w:cs="Inter"/>
          <w:b w:val="0"/>
          <w:i w:val="0"/>
          <w:color w:val="1C1E2E"/>
          <w:sz w:val="22"/>
        </w:rPr>
        <w:t>Six-area EdTech portfolio (video, gamification, course design, interactive tools, virtual training, research).</w:t>
      </w:r>
    </w:p>
    <w:p>
      <w:pPr>
        <w:pStyle w:val="ListBullet"/>
        <w:spacing w:after="60"/>
        <w:ind w:left="403"/>
      </w:pPr>
      <w:r>
        <w:rPr>
          <w:rFonts w:ascii="Inter" w:hAnsi="Inter" w:cs="Inter"/>
          <w:b w:val="0"/>
          <w:i w:val="0"/>
          <w:color w:val="1C1E2E"/>
          <w:sz w:val="22"/>
        </w:rPr>
        <w:t>Interactive corpus data book on metadiscourse (research-results visualisation in applied linguistics), published in the research portfolio.</w:t>
      </w:r>
    </w:p>
    <w:p>
      <w:pPr>
        <w:pStyle w:val="ListBullet"/>
        <w:spacing w:after="60"/>
        <w:ind w:left="403"/>
      </w:pPr>
      <w:r>
        <w:rPr>
          <w:rFonts w:ascii="Inter" w:hAnsi="Inter" w:cs="Inter"/>
          <w:b w:val="0"/>
          <w:i w:val="0"/>
          <w:color w:val="1C1E2E"/>
          <w:sz w:val="22"/>
        </w:rPr>
        <w:t>Professional podcast on Spotify and a YouTube channel on learning design and academic writing.</w:t>
      </w:r>
    </w:p>
    <w:p>
      <w:r>
        <w:rPr>
          <w:rFonts w:ascii="Inter" w:hAnsi="Inter" w:cs="Inter"/>
          <w:b/>
          <w:i w:val="0"/>
          <w:color w:val="1C1E2E"/>
          <w:sz w:val="22"/>
        </w:rPr>
        <w:t>Evidence:</w:t>
      </w:r>
      <w:r>
        <w:rPr>
          <w:rFonts w:ascii="Inter" w:hAnsi="Inter" w:cs="Inter"/>
          <w:b w:val="0"/>
          <w:i w:val="0"/>
          <w:color w:val="1C1E2E"/>
          <w:sz w:val="22"/>
        </w:rPr>
        <w:t xml:space="preserve"> first and last page of the publication </w:t>
      </w:r>
      <w:r>
        <w:rPr>
          <w:rFonts w:ascii="Inter" w:hAnsi="Inter" w:cs="Inter"/>
          <w:b/>
          <w:i w:val="0"/>
          <w:color w:val="1C1E2E"/>
          <w:sz w:val="22"/>
        </w:rPr>
        <w:t>[DOC-19]</w:t>
      </w:r>
      <w:r>
        <w:rPr>
          <w:rFonts w:ascii="Inter" w:hAnsi="Inter" w:cs="Inter"/>
          <w:b w:val="0"/>
          <w:i w:val="0"/>
          <w:color w:val="1C1E2E"/>
          <w:sz w:val="22"/>
        </w:rPr>
        <w:t xml:space="preserve"> · acknowledgements page of Sotelo-Casas et al. (2019) </w:t>
      </w:r>
      <w:r>
        <w:rPr>
          <w:rFonts w:ascii="Inter" w:hAnsi="Inter" w:cs="Inter"/>
          <w:b/>
          <w:i w:val="0"/>
          <w:color w:val="1C1E2E"/>
          <w:sz w:val="22"/>
        </w:rPr>
        <w:t>[DOC-14]</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42"/>
        </w:rPr>
        <w:t>6. Complementary training and certifications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Certification</w:t>
            </w:r>
          </w:p>
        </w:tc>
        <w:tc>
          <w:tcPr>
            <w:tcW w:type="dxa" w:w="2412"/>
            <w:shd w:val="clear" w:color="auto" w:fill="EEF2FD"/>
          </w:tcPr>
          <w:p>
            <w:pPr>
              <w:spacing w:after="40"/>
            </w:pPr>
            <w:r/>
            <w:r>
              <w:rPr>
                <w:rFonts w:ascii="Inter" w:hAnsi="Inter" w:cs="Inter"/>
                <w:b/>
                <w:i w:val="0"/>
                <w:color w:val="22307C"/>
                <w:sz w:val="19"/>
              </w:rPr>
              <w:t>Body</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Jan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(valid to Dec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Digital Content Creation, Mobile Learning and Gamification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Languages, skills and tools</w:t>
      </w:r>
    </w:p>
    <w:p>
      <w:r>
        <w:rPr>
          <w:rFonts w:ascii="Inter" w:hAnsi="Inter" w:cs="Inter"/>
          <w:b/>
          <w:i w:val="0"/>
          <w:color w:val="1C1E2E"/>
          <w:sz w:val="22"/>
        </w:rPr>
        <w:t>Languages:</w:t>
      </w:r>
      <w:r>
        <w:rPr>
          <w:rFonts w:ascii="Inter" w:hAnsi="Inter" w:cs="Inter"/>
          <w:b w:val="0"/>
          <w:i w:val="0"/>
          <w:color w:val="1C1E2E"/>
          <w:sz w:val="22"/>
        </w:rPr>
        <w:t xml:space="preserve"> Spanish (native) · English </w:t>
      </w:r>
      <w:r>
        <w:rPr>
          <w:rFonts w:ascii="Inter" w:hAnsi="Inter" w:cs="Inter"/>
          <w:b/>
          <w:i w:val="0"/>
          <w:color w:val="1C1E2E"/>
          <w:sz w:val="22"/>
        </w:rPr>
        <w:t>C1</w:t>
      </w:r>
      <w:r>
        <w:rPr>
          <w:rFonts w:ascii="Inter" w:hAnsi="Inter" w:cs="Inter"/>
          <w:b w:val="0"/>
          <w:i w:val="0"/>
          <w:color w:val="1C1E2E"/>
          <w:sz w:val="22"/>
        </w:rPr>
        <w:t xml:space="preserve"> (Cambridge C1 Advanced / CAE) — professional and scientific writing in both.</w:t>
      </w:r>
    </w:p>
    <w:p>
      <w:r>
        <w:rPr>
          <w:rFonts w:ascii="Inter" w:hAnsi="Inter" w:cs="Inter"/>
          <w:b/>
          <w:i w:val="0"/>
          <w:color w:val="1C1E2E"/>
          <w:sz w:val="22"/>
        </w:rPr>
        <w:t>Skills &amp; tools (keyword line):</w:t>
      </w:r>
      <w:r>
        <w:rPr>
          <w:rFonts w:ascii="Inter" w:hAnsi="Inter" w:cs="Inter"/>
          <w:b w:val="0"/>
          <w:i w:val="0"/>
          <w:color w:val="1C1E2E"/>
          <w:sz w:val="22"/>
        </w:rPr>
        <w:t xml:space="preserve"> educational content design, instructional design, eLearning, online training, content adaptation, draft review, scripting, content writing, didactic narrative, audio production, gamification, microlearning, curriculum design, competency-based assessment, accessibility (UDL/WCAG), ADDIE, SAM, scientific writing, 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ANNEX — Index of supporting documents</w:t>
      </w:r>
    </w:p>
    <w:p>
      <w:pPr>
        <w:pBdr>
          <w:left w:val="single" w:sz="18" w:space="8" w:color="9A5B00"/>
        </w:pBdr>
        <w:spacing w:before="120" w:after="200"/>
        <w:ind w:left="317"/>
      </w:pPr>
      <w:r>
        <w:rPr>
          <w:rFonts w:ascii="Inter" w:hAnsi="Inter" w:cs="Inter"/>
          <w:b w:val="0"/>
          <w:i w:val="0"/>
          <w:color w:val="5B5F77"/>
          <w:sz w:val="21"/>
        </w:rPr>
        <w:t xml:space="preserve">Submit a single PDF with the documents </w:t>
      </w:r>
      <w:r>
        <w:rPr>
          <w:rFonts w:ascii="Inter" w:hAnsi="Inter" w:cs="Inter"/>
          <w:b/>
          <w:i w:val="0"/>
          <w:color w:val="5B5F77"/>
          <w:sz w:val="21"/>
        </w:rPr>
        <w:t>in this order</w:t>
      </w:r>
      <w:r>
        <w:rPr>
          <w:rFonts w:ascii="Inter" w:hAnsi="Inter" w:cs="Inter"/>
          <w:b w:val="0"/>
          <w:i w:val="0"/>
          <w:color w:val="5B5F77"/>
          <w:sz w:val="21"/>
        </w:rPr>
        <w:t>, opening with a cover page that reproduces this table. The committee must be able to go from merit to document in one jump.</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Code</w:t>
            </w:r>
          </w:p>
        </w:tc>
        <w:tc>
          <w:tcPr>
            <w:tcW w:type="dxa" w:w="3216"/>
            <w:shd w:val="clear" w:color="auto" w:fill="EEF2FD"/>
          </w:tcPr>
          <w:p>
            <w:pPr>
              <w:spacing w:after="40"/>
            </w:pPr>
            <w:r/>
            <w:r>
              <w:rPr>
                <w:rFonts w:ascii="Inter" w:hAnsi="Inter" w:cs="Inter"/>
                <w:b/>
                <w:i w:val="0"/>
                <w:color w:val="22307C"/>
                <w:sz w:val="19"/>
              </w:rPr>
              <w:t>Document</w:t>
            </w:r>
          </w:p>
        </w:tc>
        <w:tc>
          <w:tcPr>
            <w:tcW w:type="dxa" w:w="3216"/>
            <w:shd w:val="clear" w:color="auto" w:fill="EEF2FD"/>
          </w:tcPr>
          <w:p>
            <w:pPr>
              <w:spacing w:after="40"/>
            </w:pPr>
            <w:r/>
            <w:r>
              <w:rPr>
                <w:rFonts w:ascii="Inter" w:hAnsi="Inter" w:cs="Inter"/>
                <w:b/>
                <w:i w:val="0"/>
                <w:color w:val="22307C"/>
                <w:sz w:val="19"/>
              </w:rPr>
              <w:t>Supports</w:t>
            </w:r>
          </w:p>
        </w:tc>
      </w:tr>
      <w:tr>
        <w:tc>
          <w:tcPr>
            <w:tcW w:type="dxa" w:w="3216"/>
          </w:tcPr>
          <w:p>
            <w:pPr>
              <w:spacing w:after="40"/>
            </w:pPr>
            <w:r/>
            <w:r>
              <w:rPr>
                <w:rFonts w:ascii="Inter" w:hAnsi="Inter" w:cs="Inter"/>
                <w:b w:val="0"/>
                <w:i w:val="0"/>
                <w:color w:val="1C1E2E"/>
                <w:sz w:val="19"/>
              </w:rPr>
              <w:t>DOC-01</w:t>
            </w:r>
          </w:p>
        </w:tc>
        <w:tc>
          <w:tcPr>
            <w:tcW w:type="dxa" w:w="3216"/>
          </w:tcPr>
          <w:p>
            <w:pPr>
              <w:spacing w:after="40"/>
            </w:pPr>
            <w:r/>
            <w:r>
              <w:rPr>
                <w:rFonts w:ascii="Inter" w:hAnsi="Inter" w:cs="Inter"/>
                <w:b w:val="0"/>
                <w:i w:val="0"/>
                <w:color w:val="1C1E2E"/>
                <w:sz w:val="19"/>
              </w:rPr>
              <w:t>UPV academic transcript (GPA 9.4/10 + 2 MH)</w:t>
            </w:r>
          </w:p>
        </w:tc>
        <w:tc>
          <w:tcPr>
            <w:tcW w:type="dxa" w:w="3216"/>
          </w:tcPr>
          <w:p>
            <w:pPr>
              <w:spacing w:after="40"/>
            </w:pPr>
            <w:r/>
            <w:r>
              <w:rPr>
                <w:rFonts w:ascii="Inter" w:hAnsi="Inter" w:cs="Inter"/>
                <w:b w:val="0"/>
                <w:i w:val="0"/>
                <w:color w:val="1C1E2E"/>
                <w:sz w:val="19"/>
              </w:rPr>
              <w:t>A.1 · B.2</w:t>
            </w:r>
          </w:p>
        </w:tc>
      </w:tr>
      <w:tr>
        <w:tc>
          <w:tcPr>
            <w:tcW w:type="dxa" w:w="3216"/>
          </w:tcPr>
          <w:p>
            <w:pPr>
              <w:spacing w:after="40"/>
            </w:pPr>
            <w:r/>
            <w:r>
              <w:rPr>
                <w:rFonts w:ascii="Inter" w:hAnsi="Inter" w:cs="Inter"/>
                <w:b w:val="0"/>
                <w:i w:val="0"/>
                <w:color w:val="1C1E2E"/>
                <w:sz w:val="19"/>
              </w:rPr>
              <w:t>DOC-02</w:t>
            </w:r>
          </w:p>
        </w:tc>
        <w:tc>
          <w:tcPr>
            <w:tcW w:type="dxa" w:w="3216"/>
          </w:tcPr>
          <w:p>
            <w:pPr>
              <w:spacing w:after="40"/>
            </w:pPr>
            <w:r/>
            <w:r>
              <w:rPr>
                <w:rFonts w:ascii="Inter" w:hAnsi="Inter" w:cs="Inter"/>
                <w:b w:val="0"/>
                <w:i w:val="0"/>
                <w:color w:val="1C1E2E"/>
                <w:sz w:val="19"/>
              </w:rPr>
              <w:t>Master's degree certificate (UPV)</w:t>
            </w:r>
          </w:p>
        </w:tc>
        <w:tc>
          <w:tcPr>
            <w:tcW w:type="dxa" w:w="3216"/>
          </w:tcPr>
          <w:p>
            <w:pPr>
              <w:spacing w:after="40"/>
            </w:pPr>
            <w:r/>
            <w:r>
              <w:rPr>
                <w:rFonts w:ascii="Inter" w:hAnsi="Inter" w:cs="Inter"/>
                <w:b w:val="0"/>
                <w:i w:val="0"/>
                <w:color w:val="1C1E2E"/>
                <w:sz w:val="19"/>
              </w:rPr>
              <w:t>A.1</w:t>
            </w:r>
          </w:p>
        </w:tc>
      </w:tr>
      <w:tr>
        <w:tc>
          <w:tcPr>
            <w:tcW w:type="dxa" w:w="3216"/>
          </w:tcPr>
          <w:p>
            <w:pPr>
              <w:spacing w:after="40"/>
            </w:pPr>
            <w:r/>
            <w:r>
              <w:rPr>
                <w:rFonts w:ascii="Inter" w:hAnsi="Inter" w:cs="Inter"/>
                <w:b w:val="0"/>
                <w:i w:val="0"/>
                <w:color w:val="1C1E2E"/>
                <w:sz w:val="19"/>
              </w:rPr>
              <w:t>DOC-03</w:t>
            </w:r>
          </w:p>
        </w:tc>
        <w:tc>
          <w:tcPr>
            <w:tcW w:type="dxa" w:w="3216"/>
          </w:tcPr>
          <w:p>
            <w:pPr>
              <w:spacing w:after="40"/>
            </w:pPr>
            <w:r/>
            <w:r>
              <w:rPr>
                <w:rFonts w:ascii="Inter" w:hAnsi="Inter" w:cs="Inter"/>
                <w:b w:val="0"/>
                <w:i w:val="0"/>
                <w:color w:val="1C1E2E"/>
                <w:sz w:val="19"/>
              </w:rPr>
              <w:t>ULA academic transcript with GPA</w:t>
            </w:r>
          </w:p>
        </w:tc>
        <w:tc>
          <w:tcPr>
            <w:tcW w:type="dxa" w:w="3216"/>
          </w:tcPr>
          <w:p>
            <w:pPr>
              <w:spacing w:after="40"/>
            </w:pPr>
            <w:r/>
            <w:r>
              <w:rPr>
                <w:rFonts w:ascii="Inter" w:hAnsi="Inter" w:cs="Inter"/>
                <w:b w:val="0"/>
                <w:i w:val="0"/>
                <w:color w:val="1C1E2E"/>
                <w:sz w:val="19"/>
              </w:rPr>
              <w:t>A.2</w:t>
            </w:r>
          </w:p>
        </w:tc>
      </w:tr>
      <w:tr>
        <w:tc>
          <w:tcPr>
            <w:tcW w:type="dxa" w:w="3216"/>
          </w:tcPr>
          <w:p>
            <w:pPr>
              <w:spacing w:after="40"/>
            </w:pPr>
            <w:r/>
            <w:r>
              <w:rPr>
                <w:rFonts w:ascii="Inter" w:hAnsi="Inter" w:cs="Inter"/>
                <w:b w:val="0"/>
                <w:i w:val="0"/>
                <w:color w:val="1C1E2E"/>
                <w:sz w:val="19"/>
              </w:rPr>
              <w:t>DOC-04</w:t>
            </w:r>
          </w:p>
        </w:tc>
        <w:tc>
          <w:tcPr>
            <w:tcW w:type="dxa" w:w="3216"/>
          </w:tcPr>
          <w:p>
            <w:pPr>
              <w:spacing w:after="40"/>
            </w:pPr>
            <w:r/>
            <w:r>
              <w:rPr>
                <w:rFonts w:ascii="Inter" w:hAnsi="Inter" w:cs="Inter"/>
                <w:b w:val="0"/>
                <w:i w:val="0"/>
                <w:color w:val="1C1E2E"/>
                <w:sz w:val="19"/>
              </w:rPr>
              <w:t>Undergraduate degree certificate (ULA)</w:t>
            </w:r>
          </w:p>
        </w:tc>
        <w:tc>
          <w:tcPr>
            <w:tcW w:type="dxa" w:w="3216"/>
          </w:tcPr>
          <w:p>
            <w:pPr>
              <w:spacing w:after="40"/>
            </w:pPr>
            <w:r/>
            <w:r>
              <w:rPr>
                <w:rFonts w:ascii="Inter" w:hAnsi="Inter" w:cs="Inter"/>
                <w:b w:val="0"/>
                <w:i w:val="0"/>
                <w:color w:val="1C1E2E"/>
                <w:sz w:val="19"/>
              </w:rPr>
              <w:t>A.2</w:t>
            </w:r>
          </w:p>
        </w:tc>
      </w:tr>
      <w:tr>
        <w:tc>
          <w:tcPr>
            <w:tcW w:type="dxa" w:w="3216"/>
          </w:tcPr>
          <w:p>
            <w:pPr>
              <w:spacing w:after="40"/>
            </w:pPr>
            <w:r/>
            <w:r>
              <w:rPr>
                <w:rFonts w:ascii="Inter" w:hAnsi="Inter" w:cs="Inter"/>
                <w:b w:val="0"/>
                <w:i w:val="0"/>
                <w:color w:val="1C1E2E"/>
                <w:sz w:val="19"/>
              </w:rPr>
              <w:t>DOC-05</w:t>
            </w:r>
          </w:p>
        </w:tc>
        <w:tc>
          <w:tcPr>
            <w:tcW w:type="dxa" w:w="3216"/>
          </w:tcPr>
          <w:p>
            <w:pPr>
              <w:spacing w:after="40"/>
            </w:pPr>
            <w:r/>
            <w:r>
              <w:rPr>
                <w:rFonts w:ascii="Inter" w:hAnsi="Inter" w:cs="Inter"/>
                <w:b w:val="0"/>
                <w:i w:val="0"/>
                <w:color w:val="1C1E2E"/>
                <w:sz w:val="19"/>
              </w:rPr>
              <w:t>Official academic-level equivalence</w:t>
            </w:r>
          </w:p>
        </w:tc>
        <w:tc>
          <w:tcPr>
            <w:tcW w:type="dxa" w:w="3216"/>
          </w:tcPr>
          <w:p>
            <w:pPr>
              <w:spacing w:after="40"/>
            </w:pPr>
            <w:r/>
            <w:r>
              <w:rPr>
                <w:rFonts w:ascii="Inter" w:hAnsi="Inter" w:cs="Inter"/>
                <w:b w:val="0"/>
                <w:i w:val="0"/>
                <w:color w:val="1C1E2E"/>
                <w:sz w:val="19"/>
              </w:rPr>
              <w:t>A.2</w:t>
            </w:r>
          </w:p>
        </w:tc>
      </w:tr>
      <w:tr>
        <w:tc>
          <w:tcPr>
            <w:tcW w:type="dxa" w:w="3216"/>
          </w:tcPr>
          <w:p>
            <w:pPr>
              <w:spacing w:after="40"/>
            </w:pPr>
            <w:r/>
            <w:r>
              <w:rPr>
                <w:rFonts w:ascii="Inter" w:hAnsi="Inter" w:cs="Inter"/>
                <w:b w:val="0"/>
                <w:i w:val="0"/>
                <w:color w:val="1C1E2E"/>
                <w:sz w:val="19"/>
              </w:rPr>
              <w:t>DOC-06</w:t>
            </w:r>
          </w:p>
        </w:tc>
        <w:tc>
          <w:tcPr>
            <w:tcW w:type="dxa" w:w="3216"/>
          </w:tcPr>
          <w:p>
            <w:pPr>
              <w:spacing w:after="40"/>
            </w:pPr>
            <w:r/>
            <w:r>
              <w:rPr>
                <w:rFonts w:ascii="Inter" w:hAnsi="Inter" w:cs="Inter"/>
                <w:b w:val="0"/>
                <w:i w:val="0"/>
                <w:color w:val="1C1E2E"/>
                <w:sz w:val="19"/>
              </w:rPr>
              <w:t>Extraordinary Graduation Award resolution / diploma</w:t>
            </w:r>
          </w:p>
        </w:tc>
        <w:tc>
          <w:tcPr>
            <w:tcW w:type="dxa" w:w="3216"/>
          </w:tcPr>
          <w:p>
            <w:pPr>
              <w:spacing w:after="40"/>
            </w:pPr>
            <w:r/>
            <w:r>
              <w:rPr>
                <w:rFonts w:ascii="Inter" w:hAnsi="Inter" w:cs="Inter"/>
                <w:b w:val="0"/>
                <w:i w:val="0"/>
                <w:color w:val="1C1E2E"/>
                <w:sz w:val="19"/>
              </w:rPr>
              <w:t>B.1</w:t>
            </w:r>
          </w:p>
        </w:tc>
      </w:tr>
      <w:tr>
        <w:tc>
          <w:tcPr>
            <w:tcW w:type="dxa" w:w="3216"/>
          </w:tcPr>
          <w:p>
            <w:pPr>
              <w:spacing w:after="40"/>
            </w:pPr>
            <w:r/>
            <w:r>
              <w:rPr>
                <w:rFonts w:ascii="Inter" w:hAnsi="Inter" w:cs="Inter"/>
                <w:b w:val="0"/>
                <w:i w:val="0"/>
                <w:color w:val="1C1E2E"/>
                <w:sz w:val="19"/>
              </w:rPr>
              <w:t>DOC-07</w:t>
            </w:r>
          </w:p>
        </w:tc>
        <w:tc>
          <w:tcPr>
            <w:tcW w:type="dxa" w:w="3216"/>
          </w:tcPr>
          <w:p>
            <w:pPr>
              <w:spacing w:after="40"/>
            </w:pPr>
            <w:r/>
            <w:r>
              <w:rPr>
                <w:rFonts w:ascii="Inter" w:hAnsi="Inter" w:cs="Inter"/>
                <w:b w:val="0"/>
                <w:i w:val="0"/>
                <w:color w:val="1C1E2E"/>
                <w:sz w:val="19"/>
              </w:rPr>
              <w:t>Certificate of first-in-class ranking</w:t>
            </w:r>
          </w:p>
        </w:tc>
        <w:tc>
          <w:tcPr>
            <w:tcW w:type="dxa" w:w="3216"/>
          </w:tcPr>
          <w:p>
            <w:pPr>
              <w:spacing w:after="40"/>
            </w:pPr>
            <w:r/>
            <w:r>
              <w:rPr>
                <w:rFonts w:ascii="Inter" w:hAnsi="Inter" w:cs="Inter"/>
                <w:b w:val="0"/>
                <w:i w:val="0"/>
                <w:color w:val="1C1E2E"/>
                <w:sz w:val="19"/>
              </w:rPr>
              <w:t>B.1</w:t>
            </w:r>
          </w:p>
        </w:tc>
      </w:tr>
      <w:tr>
        <w:tc>
          <w:tcPr>
            <w:tcW w:type="dxa" w:w="3216"/>
          </w:tcPr>
          <w:p>
            <w:pPr>
              <w:spacing w:after="40"/>
            </w:pPr>
            <w:r/>
            <w:r>
              <w:rPr>
                <w:rFonts w:ascii="Inter" w:hAnsi="Inter" w:cs="Inter"/>
                <w:b w:val="0"/>
                <w:i w:val="0"/>
                <w:color w:val="1C1E2E"/>
                <w:sz w:val="19"/>
              </w:rPr>
              <w:t>DOC-08</w:t>
            </w:r>
          </w:p>
        </w:tc>
        <w:tc>
          <w:tcPr>
            <w:tcW w:type="dxa" w:w="3216"/>
          </w:tcPr>
          <w:p>
            <w:pPr>
              <w:spacing w:after="40"/>
            </w:pPr>
            <w:r/>
            <w:r>
              <w:rPr>
                <w:rFonts w:ascii="Inter" w:hAnsi="Inter" w:cs="Inter"/>
                <w:b w:val="0"/>
                <w:i w:val="0"/>
                <w:color w:val="1C1E2E"/>
                <w:sz w:val="19"/>
              </w:rPr>
              <w:t xml:space="preserve">Extraordinary Master's Award resolution </w:t>
            </w:r>
            <w:r>
              <w:rPr>
                <w:rFonts w:ascii="Inter" w:hAnsi="Inter" w:cs="Inter"/>
                <w:b w:val="0"/>
                <w:i/>
                <w:color w:val="1C1E2E"/>
                <w:sz w:val="19"/>
              </w:rPr>
              <w:t>(if applicable)</w:t>
            </w:r>
          </w:p>
        </w:tc>
        <w:tc>
          <w:tcPr>
            <w:tcW w:type="dxa" w:w="3216"/>
          </w:tcPr>
          <w:p>
            <w:pPr>
              <w:spacing w:after="40"/>
            </w:pPr>
            <w:r/>
            <w:r>
              <w:rPr>
                <w:rFonts w:ascii="Inter" w:hAnsi="Inter" w:cs="Inter"/>
                <w:b w:val="0"/>
                <w:i w:val="0"/>
                <w:color w:val="1C1E2E"/>
                <w:sz w:val="19"/>
              </w:rPr>
              <w:t>B.2</w:t>
            </w:r>
          </w:p>
        </w:tc>
      </w:tr>
      <w:tr>
        <w:tc>
          <w:tcPr>
            <w:tcW w:type="dxa" w:w="3216"/>
          </w:tcPr>
          <w:p>
            <w:pPr>
              <w:spacing w:after="40"/>
            </w:pPr>
            <w:r/>
            <w:r>
              <w:rPr>
                <w:rFonts w:ascii="Inter" w:hAnsi="Inter" w:cs="Inter"/>
                <w:b w:val="0"/>
                <w:i w:val="0"/>
                <w:color w:val="1C1E2E"/>
                <w:sz w:val="19"/>
              </w:rPr>
              <w:t>DOC-09</w:t>
            </w:r>
          </w:p>
        </w:tc>
        <w:tc>
          <w:tcPr>
            <w:tcW w:type="dxa" w:w="3216"/>
          </w:tcPr>
          <w:p>
            <w:pPr>
              <w:spacing w:after="40"/>
            </w:pPr>
            <w:r/>
            <w:r>
              <w:rPr>
                <w:rFonts w:ascii="Inter" w:hAnsi="Inter" w:cs="Inter"/>
                <w:b w:val="0"/>
                <w:i w:val="0"/>
                <w:color w:val="1C1E2E"/>
                <w:sz w:val="19"/>
              </w:rPr>
              <w:t>C1 Advanced (CAE) certificate — Cambridge</w:t>
            </w:r>
          </w:p>
        </w:tc>
        <w:tc>
          <w:tcPr>
            <w:tcW w:type="dxa" w:w="3216"/>
          </w:tcPr>
          <w:p>
            <w:pPr>
              <w:spacing w:after="40"/>
            </w:pPr>
            <w:r/>
            <w:r>
              <w:rPr>
                <w:rFonts w:ascii="Inter" w:hAnsi="Inter" w:cs="Inter"/>
                <w:b w:val="0"/>
                <w:i w:val="0"/>
                <w:color w:val="1C1E2E"/>
                <w:sz w:val="19"/>
              </w:rPr>
              <w:t>B.4</w:t>
            </w:r>
          </w:p>
        </w:tc>
      </w:tr>
      <w:tr>
        <w:tc>
          <w:tcPr>
            <w:tcW w:type="dxa" w:w="3216"/>
          </w:tcPr>
          <w:p>
            <w:pPr>
              <w:spacing w:after="40"/>
            </w:pPr>
            <w:r/>
            <w:r>
              <w:rPr>
                <w:rFonts w:ascii="Inter" w:hAnsi="Inter" w:cs="Inter"/>
                <w:b w:val="0"/>
                <w:i w:val="0"/>
                <w:color w:val="1C1E2E"/>
                <w:sz w:val="19"/>
              </w:rPr>
              <w:t>DOC-10</w:t>
            </w:r>
          </w:p>
        </w:tc>
        <w:tc>
          <w:tcPr>
            <w:tcW w:type="dxa" w:w="3216"/>
          </w:tcPr>
          <w:p>
            <w:pPr>
              <w:spacing w:after="40"/>
            </w:pPr>
            <w:r/>
            <w:r>
              <w:rPr>
                <w:rFonts w:ascii="Inter" w:hAnsi="Inter" w:cs="Inter"/>
                <w:b w:val="0"/>
                <w:i w:val="0"/>
                <w:color w:val="1C1E2E"/>
                <w:sz w:val="19"/>
              </w:rPr>
              <w:t>CELTA certificate — Cambridge</w:t>
            </w:r>
          </w:p>
        </w:tc>
        <w:tc>
          <w:tcPr>
            <w:tcW w:type="dxa" w:w="3216"/>
          </w:tcPr>
          <w:p>
            <w:pPr>
              <w:spacing w:after="40"/>
            </w:pPr>
            <w:r/>
            <w:r>
              <w:rPr>
                <w:rFonts w:ascii="Inter" w:hAnsi="Inter" w:cs="Inter"/>
                <w:b w:val="0"/>
                <w:i w:val="0"/>
                <w:color w:val="1C1E2E"/>
                <w:sz w:val="19"/>
              </w:rPr>
              <w:t>B.4</w:t>
            </w:r>
          </w:p>
        </w:tc>
      </w:tr>
      <w:tr>
        <w:tc>
          <w:tcPr>
            <w:tcW w:type="dxa" w:w="3216"/>
          </w:tcPr>
          <w:p>
            <w:pPr>
              <w:spacing w:after="40"/>
            </w:pPr>
            <w:r/>
            <w:r>
              <w:rPr>
                <w:rFonts w:ascii="Inter" w:hAnsi="Inter" w:cs="Inter"/>
                <w:b w:val="0"/>
                <w:i w:val="0"/>
                <w:color w:val="1C1E2E"/>
                <w:sz w:val="19"/>
              </w:rPr>
              <w:t>DOC-11</w:t>
            </w:r>
          </w:p>
        </w:tc>
        <w:tc>
          <w:tcPr>
            <w:tcW w:type="dxa" w:w="3216"/>
          </w:tcPr>
          <w:p>
            <w:pPr>
              <w:spacing w:after="40"/>
            </w:pPr>
            <w:r/>
            <w:r>
              <w:rPr>
                <w:rFonts w:ascii="Inter" w:hAnsi="Inter" w:cs="Inter"/>
                <w:b w:val="0"/>
                <w:i w:val="0"/>
                <w:color w:val="1C1E2E"/>
                <w:sz w:val="19"/>
              </w:rPr>
              <w:t>DELE examiner accreditation — Instituto Cervantes</w:t>
            </w:r>
          </w:p>
        </w:tc>
        <w:tc>
          <w:tcPr>
            <w:tcW w:type="dxa" w:w="3216"/>
          </w:tcPr>
          <w:p>
            <w:pPr>
              <w:spacing w:after="40"/>
            </w:pPr>
            <w:r/>
            <w:r>
              <w:rPr>
                <w:rFonts w:ascii="Inter" w:hAnsi="Inter" w:cs="Inter"/>
                <w:b w:val="0"/>
                <w:i w:val="0"/>
                <w:color w:val="1C1E2E"/>
                <w:sz w:val="19"/>
              </w:rPr>
              <w:t>B.4</w:t>
            </w:r>
          </w:p>
        </w:tc>
      </w:tr>
      <w:tr>
        <w:tc>
          <w:tcPr>
            <w:tcW w:type="dxa" w:w="3216"/>
          </w:tcPr>
          <w:p>
            <w:pPr>
              <w:spacing w:after="40"/>
            </w:pPr>
            <w:r/>
            <w:r>
              <w:rPr>
                <w:rFonts w:ascii="Inter" w:hAnsi="Inter" w:cs="Inter"/>
                <w:b w:val="0"/>
                <w:i w:val="0"/>
                <w:color w:val="1C1E2E"/>
                <w:sz w:val="19"/>
              </w:rPr>
              <w:t>DOC-12</w:t>
            </w:r>
          </w:p>
        </w:tc>
        <w:tc>
          <w:tcPr>
            <w:tcW w:type="dxa" w:w="3216"/>
          </w:tcPr>
          <w:p>
            <w:pPr>
              <w:spacing w:after="40"/>
            </w:pPr>
            <w:r/>
            <w:r>
              <w:rPr>
                <w:rFonts w:ascii="Inter" w:hAnsi="Inter" w:cs="Inter"/>
                <w:b w:val="0"/>
                <w:i w:val="0"/>
                <w:color w:val="1C1E2E"/>
                <w:sz w:val="19"/>
              </w:rPr>
              <w:t>Academic Excellence Scholarship credential (ULA)</w:t>
            </w:r>
          </w:p>
        </w:tc>
        <w:tc>
          <w:tcPr>
            <w:tcW w:type="dxa" w:w="3216"/>
          </w:tcPr>
          <w:p>
            <w:pPr>
              <w:spacing w:after="40"/>
            </w:pPr>
            <w:r/>
            <w:r>
              <w:rPr>
                <w:rFonts w:ascii="Inter" w:hAnsi="Inter" w:cs="Inter"/>
                <w:b w:val="0"/>
                <w:i w:val="0"/>
                <w:color w:val="1C1E2E"/>
                <w:sz w:val="19"/>
              </w:rPr>
              <w:t>B.5</w:t>
            </w:r>
          </w:p>
        </w:tc>
      </w:tr>
      <w:tr>
        <w:tc>
          <w:tcPr>
            <w:tcW w:type="dxa" w:w="3216"/>
          </w:tcPr>
          <w:p>
            <w:pPr>
              <w:spacing w:after="40"/>
            </w:pPr>
            <w:r/>
            <w:r>
              <w:rPr>
                <w:rFonts w:ascii="Inter" w:hAnsi="Inter" w:cs="Inter"/>
                <w:b w:val="0"/>
                <w:i w:val="0"/>
                <w:color w:val="1C1E2E"/>
                <w:sz w:val="19"/>
              </w:rPr>
              <w:t>DOC-13</w:t>
            </w:r>
          </w:p>
        </w:tc>
        <w:tc>
          <w:tcPr>
            <w:tcW w:type="dxa" w:w="3216"/>
          </w:tcPr>
          <w:p>
            <w:pPr>
              <w:spacing w:after="40"/>
            </w:pPr>
            <w:r/>
            <w:r>
              <w:rPr>
                <w:rFonts w:ascii="Inter" w:hAnsi="Inter" w:cs="Inter"/>
                <w:b w:val="0"/>
                <w:i w:val="0"/>
                <w:color w:val="1C1E2E"/>
                <w:sz w:val="19"/>
              </w:rPr>
              <w:t>Ministry scholarship award resolution (UPV master's)</w:t>
            </w:r>
          </w:p>
        </w:tc>
        <w:tc>
          <w:tcPr>
            <w:tcW w:type="dxa" w:w="3216"/>
          </w:tcPr>
          <w:p>
            <w:pPr>
              <w:spacing w:after="40"/>
            </w:pPr>
            <w:r/>
            <w:r>
              <w:rPr>
                <w:rFonts w:ascii="Inter" w:hAnsi="Inter" w:cs="Inter"/>
                <w:b w:val="0"/>
                <w:i w:val="0"/>
                <w:color w:val="1C1E2E"/>
                <w:sz w:val="19"/>
              </w:rPr>
              <w:t>B.5</w:t>
            </w:r>
          </w:p>
        </w:tc>
      </w:tr>
      <w:tr>
        <w:tc>
          <w:tcPr>
            <w:tcW w:type="dxa" w:w="3216"/>
          </w:tcPr>
          <w:p>
            <w:pPr>
              <w:spacing w:after="40"/>
            </w:pPr>
            <w:r/>
            <w:r>
              <w:rPr>
                <w:rFonts w:ascii="Inter" w:hAnsi="Inter" w:cs="Inter"/>
                <w:b w:val="0"/>
                <w:i w:val="0"/>
                <w:color w:val="1C1E2E"/>
                <w:sz w:val="19"/>
              </w:rPr>
              <w:t>DOC-14</w:t>
            </w:r>
          </w:p>
        </w:tc>
        <w:tc>
          <w:tcPr>
            <w:tcW w:type="dxa" w:w="3216"/>
          </w:tcPr>
          <w:p>
            <w:pPr>
              <w:spacing w:after="40"/>
            </w:pPr>
            <w:r/>
            <w:r>
              <w:rPr>
                <w:rFonts w:ascii="Inter" w:hAnsi="Inter" w:cs="Inter"/>
                <w:b w:val="0"/>
                <w:i w:val="0"/>
                <w:color w:val="1C1E2E"/>
                <w:sz w:val="19"/>
              </w:rPr>
              <w:t>Sotelo-Casas et al. (2019) — cover + acknowledgements page (p. 8)</w:t>
            </w:r>
          </w:p>
        </w:tc>
        <w:tc>
          <w:tcPr>
            <w:tcW w:type="dxa" w:w="3216"/>
          </w:tcPr>
          <w:p>
            <w:pPr>
              <w:spacing w:after="40"/>
            </w:pPr>
            <w:r/>
            <w:r>
              <w:rPr>
                <w:rFonts w:ascii="Inter" w:hAnsi="Inter" w:cs="Inter"/>
                <w:b w:val="0"/>
                <w:i w:val="0"/>
                <w:color w:val="1C1E2E"/>
                <w:sz w:val="19"/>
              </w:rPr>
              <w:t>B.6 · §5</w:t>
            </w:r>
          </w:p>
        </w:tc>
      </w:tr>
      <w:tr>
        <w:tc>
          <w:tcPr>
            <w:tcW w:type="dxa" w:w="3216"/>
          </w:tcPr>
          <w:p>
            <w:pPr>
              <w:spacing w:after="40"/>
            </w:pPr>
            <w:r/>
            <w:r>
              <w:rPr>
                <w:rFonts w:ascii="Inter" w:hAnsi="Inter" w:cs="Inter"/>
                <w:b w:val="0"/>
                <w:i w:val="0"/>
                <w:color w:val="1C1E2E"/>
                <w:sz w:val="19"/>
              </w:rPr>
              <w:t>DOC-15</w:t>
            </w:r>
          </w:p>
        </w:tc>
        <w:tc>
          <w:tcPr>
            <w:tcW w:type="dxa" w:w="3216"/>
          </w:tcPr>
          <w:p>
            <w:pPr>
              <w:spacing w:after="40"/>
            </w:pPr>
            <w:r/>
            <w:r>
              <w:rPr>
                <w:rFonts w:ascii="Inter" w:hAnsi="Inter" w:cs="Inter"/>
                <w:b w:val="0"/>
                <w:i w:val="0"/>
                <w:color w:val="1C1E2E"/>
                <w:sz w:val="19"/>
              </w:rPr>
              <w:t>Evidence of the 10/10 grade for Academic Writing Journey (UPV)</w:t>
            </w:r>
          </w:p>
        </w:tc>
        <w:tc>
          <w:tcPr>
            <w:tcW w:type="dxa" w:w="3216"/>
          </w:tcPr>
          <w:p>
            <w:pPr>
              <w:spacing w:after="40"/>
            </w:pPr>
            <w:r/>
            <w:r>
              <w:rPr>
                <w:rFonts w:ascii="Inter" w:hAnsi="Inter" w:cs="Inter"/>
                <w:b w:val="0"/>
                <w:i w:val="0"/>
                <w:color w:val="1C1E2E"/>
                <w:sz w:val="19"/>
              </w:rPr>
              <w:t>A.1 · B.6</w:t>
            </w:r>
          </w:p>
        </w:tc>
      </w:tr>
      <w:tr>
        <w:tc>
          <w:tcPr>
            <w:tcW w:type="dxa" w:w="3216"/>
          </w:tcPr>
          <w:p>
            <w:pPr>
              <w:spacing w:after="40"/>
            </w:pPr>
            <w:r/>
            <w:r>
              <w:rPr>
                <w:rFonts w:ascii="Inter" w:hAnsi="Inter" w:cs="Inter"/>
                <w:b w:val="0"/>
                <w:i w:val="0"/>
                <w:color w:val="1C1E2E"/>
                <w:sz w:val="19"/>
              </w:rPr>
              <w:t>DOC-16</w:t>
            </w:r>
          </w:p>
        </w:tc>
        <w:tc>
          <w:tcPr>
            <w:tcW w:type="dxa" w:w="3216"/>
          </w:tcPr>
          <w:p>
            <w:pPr>
              <w:spacing w:after="40"/>
            </w:pPr>
            <w:r/>
            <w:r>
              <w:rPr>
                <w:rFonts w:ascii="Inter" w:hAnsi="Inter" w:cs="Inter"/>
                <w:b w:val="0"/>
                <w:i w:val="0"/>
                <w:color w:val="1C1E2E"/>
                <w:sz w:val="19"/>
              </w:rPr>
              <w:t xml:space="preserve">UDO teaching service certificates (2005–2015), </w:t>
            </w:r>
            <w:r>
              <w:rPr>
                <w:rFonts w:ascii="Inter" w:hAnsi="Inter" w:cs="Inter"/>
                <w:b/>
                <w:i w:val="0"/>
                <w:color w:val="1C1E2E"/>
                <w:sz w:val="19"/>
              </w:rPr>
              <w:t>1,568 accredited hours</w:t>
            </w:r>
          </w:p>
        </w:tc>
        <w:tc>
          <w:tcPr>
            <w:tcW w:type="dxa" w:w="3216"/>
          </w:tcPr>
          <w:p>
            <w:pPr>
              <w:spacing w:after="40"/>
            </w:pPr>
            <w:r/>
            <w:r>
              <w:rPr>
                <w:rFonts w:ascii="Inter" w:hAnsi="Inter" w:cs="Inter"/>
                <w:b w:val="0"/>
                <w:i w:val="0"/>
                <w:color w:val="1C1E2E"/>
                <w:sz w:val="19"/>
              </w:rPr>
              <w:t>B.6</w:t>
            </w:r>
          </w:p>
        </w:tc>
      </w:tr>
      <w:tr>
        <w:tc>
          <w:tcPr>
            <w:tcW w:type="dxa" w:w="3216"/>
          </w:tcPr>
          <w:p>
            <w:pPr>
              <w:spacing w:after="40"/>
            </w:pPr>
            <w:r/>
            <w:r>
              <w:rPr>
                <w:rFonts w:ascii="Inter" w:hAnsi="Inter" w:cs="Inter"/>
                <w:b w:val="0"/>
                <w:i w:val="0"/>
                <w:color w:val="1C1E2E"/>
                <w:sz w:val="19"/>
              </w:rPr>
              <w:t>DOC-17</w:t>
            </w:r>
          </w:p>
        </w:tc>
        <w:tc>
          <w:tcPr>
            <w:tcW w:type="dxa" w:w="3216"/>
          </w:tcPr>
          <w:p>
            <w:pPr>
              <w:spacing w:after="40"/>
            </w:pPr>
            <w:r/>
            <w:r>
              <w:rPr>
                <w:rFonts w:ascii="Inter" w:hAnsi="Inter" w:cs="Inter"/>
                <w:b w:val="0"/>
                <w:i w:val="0"/>
                <w:color w:val="1C1E2E"/>
                <w:sz w:val="19"/>
              </w:rPr>
              <w:t>Spanish employment history / professional activity certificate</w:t>
            </w:r>
          </w:p>
        </w:tc>
        <w:tc>
          <w:tcPr>
            <w:tcW w:type="dxa" w:w="3216"/>
          </w:tcPr>
          <w:p>
            <w:pPr>
              <w:spacing w:after="40"/>
            </w:pPr>
            <w:r/>
            <w:r>
              <w:rPr>
                <w:rFonts w:ascii="Inter" w:hAnsi="Inter" w:cs="Inter"/>
                <w:b w:val="0"/>
                <w:i w:val="0"/>
                <w:color w:val="1C1E2E"/>
                <w:sz w:val="19"/>
              </w:rPr>
              <w:t>B.6</w:t>
            </w:r>
          </w:p>
        </w:tc>
      </w:tr>
      <w:tr>
        <w:tc>
          <w:tcPr>
            <w:tcW w:type="dxa" w:w="3216"/>
          </w:tcPr>
          <w:p>
            <w:pPr>
              <w:spacing w:after="40"/>
            </w:pPr>
            <w:r/>
            <w:r>
              <w:rPr>
                <w:rFonts w:ascii="Inter" w:hAnsi="Inter" w:cs="Inter"/>
                <w:b w:val="0"/>
                <w:i w:val="0"/>
                <w:color w:val="1C1E2E"/>
                <w:sz w:val="19"/>
              </w:rPr>
              <w:t>DOC-18</w:t>
            </w:r>
          </w:p>
        </w:tc>
        <w:tc>
          <w:tcPr>
            <w:tcW w:type="dxa" w:w="3216"/>
          </w:tcPr>
          <w:p>
            <w:pPr>
              <w:spacing w:after="40"/>
            </w:pPr>
            <w:r/>
            <w:r>
              <w:rPr>
                <w:rFonts w:ascii="Inter" w:hAnsi="Inter" w:cs="Inter"/>
                <w:b w:val="0"/>
                <w:i w:val="0"/>
                <w:color w:val="1C1E2E"/>
                <w:sz w:val="19"/>
              </w:rPr>
              <w:t>AVE Global tutoring accreditation — Instituto Cervantes</w:t>
            </w:r>
          </w:p>
        </w:tc>
        <w:tc>
          <w:tcPr>
            <w:tcW w:type="dxa" w:w="3216"/>
          </w:tcPr>
          <w:p>
            <w:pPr>
              <w:spacing w:after="40"/>
            </w:pPr>
            <w:r/>
            <w:r>
              <w:rPr>
                <w:rFonts w:ascii="Inter" w:hAnsi="Inter" w:cs="Inter"/>
                <w:b w:val="0"/>
                <w:i w:val="0"/>
                <w:color w:val="1C1E2E"/>
                <w:sz w:val="19"/>
              </w:rPr>
              <w:t>B.6</w:t>
            </w:r>
          </w:p>
        </w:tc>
      </w:tr>
      <w:tr>
        <w:tc>
          <w:tcPr>
            <w:tcW w:type="dxa" w:w="3216"/>
          </w:tcPr>
          <w:p>
            <w:pPr>
              <w:spacing w:after="40"/>
            </w:pPr>
            <w:r/>
            <w:r>
              <w:rPr>
                <w:rFonts w:ascii="Inter" w:hAnsi="Inter" w:cs="Inter"/>
                <w:b w:val="0"/>
                <w:i w:val="0"/>
                <w:color w:val="1C1E2E"/>
                <w:sz w:val="19"/>
              </w:rPr>
              <w:t>DOC-19</w:t>
            </w:r>
          </w:p>
        </w:tc>
        <w:tc>
          <w:tcPr>
            <w:tcW w:type="dxa" w:w="3216"/>
          </w:tcPr>
          <w:p>
            <w:pPr>
              <w:spacing w:after="40"/>
            </w:pPr>
            <w:r/>
            <w:r>
              <w:rPr>
                <w:rFonts w:ascii="Inter" w:hAnsi="Inter" w:cs="Inter"/>
                <w:b w:val="0"/>
                <w:i w:val="0"/>
                <w:color w:val="1C1E2E"/>
                <w:sz w:val="19"/>
              </w:rPr>
              <w:t>Kaleidoscopio publication — first and last page</w:t>
            </w:r>
          </w:p>
        </w:tc>
        <w:tc>
          <w:tcPr>
            <w:tcW w:type="dxa" w:w="3216"/>
          </w:tcPr>
          <w:p>
            <w:pPr>
              <w:spacing w:after="40"/>
            </w:pPr>
            <w:r/>
            <w:r>
              <w:rPr>
                <w:rFonts w:ascii="Inter" w:hAnsi="Inter" w:cs="Inter"/>
                <w:b w:val="0"/>
                <w:i w:val="0"/>
                <w:color w:val="1C1E2E"/>
                <w:sz w:val="19"/>
              </w:rPr>
              <w:t>§5</w:t>
            </w:r>
          </w:p>
        </w:tc>
      </w:tr>
      <w:tr>
        <w:tc>
          <w:tcPr>
            <w:tcW w:type="dxa" w:w="3216"/>
          </w:tcPr>
          <w:p>
            <w:pPr>
              <w:spacing w:after="40"/>
            </w:pPr>
            <w:r/>
            <w:r>
              <w:rPr>
                <w:rFonts w:ascii="Inter" w:hAnsi="Inter" w:cs="Inter"/>
                <w:b w:val="0"/>
                <w:i w:val="0"/>
                <w:color w:val="1C1E2E"/>
                <w:sz w:val="19"/>
              </w:rPr>
              <w:t>DOC-20</w:t>
            </w:r>
          </w:p>
        </w:tc>
        <w:tc>
          <w:tcPr>
            <w:tcW w:type="dxa" w:w="3216"/>
          </w:tcPr>
          <w:p>
            <w:pPr>
              <w:spacing w:after="40"/>
            </w:pPr>
            <w:r/>
            <w:r>
              <w:rPr>
                <w:rFonts w:ascii="Inter" w:hAnsi="Inter" w:cs="Inter"/>
                <w:b w:val="0"/>
                <w:i w:val="0"/>
                <w:color w:val="1C1E2E"/>
                <w:sz w:val="19"/>
              </w:rPr>
              <w:t>UC Irvine certificate</w:t>
            </w:r>
          </w:p>
        </w:tc>
        <w:tc>
          <w:tcPr>
            <w:tcW w:type="dxa" w:w="3216"/>
          </w:tcPr>
          <w:p>
            <w:pPr>
              <w:spacing w:after="40"/>
            </w:pPr>
            <w:r/>
            <w:r>
              <w:rPr>
                <w:rFonts w:ascii="Inter" w:hAnsi="Inter" w:cs="Inter"/>
                <w:b w:val="0"/>
                <w:i w:val="0"/>
                <w:color w:val="1C1E2E"/>
                <w:sz w:val="19"/>
              </w:rPr>
              <w:t>§6</w:t>
            </w:r>
          </w:p>
        </w:tc>
      </w:tr>
      <w:tr>
        <w:tc>
          <w:tcPr>
            <w:tcW w:type="dxa" w:w="3216"/>
          </w:tcPr>
          <w:p>
            <w:pPr>
              <w:spacing w:after="40"/>
            </w:pPr>
            <w:r/>
            <w:r>
              <w:rPr>
                <w:rFonts w:ascii="Inter" w:hAnsi="Inter" w:cs="Inter"/>
                <w:b w:val="0"/>
                <w:i w:val="0"/>
                <w:color w:val="1C1E2E"/>
                <w:sz w:val="19"/>
              </w:rPr>
              <w:t>DOC-21</w:t>
            </w:r>
          </w:p>
        </w:tc>
        <w:tc>
          <w:tcPr>
            <w:tcW w:type="dxa" w:w="3216"/>
          </w:tcPr>
          <w:p>
            <w:pPr>
              <w:spacing w:after="40"/>
            </w:pPr>
            <w:r/>
            <w:r>
              <w:rPr>
                <w:rFonts w:ascii="Inter" w:hAnsi="Inter" w:cs="Inter"/>
                <w:b w:val="0"/>
                <w:i w:val="0"/>
                <w:color w:val="1C1E2E"/>
                <w:sz w:val="19"/>
              </w:rPr>
              <w:t>University of Cambridge (PCE) certificate</w:t>
            </w:r>
          </w:p>
        </w:tc>
        <w:tc>
          <w:tcPr>
            <w:tcW w:type="dxa" w:w="3216"/>
          </w:tcPr>
          <w:p>
            <w:pPr>
              <w:spacing w:after="40"/>
            </w:pPr>
            <w:r/>
            <w:r>
              <w:rPr>
                <w:rFonts w:ascii="Inter" w:hAnsi="Inter" w:cs="Inter"/>
                <w:b w:val="0"/>
                <w:i w:val="0"/>
                <w:color w:val="1C1E2E"/>
                <w:sz w:val="19"/>
              </w:rPr>
              <w:t>§6</w:t>
            </w:r>
          </w:p>
        </w:tc>
      </w:tr>
      <w:tr>
        <w:tc>
          <w:tcPr>
            <w:tcW w:type="dxa" w:w="3216"/>
          </w:tcPr>
          <w:p>
            <w:pPr>
              <w:spacing w:after="40"/>
            </w:pPr>
            <w:r/>
            <w:r>
              <w:rPr>
                <w:rFonts w:ascii="Inter" w:hAnsi="Inter" w:cs="Inter"/>
                <w:b w:val="0"/>
                <w:i w:val="0"/>
                <w:color w:val="1C1E2E"/>
                <w:sz w:val="19"/>
              </w:rPr>
              <w:t>DOC-22</w:t>
            </w:r>
          </w:p>
        </w:tc>
        <w:tc>
          <w:tcPr>
            <w:tcW w:type="dxa" w:w="3216"/>
          </w:tcPr>
          <w:p>
            <w:pPr>
              <w:spacing w:after="40"/>
            </w:pPr>
            <w:r/>
            <w:r>
              <w:rPr>
                <w:rFonts w:ascii="Inter" w:hAnsi="Inter" w:cs="Inter"/>
                <w:b w:val="0"/>
                <w:i w:val="0"/>
                <w:color w:val="1C1E2E"/>
                <w:sz w:val="19"/>
              </w:rPr>
              <w:t>AP Stylebook certificate</w:t>
            </w:r>
          </w:p>
        </w:tc>
        <w:tc>
          <w:tcPr>
            <w:tcW w:type="dxa" w:w="3216"/>
          </w:tcPr>
          <w:p>
            <w:pPr>
              <w:spacing w:after="40"/>
            </w:pPr>
            <w:r/>
            <w:r>
              <w:rPr>
                <w:rFonts w:ascii="Inter" w:hAnsi="Inter" w:cs="Inter"/>
                <w:b w:val="0"/>
                <w:i w:val="0"/>
                <w:color w:val="1C1E2E"/>
                <w:sz w:val="19"/>
              </w:rPr>
              <w:t>§6</w:t>
            </w:r>
          </w:p>
        </w:tc>
      </w:tr>
      <w:tr>
        <w:tc>
          <w:tcPr>
            <w:tcW w:type="dxa" w:w="3216"/>
          </w:tcPr>
          <w:p>
            <w:pPr>
              <w:spacing w:after="40"/>
            </w:pPr>
            <w:r/>
            <w:r>
              <w:rPr>
                <w:rFonts w:ascii="Inter" w:hAnsi="Inter" w:cs="Inter"/>
                <w:b w:val="0"/>
                <w:i w:val="0"/>
                <w:color w:val="1C1E2E"/>
                <w:sz w:val="19"/>
              </w:rPr>
              <w:t>DOC-23</w:t>
            </w:r>
          </w:p>
        </w:tc>
        <w:tc>
          <w:tcPr>
            <w:tcW w:type="dxa" w:w="3216"/>
          </w:tcPr>
          <w:p>
            <w:pPr>
              <w:spacing w:after="40"/>
            </w:pPr>
            <w:r/>
            <w:r>
              <w:rPr>
                <w:rFonts w:ascii="Inter" w:hAnsi="Inter" w:cs="Inter"/>
                <w:b w:val="0"/>
                <w:i w:val="0"/>
                <w:color w:val="1C1E2E"/>
                <w:sz w:val="19"/>
              </w:rPr>
              <w:t>SEPE certificate</w:t>
            </w:r>
          </w:p>
        </w:tc>
        <w:tc>
          <w:tcPr>
            <w:tcW w:type="dxa" w:w="3216"/>
          </w:tcPr>
          <w:p>
            <w:pPr>
              <w:spacing w:after="40"/>
            </w:pPr>
            <w:r/>
            <w:r>
              <w:rPr>
                <w:rFonts w:ascii="Inter" w:hAnsi="Inter" w:cs="Inter"/>
                <w:b w:val="0"/>
                <w:i w:val="0"/>
                <w:color w:val="1C1E2E"/>
                <w:sz w:val="19"/>
              </w:rPr>
              <w:t>§6</w:t>
            </w:r>
          </w:p>
        </w:tc>
      </w:tr>
    </w:tbl>
    <w:p/>
    <w:p>
      <w:pPr>
        <w:pBdr>
          <w:bottom w:val="single" w:sz="6" w:space="1" w:color="E6E8F2"/>
        </w:pBdr>
      </w:pPr>
    </w:p>
    <w:p>
      <w:pPr>
        <w:spacing w:before="320" w:after="120"/>
      </w:pPr>
      <w:r>
        <w:rPr>
          <w:rFonts w:ascii="Fraunces" w:hAnsi="Fraunces" w:cs="Fraunces"/>
          <w:b/>
          <w:i w:val="0"/>
          <w:color w:val="22307C"/>
          <w:sz w:val="32"/>
        </w:rPr>
        <w:t>Pre-submission checklist</w:t>
      </w:r>
    </w:p>
    <w:p>
      <w:pPr>
        <w:pStyle w:val="ListBullet"/>
        <w:spacing w:after="60"/>
        <w:ind w:left="403"/>
      </w:pPr>
      <w:r>
        <w:rPr>
          <w:rFonts w:ascii="Inter" w:hAnsi="Inter" w:cs="Inter"/>
          <w:b w:val="0"/>
          <w:i w:val="0"/>
          <w:color w:val="1C1E2E"/>
          <w:sz w:val="22"/>
        </w:rPr>
        <w:t xml:space="preserve">☐ Confirm the </w:t>
      </w:r>
      <w:r>
        <w:rPr>
          <w:rFonts w:ascii="Inter" w:hAnsi="Inter" w:cs="Inter"/>
          <w:b/>
          <w:i w:val="0"/>
          <w:color w:val="1C1E2E"/>
          <w:sz w:val="22"/>
        </w:rPr>
        <w:t>undergraduate GPA on the 0–10 Spanish scale</w:t>
      </w:r>
      <w:r>
        <w:rPr>
          <w:rFonts w:ascii="Inter" w:hAnsi="Inter" w:cs="Inter"/>
          <w:b w:val="0"/>
          <w:i w:val="0"/>
          <w:color w:val="1C1E2E"/>
          <w:sz w:val="22"/>
        </w:rPr>
        <w:t xml:space="preserve"> from the official equivalence → §A.2.</w:t>
      </w:r>
    </w:p>
    <w:p>
      <w:pPr>
        <w:pStyle w:val="ListBullet"/>
        <w:spacing w:after="60"/>
        <w:ind w:left="403"/>
      </w:pPr>
      <w:r>
        <w:rPr>
          <w:rFonts w:ascii="Inter" w:hAnsi="Inter" w:cs="Inter"/>
          <w:b w:val="0"/>
          <w:i w:val="0"/>
          <w:color w:val="1C1E2E"/>
          <w:sz w:val="22"/>
        </w:rPr>
        <w:t xml:space="preserve">☐ Verify the status of the </w:t>
      </w:r>
      <w:r>
        <w:rPr>
          <w:rFonts w:ascii="Inter" w:hAnsi="Inter" w:cs="Inter"/>
          <w:b/>
          <w:i w:val="0"/>
          <w:color w:val="1C1E2E"/>
          <w:sz w:val="22"/>
        </w:rPr>
        <w:t>Extraordinary Master's Award</w:t>
      </w:r>
      <w:r>
        <w:rPr>
          <w:rFonts w:ascii="Inter" w:hAnsi="Inter" w:cs="Inter"/>
          <w:b w:val="0"/>
          <w:i w:val="0"/>
          <w:color w:val="1C1E2E"/>
          <w:sz w:val="22"/>
        </w:rPr>
        <w:t xml:space="preserve"> with the registrar → §B.2.</w:t>
      </w:r>
    </w:p>
    <w:p>
      <w:pPr>
        <w:pStyle w:val="ListBullet"/>
        <w:spacing w:after="60"/>
        <w:ind w:left="403"/>
      </w:pPr>
      <w:r>
        <w:rPr>
          <w:rFonts w:ascii="Inter" w:hAnsi="Inter" w:cs="Inter"/>
          <w:b w:val="0"/>
          <w:i w:val="0"/>
          <w:color w:val="1C1E2E"/>
          <w:sz w:val="22"/>
        </w:rPr>
        <w:t xml:space="preserve">☐ Ask the committee whether </w:t>
      </w:r>
      <w:r>
        <w:rPr>
          <w:rFonts w:ascii="Inter" w:hAnsi="Inter" w:cs="Inter"/>
          <w:b/>
          <w:i w:val="0"/>
          <w:color w:val="1C1E2E"/>
          <w:sz w:val="22"/>
        </w:rPr>
        <w:t>English counts</w:t>
      </w:r>
      <w:r>
        <w:rPr>
          <w:rFonts w:ascii="Inter" w:hAnsi="Inter" w:cs="Inter"/>
          <w:b w:val="0"/>
          <w:i w:val="0"/>
          <w:color w:val="1C1E2E"/>
          <w:sz w:val="22"/>
        </w:rPr>
        <w:t xml:space="preserve"> in the languages item → §B.4.</w:t>
      </w:r>
    </w:p>
    <w:p>
      <w:pPr>
        <w:pStyle w:val="ListBullet"/>
        <w:spacing w:after="60"/>
        <w:ind w:left="403"/>
      </w:pPr>
      <w:r>
        <w:rPr>
          <w:rFonts w:ascii="Inter" w:hAnsi="Inter" w:cs="Inter"/>
          <w:b w:val="0"/>
          <w:i w:val="0"/>
          <w:color w:val="1C1E2E"/>
          <w:sz w:val="22"/>
        </w:rPr>
        <w:t xml:space="preserve">☐ Complete the </w:t>
      </w:r>
      <w:r>
        <w:rPr>
          <w:rFonts w:ascii="Inter" w:hAnsi="Inter" w:cs="Inter"/>
          <w:b/>
          <w:i w:val="0"/>
          <w:color w:val="1C1E2E"/>
          <w:sz w:val="22"/>
        </w:rPr>
        <w:t>academic year</w:t>
      </w:r>
      <w:r>
        <w:rPr>
          <w:rFonts w:ascii="Inter" w:hAnsi="Inter" w:cs="Inter"/>
          <w:b w:val="0"/>
          <w:i w:val="0"/>
          <w:color w:val="1C1E2E"/>
          <w:sz w:val="22"/>
        </w:rPr>
        <w:t xml:space="preserve"> and </w:t>
      </w:r>
      <w:r>
        <w:rPr>
          <w:rFonts w:ascii="Inter" w:hAnsi="Inter" w:cs="Inter"/>
          <w:b/>
          <w:i w:val="0"/>
          <w:color w:val="1C1E2E"/>
          <w:sz w:val="22"/>
        </w:rPr>
        <w:t>official name</w:t>
      </w:r>
      <w:r>
        <w:rPr>
          <w:rFonts w:ascii="Inter" w:hAnsi="Inter" w:cs="Inter"/>
          <w:b w:val="0"/>
          <w:i w:val="0"/>
          <w:color w:val="1C1E2E"/>
          <w:sz w:val="22"/>
        </w:rPr>
        <w:t xml:space="preserve"> of both scholarships and attach their resolutions → §B.5.</w:t>
      </w:r>
    </w:p>
    <w:p>
      <w:pPr>
        <w:pStyle w:val="ListBullet"/>
        <w:spacing w:after="60"/>
        <w:ind w:left="403"/>
      </w:pPr>
      <w:r>
        <w:rPr>
          <w:rFonts w:ascii="Inter" w:hAnsi="Inter" w:cs="Inter"/>
          <w:b w:val="0"/>
          <w:i w:val="0"/>
          <w:color w:val="1C1E2E"/>
          <w:sz w:val="22"/>
        </w:rPr>
        <w:t xml:space="preserve">☐ Scan all documents into a </w:t>
      </w:r>
      <w:r>
        <w:rPr>
          <w:rFonts w:ascii="Inter" w:hAnsi="Inter" w:cs="Inter"/>
          <w:b/>
          <w:i w:val="0"/>
          <w:color w:val="1C1E2E"/>
          <w:sz w:val="22"/>
        </w:rPr>
        <w:t>single PDF</w:t>
      </w:r>
      <w:r>
        <w:rPr>
          <w:rFonts w:ascii="Inter" w:hAnsi="Inter" w:cs="Inter"/>
          <w:b w:val="0"/>
          <w:i w:val="0"/>
          <w:color w:val="1C1E2E"/>
          <w:sz w:val="22"/>
        </w:rPr>
        <w:t>, in the Annex §8 order, with a cover index.</w:t>
      </w:r>
    </w:p>
    <w:p>
      <w:pPr>
        <w:pStyle w:val="ListBullet"/>
        <w:spacing w:after="60"/>
        <w:ind w:left="403"/>
      </w:pPr>
      <w:r>
        <w:rPr>
          <w:rFonts w:ascii="Inter" w:hAnsi="Inter" w:cs="Inter"/>
          <w:b w:val="0"/>
          <w:i w:val="0"/>
          <w:color w:val="1C1E2E"/>
          <w:sz w:val="22"/>
        </w:rPr>
        <w:t xml:space="preserve">☐ Attach the </w:t>
      </w:r>
      <w:r>
        <w:rPr>
          <w:rFonts w:ascii="Inter" w:hAnsi="Inter" w:cs="Inter"/>
          <w:b/>
          <w:i w:val="0"/>
          <w:color w:val="1C1E2E"/>
          <w:sz w:val="22"/>
        </w:rPr>
        <w:t>MLLDE thesis proposal</w:t>
      </w:r>
      <w:r>
        <w:rPr>
          <w:rFonts w:ascii="Inter" w:hAnsi="Inter" w:cs="Inter"/>
          <w:b w:val="0"/>
          <w:i w:val="0"/>
          <w:color w:val="1C1E2E"/>
          <w:sz w:val="22"/>
        </w:rPr>
        <w:t xml:space="preserve"> (separate document, </w:t>
      </w:r>
      <w:r>
        <w:rPr>
          <w:rFonts w:ascii="Consolas" w:hAnsi="Consolas" w:cs="Consolas"/>
          <w:b w:val="0"/>
          <w:i w:val="0"/>
          <w:color w:val="5B5F77"/>
          <w:sz w:val="21"/>
        </w:rPr>
        <w:t>01-propuesta/</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Check that no declared merit is left without its supporting document.</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Prepared with AI assistance (Claude Code, Anthropic) under human supervision and verification; all data comes from the author's verified professional profile.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