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42"/>
        </w:rPr>
        <w:t>ANEXO DE DOCUMENTACIÓN ACREDITATIVA</w:t>
      </w: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Ana Eslava-Graterol — Solicitud de admisión al Programa de Doctorado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Supporting-evidence annex — PhD admission application</w:t>
      </w:r>
    </w:p>
    <w:p>
      <w:r>
        <w:rPr>
          <w:rFonts w:ascii="Inter" w:hAnsi="Inter" w:cs="Inter"/>
          <w:b/>
          <w:i w:val="0"/>
          <w:color w:val="1C1E2E"/>
          <w:sz w:val="22"/>
        </w:rPr>
        <w:t>Programa / Programme: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Doctorado en Lingüística Aplicada — Universitat Politècnica de València </w:t>
      </w:r>
      <w:r>
        <w:rPr>
          <w:rFonts w:ascii="Inter" w:hAnsi="Inter" w:cs="Inter"/>
          <w:b/>
          <w:i w:val="0"/>
          <w:color w:val="1C1E2E"/>
          <w:sz w:val="22"/>
        </w:rPr>
        <w:t>Propuesta de tesis / Thesis proposal: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MLLDE — </w:t>
      </w:r>
      <w:r>
        <w:rPr>
          <w:rFonts w:ascii="Inter" w:hAnsi="Inter" w:cs="Inter"/>
          <w:b w:val="0"/>
          <w:i/>
          <w:color w:val="1C1E2E"/>
          <w:sz w:val="22"/>
        </w:rPr>
        <w:t>Mobile Language Learning Design Environment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/>
          <w:i w:val="0"/>
          <w:color w:val="1C1E2E"/>
          <w:sz w:val="22"/>
        </w:rPr>
        <w:t>Fecha / Date: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/>
          <w:i w:val="0"/>
          <w:color w:val="1C1E2E"/>
          <w:sz w:val="22"/>
        </w:rPr>
        <w:t>_</w:t>
      </w:r>
      <w:r>
        <w:rPr>
          <w:rFonts w:ascii="Inter" w:hAnsi="Inter" w:cs="Inter"/>
          <w:b/>
          <w:i w:val="0"/>
          <w:color w:val="1C1E2E"/>
          <w:sz w:val="22"/>
        </w:rPr>
        <w:t>_</w:t>
      </w:r>
      <w:r>
        <w:rPr>
          <w:rFonts w:ascii="Inter" w:hAnsi="Inter" w:cs="Inter"/>
          <w:b/>
          <w:i w:val="0"/>
          <w:color w:val="1C1E2E"/>
          <w:sz w:val="22"/>
        </w:rPr>
        <w:t>_</w:t>
      </w:r>
      <w:r>
        <w:rPr>
          <w:rFonts w:ascii="Inter" w:hAnsi="Inter" w:cs="Inter"/>
          <w:b/>
          <w:i w:val="0"/>
          <w:color w:val="1C1E2E"/>
          <w:sz w:val="22"/>
        </w:rPr>
        <w:t>_</w:t>
      </w:r>
      <w:r>
        <w:rPr>
          <w:rFonts w:ascii="Inter" w:hAnsi="Inter" w:cs="Inter"/>
          <w:b/>
          <w:i w:val="0"/>
          <w:color w:val="1C1E2E"/>
          <w:sz w:val="22"/>
        </w:rPr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Cómo usar esta portada.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Imprímela como </w:t>
      </w:r>
      <w:r>
        <w:rPr>
          <w:rFonts w:ascii="Inter" w:hAnsi="Inter" w:cs="Inter"/>
          <w:b/>
          <w:i w:val="0"/>
          <w:color w:val="5B5F77"/>
          <w:sz w:val="21"/>
        </w:rPr>
        <w:t>primera página del PDF único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de documentación. Cada documento va detrás, en el orden de la tabla, con el código DOC-nn escrito a mano o sellado en la esquina superior derecha. La comisión debe poder ir del mérito del CV al documento en un solo salto. </w:t>
      </w:r>
      <w:r>
        <w:rPr>
          <w:rFonts w:ascii="Inter" w:hAnsi="Inter" w:cs="Inter"/>
          <w:b w:val="0"/>
          <w:i/>
          <w:color w:val="5B5F77"/>
          <w:sz w:val="21"/>
        </w:rPr>
        <w:t xml:space="preserve">How to use this cover sheet. Print it as the </w:t>
      </w:r>
      <w:r>
        <w:rPr>
          <w:rFonts w:ascii="Inter" w:hAnsi="Inter" w:cs="Inter"/>
          <w:b w:val="0"/>
          <w:i/>
          <w:color w:val="5B5F77"/>
          <w:sz w:val="21"/>
        </w:rPr>
        <w:t>first page of the single evidence PDF</w:t>
      </w:r>
      <w:r>
        <w:rPr>
          <w:rFonts w:ascii="Inter" w:hAnsi="Inter" w:cs="Inter"/>
          <w:b w:val="0"/>
          <w:i/>
          <w:color w:val="5B5F77"/>
          <w:sz w:val="21"/>
        </w:rPr>
        <w:t>. Each document follows in table order, with its DOC-nn code marked in the top-right corner, so the committee can jump from a CV merit to its document in one step.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 xml:space="preserve">Bloque A — Expediente académico (70 %) · </w:t>
      </w:r>
      <w:r>
        <w:rPr>
          <w:rFonts w:ascii="Fraunces" w:hAnsi="Fraunces" w:cs="Fraunces"/>
          <w:b/>
          <w:i w:val="0"/>
          <w:color w:val="22307C"/>
          <w:sz w:val="32"/>
        </w:rPr>
        <w:t>Academic record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Código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Documento / Document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Acredita / Supports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☑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Certificación académica personal UPV — nota media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9,4/10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y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2 Matrículas de Honor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·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UPV transcript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A.1 · B.2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Título o resguardo del Máster en Lenguas y Tecnología (UPV) ·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Master's certificate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A.1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Certificación académica personal ULA con nota media ·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ULA transcript with GPA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A.2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DOC-04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Título de Licenciatura en Educación, mención Inglés (ULA) ·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Undergraduate degree certificate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A.2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Equivalencia / declaración de equivalencia de nivel académico ·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Official academic-level equivalence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A.2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</w:tbl>
    <w:p/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 xml:space="preserve">Bloque B — Otros méritos (30 %) · </w:t>
      </w:r>
      <w:r>
        <w:rPr>
          <w:rFonts w:ascii="Fraunces" w:hAnsi="Fraunces" w:cs="Fraunces"/>
          <w:b/>
          <w:i w:val="0"/>
          <w:color w:val="22307C"/>
          <w:sz w:val="32"/>
        </w:rPr>
        <w:t>Other merits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Código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Documento / Document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Mérito / Merit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☑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Resolución o diploma del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Premio Extraordinario Fin de Carrera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(ULA, 2004)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B.1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Certificación de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primer rango de promoción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y distinción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Summa Cum Laude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B.1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DOC-08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Resolución del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Premio Extraordinario de Máster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(solo si está resuelto — verificar en Secretaría)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B.2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DOC-09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Certificado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C1 Advanced (CAE)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Cambridge English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B.4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DOC-10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Certificado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CELTA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Cambridge English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B.4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Acreditación de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examinadora DELE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Instituto Cervantes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B.4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Credencial de la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Beca de Excelencia Académica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(ULA, grado)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B.5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Resolución de concesión de la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beca del Ministerio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(máster, UPV)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B.5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DOC-14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Sotelo-Casas et al. (2019),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Estuarine, Coastal and Shelf Science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portada +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página de agradecimientos (p. 8)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B.6 · §5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Evidencia de la calificación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10/10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de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Academic Writing Journey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(UPV, 2026)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A.1 · B.6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Certificados de servicio docente — UDO (2005–2015),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1.568 horas acreditadas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B.6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DOC-17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Vida laboral / certificado de actividad profesional en España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B.6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DOC-18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Acreditación de tutoría en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AVE Global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Instituto Cervantes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B.6 · 5 %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</w:tbl>
    <w:p/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 xml:space="preserve">Producción científica y formación · </w:t>
      </w:r>
      <w:r>
        <w:rPr>
          <w:rFonts w:ascii="Fraunces" w:hAnsi="Fraunces" w:cs="Fraunces"/>
          <w:b/>
          <w:i w:val="0"/>
          <w:color w:val="22307C"/>
          <w:sz w:val="32"/>
        </w:rPr>
        <w:t>Research output and training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Código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Documento / Document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Acredita / Supports</w:t>
            </w:r>
          </w:p>
        </w:tc>
        <w:tc>
          <w:tcPr>
            <w:tcW w:type="dxa" w:w="2412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☑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DOC-19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Publicación en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Kaleidoscopio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(ISSN 1690-6054, indexada en CLASE–UNAM) —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primera y última página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§5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DOC-20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Certificado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Instructional Design: Course Planning and Pedagogy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UC Irvine (ene. 2025)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DOC-21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Certificado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Instructional Design Fundamentals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University of Cambridge (mar. 2025)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DOC-22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AP Stylebook Workshop Certificate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The Associated Press (may. 2024)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DOC-23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Certificado SEPE — contenidos digitales, mobile learning y gamificación (2024)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§6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☐</w:t>
            </w:r>
          </w:p>
        </w:tc>
      </w:tr>
    </w:tbl>
    <w:p/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 xml:space="preserve">Tres verificaciones antes de escanear · </w:t>
      </w:r>
      <w:r>
        <w:rPr>
          <w:rFonts w:ascii="Fraunces" w:hAnsi="Fraunces" w:cs="Fraunces"/>
          <w:b/>
          <w:i w:val="0"/>
          <w:color w:val="22307C"/>
          <w:sz w:val="32"/>
        </w:rPr>
        <w:t>Three checks before scanning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Nota media de la licenciatura en escala 0–10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según la equivalencia oficial → es el dato que la comisión introduce en el 70 %.</w:t>
      </w:r>
    </w:p>
    <w:p>
      <w:r>
        <w:rPr>
          <w:rFonts w:ascii="Inter" w:hAnsi="Inter" w:cs="Inter"/>
          <w:b w:val="0"/>
          <w:i/>
          <w:color w:val="1C1E2E"/>
          <w:sz w:val="22"/>
        </w:rPr>
        <w:t>Undergraduate GPA on the Spanish 0–10 scale, as stated in the official equivalence.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Estado del Premio Extraordinario de Máster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Secretaría → si no está resuelto, </w:t>
      </w:r>
      <w:r>
        <w:rPr>
          <w:rFonts w:ascii="Inter" w:hAnsi="Inter" w:cs="Inter"/>
          <w:b/>
          <w:i w:val="0"/>
          <w:color w:val="1C1E2E"/>
          <w:sz w:val="22"/>
        </w:rPr>
        <w:t>no lo declares como premio</w:t>
      </w:r>
      <w:r>
        <w:rPr>
          <w:rFonts w:ascii="Inter" w:hAnsi="Inter" w:cs="Inter"/>
          <w:b w:val="0"/>
          <w:i w:val="0"/>
          <w:color w:val="1C1E2E"/>
          <w:sz w:val="22"/>
        </w:rPr>
        <w:t>; declara las 2 Matrículas de Honor.</w:t>
      </w:r>
    </w:p>
    <w:p>
      <w:r>
        <w:rPr>
          <w:rFonts w:ascii="Inter" w:hAnsi="Inter" w:cs="Inter"/>
          <w:b w:val="0"/>
          <w:i/>
          <w:color w:val="1C1E2E"/>
          <w:sz w:val="22"/>
        </w:rPr>
        <w:t>Status of the Extraordinary Master's Award — if unresolved, declare the 2 Matrículas de Honor instead.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Elegibilidad del inglés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el apartado de idiomas → preguntar a la comisión si computa, dado que las titulaciones previas son de inglés.</w:t>
      </w:r>
    </w:p>
    <w:p>
      <w:r>
        <w:rPr>
          <w:rFonts w:ascii="Inter" w:hAnsi="Inter" w:cs="Inter"/>
          <w:b w:val="0"/>
          <w:i/>
          <w:color w:val="1C1E2E"/>
          <w:sz w:val="22"/>
        </w:rPr>
        <w:t>Eligibility of English in the languages item — ask the committee, since the previous degrees are English degrees.</w:t>
      </w:r>
    </w:p>
    <w:p>
      <w:pPr>
        <w:pBdr>
          <w:bottom w:val="single" w:sz="6" w:space="1" w:color="E6E8F2"/>
        </w:pBdr>
      </w:pPr>
    </w:p>
    <w:p>
      <w:r>
        <w:rPr>
          <w:rFonts w:ascii="Inter" w:hAnsi="Inter" w:cs="Inter"/>
          <w:b w:val="0"/>
          <w:i/>
          <w:color w:val="1C1E2E"/>
          <w:sz w:val="22"/>
        </w:rPr>
        <w:t>© 2026 Ana Eslava-Graterol (ProfeAnaEslavaEdTech) · Universitat Politècnica de València.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Inter" w:hAnsi="Inter"/>
      <w:color w:val="1C1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