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320" w:after="120"/>
      </w:pPr>
      <w:r>
        <w:rPr>
          <w:rFonts w:ascii="Fraunces" w:hAnsi="Fraunces" w:cs="Fraunces"/>
          <w:b/>
          <w:i w:val="0"/>
          <w:color w:val="22307C"/>
          <w:sz w:val="42"/>
        </w:rPr>
        <w:t>ANEXO DE DOCUMENTACIÓN ACREDITATIVA</w:t>
      </w:r>
    </w:p>
    <w:p>
      <w:pPr>
        <w:spacing w:before="320" w:after="120"/>
      </w:pPr>
      <w:r>
        <w:rPr>
          <w:rFonts w:ascii="Fraunces" w:hAnsi="Fraunces" w:cs="Fraunces"/>
          <w:b/>
          <w:i w:val="0"/>
          <w:color w:val="22307C"/>
          <w:sz w:val="32"/>
        </w:rPr>
        <w:t>Ana Eslava-Graterol — Solicitud de admisión al Programa de Doctorado</w:t>
      </w:r>
    </w:p>
    <w:p>
      <w:pPr>
        <w:spacing w:before="240" w:after="120"/>
      </w:pPr>
      <w:r>
        <w:rPr>
          <w:rFonts w:ascii="Inter" w:hAnsi="Inter" w:cs="Inter"/>
          <w:b/>
          <w:i w:val="0"/>
          <w:color w:val="1C1E2E"/>
          <w:sz w:val="26"/>
        </w:rPr>
        <w:t>Supporting-evidence annex — PhD admission application</w:t>
      </w:r>
    </w:p>
    <w:p>
      <w:r>
        <w:rPr>
          <w:rFonts w:ascii="Inter" w:hAnsi="Inter" w:cs="Inter"/>
          <w:b/>
          <w:i w:val="0"/>
          <w:color w:val="1C1E2E"/>
          <w:sz w:val="22"/>
        </w:rPr>
        <w:t>Programa / Programme:</w:t>
      </w:r>
      <w:r>
        <w:rPr>
          <w:rFonts w:ascii="Inter" w:hAnsi="Inter" w:cs="Inter"/>
          <w:b w:val="0"/>
          <w:i w:val="0"/>
          <w:color w:val="1C1E2E"/>
          <w:sz w:val="22"/>
        </w:rPr>
        <w:t xml:space="preserve"> Doctorado en Lingüística Aplicada — Universitat Politècnica de València </w:t>
      </w:r>
      <w:r>
        <w:rPr>
          <w:rFonts w:ascii="Inter" w:hAnsi="Inter" w:cs="Inter"/>
          <w:b/>
          <w:i w:val="0"/>
          <w:color w:val="1C1E2E"/>
          <w:sz w:val="22"/>
        </w:rPr>
        <w:t>Propuesta de tesis / Thesis proposal:</w:t>
      </w:r>
      <w:r>
        <w:rPr>
          <w:rFonts w:ascii="Inter" w:hAnsi="Inter" w:cs="Inter"/>
          <w:b w:val="0"/>
          <w:i w:val="0"/>
          <w:color w:val="1C1E2E"/>
          <w:sz w:val="22"/>
        </w:rPr>
        <w:t xml:space="preserve"> MLLDE — </w:t>
      </w:r>
      <w:r>
        <w:rPr>
          <w:rFonts w:ascii="Inter" w:hAnsi="Inter" w:cs="Inter"/>
          <w:b w:val="0"/>
          <w:i/>
          <w:color w:val="1C1E2E"/>
          <w:sz w:val="22"/>
        </w:rPr>
        <w:t>Mobile Language Learning Design Environment</w:t>
      </w:r>
      <w:r>
        <w:rPr>
          <w:rFonts w:ascii="Inter" w:hAnsi="Inter" w:cs="Inter"/>
          <w:b w:val="0"/>
          <w:i w:val="0"/>
          <w:color w:val="1C1E2E"/>
          <w:sz w:val="22"/>
        </w:rPr>
        <w:t xml:space="preserve"> </w:t>
      </w:r>
      <w:r>
        <w:rPr>
          <w:rFonts w:ascii="Inter" w:hAnsi="Inter" w:cs="Inter"/>
          <w:b/>
          <w:i w:val="0"/>
          <w:color w:val="1C1E2E"/>
          <w:sz w:val="22"/>
        </w:rPr>
        <w:t>Fecha / Date:</w:t>
      </w:r>
      <w:r>
        <w:rPr>
          <w:rFonts w:ascii="Inter" w:hAnsi="Inter" w:cs="Inter"/>
          <w:b w:val="0"/>
          <w:i w:val="0"/>
          <w:color w:val="1C1E2E"/>
          <w:sz w:val="22"/>
        </w:rPr>
        <w:t xml:space="preserve"> </w:t>
      </w:r>
      <w:r>
        <w:rPr>
          <w:rFonts w:ascii="Inter" w:hAnsi="Inter" w:cs="Inter"/>
          <w:b/>
          <w:i w:val="0"/>
          <w:color w:val="1C1E2E"/>
          <w:sz w:val="22"/>
        </w:rPr>
        <w:t>_</w:t>
      </w:r>
      <w:r>
        <w:rPr>
          <w:rFonts w:ascii="Inter" w:hAnsi="Inter" w:cs="Inter"/>
          <w:b/>
          <w:i w:val="0"/>
          <w:color w:val="1C1E2E"/>
          <w:sz w:val="22"/>
        </w:rPr>
        <w:t>_</w:t>
      </w:r>
      <w:r>
        <w:rPr>
          <w:rFonts w:ascii="Inter" w:hAnsi="Inter" w:cs="Inter"/>
          <w:b/>
          <w:i w:val="0"/>
          <w:color w:val="1C1E2E"/>
          <w:sz w:val="22"/>
        </w:rPr>
        <w:t>_</w:t>
      </w:r>
      <w:r>
        <w:rPr>
          <w:rFonts w:ascii="Inter" w:hAnsi="Inter" w:cs="Inter"/>
          <w:b/>
          <w:i w:val="0"/>
          <w:color w:val="1C1E2E"/>
          <w:sz w:val="22"/>
        </w:rPr>
        <w:t>_</w:t>
      </w:r>
      <w:r>
        <w:rPr>
          <w:rFonts w:ascii="Inter" w:hAnsi="Inter" w:cs="Inter"/>
          <w:b/>
          <w:i w:val="0"/>
          <w:color w:val="1C1E2E"/>
          <w:sz w:val="22"/>
        </w:rPr>
      </w:r>
    </w:p>
    <w:p>
      <w:pPr>
        <w:pBdr>
          <w:left w:val="single" w:sz="18" w:space="8" w:color="9A5B00"/>
        </w:pBdr>
        <w:spacing w:before="120" w:after="200"/>
        <w:ind w:left="317"/>
      </w:pPr>
      <w:r>
        <w:rPr>
          <w:rFonts w:ascii="Inter" w:hAnsi="Inter" w:cs="Inter"/>
          <w:b/>
          <w:i w:val="0"/>
          <w:color w:val="5B5F77"/>
          <w:sz w:val="21"/>
        </w:rPr>
        <w:t>Cómo usar esta portada.</w:t>
      </w:r>
      <w:r>
        <w:rPr>
          <w:rFonts w:ascii="Inter" w:hAnsi="Inter" w:cs="Inter"/>
          <w:b w:val="0"/>
          <w:i w:val="0"/>
          <w:color w:val="5B5F77"/>
          <w:sz w:val="21"/>
        </w:rPr>
        <w:t xml:space="preserve"> Imprímela como </w:t>
      </w:r>
      <w:r>
        <w:rPr>
          <w:rFonts w:ascii="Inter" w:hAnsi="Inter" w:cs="Inter"/>
          <w:b/>
          <w:i w:val="0"/>
          <w:color w:val="5B5F77"/>
          <w:sz w:val="21"/>
        </w:rPr>
        <w:t>primera página del PDF único</w:t>
      </w:r>
      <w:r>
        <w:rPr>
          <w:rFonts w:ascii="Inter" w:hAnsi="Inter" w:cs="Inter"/>
          <w:b w:val="0"/>
          <w:i w:val="0"/>
          <w:color w:val="5B5F77"/>
          <w:sz w:val="21"/>
        </w:rPr>
        <w:t xml:space="preserve"> de documentación. Cada documento va detrás, en el orden de la tabla, con el código DOC-nn escrito a mano o sellado en la esquina superior derecha. La comisión debe poder ir del mérito del CV al documento en un solo salto. </w:t>
      </w:r>
      <w:r>
        <w:rPr>
          <w:rFonts w:ascii="Inter" w:hAnsi="Inter" w:cs="Inter"/>
          <w:b w:val="0"/>
          <w:i/>
          <w:color w:val="5B5F77"/>
          <w:sz w:val="21"/>
        </w:rPr>
        <w:t xml:space="preserve">How to use this cover sheet. Print it as the </w:t>
      </w:r>
      <w:r>
        <w:rPr>
          <w:rFonts w:ascii="Inter" w:hAnsi="Inter" w:cs="Inter"/>
          <w:b w:val="0"/>
          <w:i/>
          <w:color w:val="5B5F77"/>
          <w:sz w:val="21"/>
        </w:rPr>
        <w:t>first page of the single evidence PDF</w:t>
      </w:r>
      <w:r>
        <w:rPr>
          <w:rFonts w:ascii="Inter" w:hAnsi="Inter" w:cs="Inter"/>
          <w:b w:val="0"/>
          <w:i/>
          <w:color w:val="5B5F77"/>
          <w:sz w:val="21"/>
        </w:rPr>
        <w:t>. Each document follows in table order, with its DOC-nn code marked in the top-right corner, so the committee can jump from a CV merit to its document in one step.</w:t>
      </w:r>
    </w:p>
    <w:p>
      <w:pPr>
        <w:pBdr>
          <w:bottom w:val="single" w:sz="6" w:space="1" w:color="E6E8F2"/>
        </w:pBdr>
      </w:pPr>
    </w:p>
    <w:p>
      <w:pPr>
        <w:spacing w:before="320" w:after="120"/>
      </w:pPr>
      <w:r>
        <w:rPr>
          <w:rFonts w:ascii="Fraunces" w:hAnsi="Fraunces" w:cs="Fraunces"/>
          <w:b/>
          <w:i w:val="0"/>
          <w:color w:val="22307C"/>
          <w:sz w:val="32"/>
        </w:rPr>
        <w:t xml:space="preserve">Bloque A — Expediente académico (70 %) · </w:t>
      </w:r>
      <w:r>
        <w:rPr>
          <w:rFonts w:ascii="Fraunces" w:hAnsi="Fraunces" w:cs="Fraunces"/>
          <w:b/>
          <w:i w:val="0"/>
          <w:color w:val="22307C"/>
          <w:sz w:val="32"/>
        </w:rPr>
        <w:t>Academic record</w:t>
      </w:r>
    </w:p>
    <w:tbl>
      <w:tblPr>
        <w:tblW w:type="auto" w:w="0"/>
        <w:jc w:val="left"/>
        <w:tblBorders>
          <w:top w:val="single" w:sz="4" w:space="0" w:color="E6E8F2"/>
          <w:left w:val="single" w:sz="4" w:space="0" w:color="E6E8F2"/>
          <w:bottom w:val="single" w:sz="4" w:space="0" w:color="E6E8F2"/>
          <w:right w:val="single" w:sz="4" w:space="0" w:color="E6E8F2"/>
          <w:insideH w:val="single" w:sz="4" w:space="0" w:color="E6E8F2"/>
          <w:insideV w:val="single" w:sz="4" w:space="0" w:color="E6E8F2"/>
        </w:tblBorders>
        <w:tblLayout w:type="autofit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2412"/>
            <w:shd w:val="clear" w:color="auto" w:fill="EEF2FD"/>
          </w:tcPr>
          <w:p>
            <w:pPr>
              <w:spacing w:after="40"/>
            </w:pPr>
            <w:r/>
            <w:r>
              <w:rPr>
                <w:rFonts w:ascii="Inter" w:hAnsi="Inter" w:cs="Inter"/>
                <w:b/>
                <w:i w:val="0"/>
                <w:color w:val="22307C"/>
                <w:sz w:val="19"/>
              </w:rPr>
              <w:t>Código</w:t>
            </w:r>
          </w:p>
        </w:tc>
        <w:tc>
          <w:tcPr>
            <w:tcW w:type="dxa" w:w="2412"/>
            <w:shd w:val="clear" w:color="auto" w:fill="EEF2FD"/>
          </w:tcPr>
          <w:p>
            <w:pPr>
              <w:spacing w:after="40"/>
            </w:pPr>
            <w:r/>
            <w:r>
              <w:rPr>
                <w:rFonts w:ascii="Inter" w:hAnsi="Inter" w:cs="Inter"/>
                <w:b/>
                <w:i w:val="0"/>
                <w:color w:val="22307C"/>
                <w:sz w:val="19"/>
              </w:rPr>
              <w:t>Documento / Document</w:t>
            </w:r>
          </w:p>
        </w:tc>
        <w:tc>
          <w:tcPr>
            <w:tcW w:type="dxa" w:w="2412"/>
            <w:shd w:val="clear" w:color="auto" w:fill="EEF2FD"/>
          </w:tcPr>
          <w:p>
            <w:pPr>
              <w:spacing w:after="40"/>
            </w:pPr>
            <w:r/>
            <w:r>
              <w:rPr>
                <w:rFonts w:ascii="Inter" w:hAnsi="Inter" w:cs="Inter"/>
                <w:b/>
                <w:i w:val="0"/>
                <w:color w:val="22307C"/>
                <w:sz w:val="19"/>
              </w:rPr>
              <w:t>Acredita / Supports</w:t>
            </w:r>
          </w:p>
        </w:tc>
        <w:tc>
          <w:tcPr>
            <w:tcW w:type="dxa" w:w="2412"/>
            <w:shd w:val="clear" w:color="auto" w:fill="EEF2FD"/>
          </w:tcPr>
          <w:p>
            <w:pPr>
              <w:spacing w:after="40"/>
            </w:pPr>
            <w:r/>
            <w:r>
              <w:rPr>
                <w:rFonts w:ascii="Inter" w:hAnsi="Inter" w:cs="Inter"/>
                <w:b/>
                <w:i w:val="0"/>
                <w:color w:val="22307C"/>
                <w:sz w:val="19"/>
              </w:rPr>
              <w:t>☑</w:t>
            </w:r>
          </w:p>
        </w:tc>
      </w:tr>
      <w:tr>
        <w:tc>
          <w:tcPr>
            <w:tcW w:type="dxa" w:w="2412"/>
          </w:tcPr>
          <w:p>
            <w:pPr>
              <w:spacing w:after="40"/>
            </w:pPr>
            <w:r/>
            <w:r>
              <w:rPr>
                <w:rFonts w:ascii="Inter" w:hAnsi="Inter" w:cs="Inter"/>
                <w:b/>
                <w:i w:val="0"/>
                <w:color w:val="1C1E2E"/>
                <w:sz w:val="19"/>
              </w:rPr>
              <w:t>DOC-01</w:t>
            </w:r>
          </w:p>
        </w:tc>
        <w:tc>
          <w:tcPr>
            <w:tcW w:type="dxa" w:w="2412"/>
          </w:tcPr>
          <w:p>
            <w:pPr>
              <w:spacing w:after="40"/>
            </w:pPr>
            <w:r/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 xml:space="preserve">Certificación académica personal UPV — nota media </w:t>
            </w:r>
            <w:r>
              <w:rPr>
                <w:rFonts w:ascii="Inter" w:hAnsi="Inter" w:cs="Inter"/>
                <w:b/>
                <w:i w:val="0"/>
                <w:color w:val="1C1E2E"/>
                <w:sz w:val="19"/>
              </w:rPr>
              <w:t>9,4/10</w:t>
            </w:r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 xml:space="preserve"> y </w:t>
            </w:r>
            <w:r>
              <w:rPr>
                <w:rFonts w:ascii="Inter" w:hAnsi="Inter" w:cs="Inter"/>
                <w:b/>
                <w:i w:val="0"/>
                <w:color w:val="1C1E2E"/>
                <w:sz w:val="19"/>
              </w:rPr>
              <w:t>2 Matrículas de Honor</w:t>
            </w:r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 xml:space="preserve"> · </w:t>
            </w:r>
            <w:r>
              <w:rPr>
                <w:rFonts w:ascii="Inter" w:hAnsi="Inter" w:cs="Inter"/>
                <w:b w:val="0"/>
                <w:i/>
                <w:color w:val="1C1E2E"/>
                <w:sz w:val="19"/>
              </w:rPr>
              <w:t>UPV transcript</w:t>
            </w:r>
          </w:p>
        </w:tc>
        <w:tc>
          <w:tcPr>
            <w:tcW w:type="dxa" w:w="2412"/>
          </w:tcPr>
          <w:p>
            <w:pPr>
              <w:spacing w:after="40"/>
            </w:pPr>
            <w:r/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>A.1 · B.2</w:t>
            </w:r>
          </w:p>
        </w:tc>
        <w:tc>
          <w:tcPr>
            <w:tcW w:type="dxa" w:w="2412"/>
          </w:tcPr>
          <w:p>
            <w:pPr>
              <w:spacing w:after="40"/>
            </w:pPr>
            <w:r/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>☐</w:t>
            </w:r>
          </w:p>
        </w:tc>
      </w:tr>
      <w:tr>
        <w:tc>
          <w:tcPr>
            <w:tcW w:type="dxa" w:w="2412"/>
          </w:tcPr>
          <w:p>
            <w:pPr>
              <w:spacing w:after="40"/>
            </w:pPr>
            <w:r/>
            <w:r>
              <w:rPr>
                <w:rFonts w:ascii="Inter" w:hAnsi="Inter" w:cs="Inter"/>
                <w:b/>
                <w:i w:val="0"/>
                <w:color w:val="1C1E2E"/>
                <w:sz w:val="19"/>
              </w:rPr>
              <w:t>DOC-02</w:t>
            </w:r>
          </w:p>
        </w:tc>
        <w:tc>
          <w:tcPr>
            <w:tcW w:type="dxa" w:w="2412"/>
          </w:tcPr>
          <w:p>
            <w:pPr>
              <w:spacing w:after="40"/>
            </w:pPr>
            <w:r/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 xml:space="preserve">Título o resguardo del Máster en Lenguas y Tecnología (UPV) · </w:t>
            </w:r>
            <w:r>
              <w:rPr>
                <w:rFonts w:ascii="Inter" w:hAnsi="Inter" w:cs="Inter"/>
                <w:b w:val="0"/>
                <w:i/>
                <w:color w:val="1C1E2E"/>
                <w:sz w:val="19"/>
              </w:rPr>
              <w:t>Master's certificate</w:t>
            </w:r>
          </w:p>
        </w:tc>
        <w:tc>
          <w:tcPr>
            <w:tcW w:type="dxa" w:w="2412"/>
          </w:tcPr>
          <w:p>
            <w:pPr>
              <w:spacing w:after="40"/>
            </w:pPr>
            <w:r/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>A.1</w:t>
            </w:r>
          </w:p>
        </w:tc>
        <w:tc>
          <w:tcPr>
            <w:tcW w:type="dxa" w:w="2412"/>
          </w:tcPr>
          <w:p>
            <w:pPr>
              <w:spacing w:after="40"/>
            </w:pPr>
            <w:r/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>☐</w:t>
            </w:r>
          </w:p>
        </w:tc>
      </w:tr>
      <w:tr>
        <w:tc>
          <w:tcPr>
            <w:tcW w:type="dxa" w:w="2412"/>
          </w:tcPr>
          <w:p>
            <w:pPr>
              <w:spacing w:after="40"/>
            </w:pPr>
            <w:r/>
            <w:r>
              <w:rPr>
                <w:rFonts w:ascii="Inter" w:hAnsi="Inter" w:cs="Inter"/>
                <w:b/>
                <w:i w:val="0"/>
                <w:color w:val="1C1E2E"/>
                <w:sz w:val="19"/>
              </w:rPr>
              <w:t>DOC-03</w:t>
            </w:r>
          </w:p>
        </w:tc>
        <w:tc>
          <w:tcPr>
            <w:tcW w:type="dxa" w:w="2412"/>
          </w:tcPr>
          <w:p>
            <w:pPr>
              <w:spacing w:after="40"/>
            </w:pPr>
            <w:r/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 xml:space="preserve">⭐ </w:t>
            </w:r>
            <w:r>
              <w:rPr>
                <w:rFonts w:ascii="Inter" w:hAnsi="Inter" w:cs="Inter"/>
                <w:b/>
                <w:i w:val="0"/>
                <w:color w:val="1C1E2E"/>
                <w:sz w:val="19"/>
              </w:rPr>
              <w:t>Certificación de Calificaciones Globales + listado</w:t>
            </w:r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 xml:space="preserve"> — ULA Secretaría, 28 ene. 2009 · </w:t>
            </w:r>
            <w:r>
              <w:rPr>
                <w:rFonts w:ascii="Inter" w:hAnsi="Inter" w:cs="Inter"/>
                <w:b w:val="0"/>
                <w:i/>
                <w:color w:val="1C1E2E"/>
                <w:sz w:val="19"/>
              </w:rPr>
              <w:t>ULA transcript</w:t>
            </w:r>
          </w:p>
        </w:tc>
        <w:tc>
          <w:tcPr>
            <w:tcW w:type="dxa" w:w="2412"/>
          </w:tcPr>
          <w:p>
            <w:pPr>
              <w:spacing w:after="40"/>
            </w:pPr>
            <w:r/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>A.2</w:t>
            </w:r>
          </w:p>
        </w:tc>
        <w:tc>
          <w:tcPr>
            <w:tcW w:type="dxa" w:w="2412"/>
          </w:tcPr>
          <w:p>
            <w:pPr>
              <w:spacing w:after="40"/>
            </w:pPr>
            <w:r/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>☑</w:t>
            </w:r>
          </w:p>
        </w:tc>
      </w:tr>
      <w:tr>
        <w:tc>
          <w:tcPr>
            <w:tcW w:type="dxa" w:w="2412"/>
          </w:tcPr>
          <w:p>
            <w:pPr>
              <w:spacing w:after="40"/>
            </w:pPr>
            <w:r/>
            <w:r>
              <w:rPr>
                <w:rFonts w:ascii="Inter" w:hAnsi="Inter" w:cs="Inter"/>
                <w:b/>
                <w:i w:val="0"/>
                <w:color w:val="1C1E2E"/>
                <w:sz w:val="19"/>
              </w:rPr>
              <w:t>DOC-04</w:t>
            </w:r>
          </w:p>
        </w:tc>
        <w:tc>
          <w:tcPr>
            <w:tcW w:type="dxa" w:w="2412"/>
          </w:tcPr>
          <w:p>
            <w:pPr>
              <w:spacing w:after="40"/>
            </w:pPr>
            <w:r/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 xml:space="preserve">Título de Licenciatura (ULA) + acta de grado con la distinción </w:t>
            </w:r>
            <w:r>
              <w:rPr>
                <w:rFonts w:ascii="Inter" w:hAnsi="Inter" w:cs="Inter"/>
                <w:b w:val="0"/>
                <w:i/>
                <w:color w:val="1C1E2E"/>
                <w:sz w:val="19"/>
              </w:rPr>
              <w:t>Summa Cum Laude</w:t>
            </w:r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 xml:space="preserve"> · </w:t>
            </w:r>
            <w:r>
              <w:rPr>
                <w:rFonts w:ascii="Inter" w:hAnsi="Inter" w:cs="Inter"/>
                <w:b w:val="0"/>
                <w:i/>
                <w:color w:val="1C1E2E"/>
                <w:sz w:val="19"/>
              </w:rPr>
              <w:t>Undergraduate degree + graduation record</w:t>
            </w:r>
          </w:p>
        </w:tc>
        <w:tc>
          <w:tcPr>
            <w:tcW w:type="dxa" w:w="2412"/>
          </w:tcPr>
          <w:p>
            <w:pPr>
              <w:spacing w:after="40"/>
            </w:pPr>
            <w:r/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>A.2</w:t>
            </w:r>
          </w:p>
        </w:tc>
        <w:tc>
          <w:tcPr>
            <w:tcW w:type="dxa" w:w="2412"/>
          </w:tcPr>
          <w:p>
            <w:pPr>
              <w:spacing w:after="40"/>
            </w:pPr>
            <w:r/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>☐</w:t>
            </w:r>
          </w:p>
        </w:tc>
      </w:tr>
      <w:tr>
        <w:tc>
          <w:tcPr>
            <w:tcW w:type="dxa" w:w="2412"/>
          </w:tcPr>
          <w:p>
            <w:pPr>
              <w:spacing w:after="40"/>
            </w:pPr>
            <w:r/>
            <w:r>
              <w:rPr>
                <w:rFonts w:ascii="Inter" w:hAnsi="Inter" w:cs="Inter"/>
                <w:b/>
                <w:i w:val="0"/>
                <w:color w:val="1C1E2E"/>
                <w:sz w:val="19"/>
              </w:rPr>
              <w:t>DOC-05B</w:t>
            </w:r>
          </w:p>
        </w:tc>
        <w:tc>
          <w:tcPr>
            <w:tcW w:type="dxa" w:w="2412"/>
          </w:tcPr>
          <w:p>
            <w:pPr>
              <w:spacing w:after="40"/>
            </w:pPr>
            <w:r/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 xml:space="preserve">⭐ </w:t>
            </w:r>
            <w:r>
              <w:rPr>
                <w:rFonts w:ascii="Inter" w:hAnsi="Inter" w:cs="Inter"/>
                <w:b/>
                <w:i w:val="0"/>
                <w:color w:val="1C1E2E"/>
                <w:sz w:val="19"/>
              </w:rPr>
              <w:t>Declaración de equivalencia del TÍTULO al nivel académico de GRADO</w:t>
            </w:r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 xml:space="preserve"> — Ministerio de Universidades, RD 967/2014, 17 jun. 2020 · rama Artes y Humanidades, campo Idiomas · </w:t>
            </w:r>
            <w:r>
              <w:rPr>
                <w:rFonts w:ascii="Inter" w:hAnsi="Inter" w:cs="Inter"/>
                <w:b w:val="0"/>
                <w:i/>
                <w:color w:val="1C1E2E"/>
                <w:sz w:val="19"/>
              </w:rPr>
              <w:t>Degree-level equivalence</w:t>
            </w:r>
          </w:p>
        </w:tc>
        <w:tc>
          <w:tcPr>
            <w:tcW w:type="dxa" w:w="2412"/>
          </w:tcPr>
          <w:p>
            <w:pPr>
              <w:spacing w:after="40"/>
            </w:pPr>
            <w:r/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 xml:space="preserve">A.2 · </w:t>
            </w:r>
            <w:r>
              <w:rPr>
                <w:rFonts w:ascii="Inter" w:hAnsi="Inter" w:cs="Inter"/>
                <w:b/>
                <w:i w:val="0"/>
                <w:color w:val="1C1E2E"/>
                <w:sz w:val="19"/>
              </w:rPr>
              <w:t>acceso al doctorado</w:t>
            </w:r>
          </w:p>
        </w:tc>
        <w:tc>
          <w:tcPr>
            <w:tcW w:type="dxa" w:w="2412"/>
          </w:tcPr>
          <w:p>
            <w:pPr>
              <w:spacing w:after="40"/>
            </w:pPr>
            <w:r/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>☑</w:t>
            </w:r>
          </w:p>
        </w:tc>
      </w:tr>
      <w:tr>
        <w:tc>
          <w:tcPr>
            <w:tcW w:type="dxa" w:w="2412"/>
          </w:tcPr>
          <w:p>
            <w:pPr>
              <w:spacing w:after="40"/>
            </w:pPr>
            <w:r/>
            <w:r>
              <w:rPr>
                <w:rFonts w:ascii="Inter" w:hAnsi="Inter" w:cs="Inter"/>
                <w:b/>
                <w:i w:val="0"/>
                <w:color w:val="1C1E2E"/>
                <w:sz w:val="19"/>
              </w:rPr>
              <w:t>DOC-05</w:t>
            </w:r>
          </w:p>
        </w:tc>
        <w:tc>
          <w:tcPr>
            <w:tcW w:type="dxa" w:w="2412"/>
          </w:tcPr>
          <w:p>
            <w:pPr>
              <w:spacing w:after="40"/>
            </w:pPr>
            <w:r/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 xml:space="preserve">⭐ </w:t>
            </w:r>
            <w:r>
              <w:rPr>
                <w:rFonts w:ascii="Inter" w:hAnsi="Inter" w:cs="Inter"/>
                <w:b/>
                <w:i w:val="0"/>
                <w:color w:val="1C1E2E"/>
                <w:sz w:val="19"/>
              </w:rPr>
              <w:t>Declaración de equivalencia de la nota media</w:t>
            </w:r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 xml:space="preserve"> — Secretaría General de Universidades · </w:t>
            </w:r>
            <w:r>
              <w:rPr>
                <w:rFonts w:ascii="Inter" w:hAnsi="Inter" w:cs="Inter"/>
                <w:b/>
                <w:i w:val="0"/>
                <w:color w:val="1C1E2E"/>
                <w:sz w:val="19"/>
              </w:rPr>
              <w:t>9,07/10</w:t>
            </w:r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 xml:space="preserve"> · CSV ⟨CSV en la copia entregada a la comisión⟩ · </w:t>
            </w:r>
            <w:r>
              <w:rPr>
                <w:rFonts w:ascii="Inter" w:hAnsi="Inter" w:cs="Inter"/>
                <w:b w:val="0"/>
                <w:i/>
                <w:color w:val="1C1E2E"/>
                <w:sz w:val="19"/>
              </w:rPr>
              <w:t>Grade-average equivalence declaration</w:t>
            </w:r>
          </w:p>
        </w:tc>
        <w:tc>
          <w:tcPr>
            <w:tcW w:type="dxa" w:w="2412"/>
          </w:tcPr>
          <w:p>
            <w:pPr>
              <w:spacing w:after="40"/>
            </w:pPr>
            <w:r/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 xml:space="preserve">A.2 · </w:t>
            </w:r>
            <w:r>
              <w:rPr>
                <w:rFonts w:ascii="Inter" w:hAnsi="Inter" w:cs="Inter"/>
                <w:b/>
                <w:i w:val="0"/>
                <w:color w:val="1C1E2E"/>
                <w:sz w:val="19"/>
              </w:rPr>
              <w:t>70 %</w:t>
            </w:r>
          </w:p>
        </w:tc>
        <w:tc>
          <w:tcPr>
            <w:tcW w:type="dxa" w:w="2412"/>
          </w:tcPr>
          <w:p>
            <w:pPr>
              <w:spacing w:after="40"/>
            </w:pPr>
            <w:r/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>☑</w:t>
            </w:r>
          </w:p>
        </w:tc>
      </w:tr>
    </w:tbl>
    <w:p/>
    <w:p>
      <w:pPr>
        <w:spacing w:before="320" w:after="120"/>
      </w:pPr>
      <w:r>
        <w:rPr>
          <w:rFonts w:ascii="Fraunces" w:hAnsi="Fraunces" w:cs="Fraunces"/>
          <w:b/>
          <w:i w:val="0"/>
          <w:color w:val="22307C"/>
          <w:sz w:val="32"/>
        </w:rPr>
        <w:t xml:space="preserve">Bloque B — Otros méritos (30 %) · </w:t>
      </w:r>
      <w:r>
        <w:rPr>
          <w:rFonts w:ascii="Fraunces" w:hAnsi="Fraunces" w:cs="Fraunces"/>
          <w:b/>
          <w:i w:val="0"/>
          <w:color w:val="22307C"/>
          <w:sz w:val="32"/>
        </w:rPr>
        <w:t>Other merits</w:t>
      </w:r>
    </w:p>
    <w:tbl>
      <w:tblPr>
        <w:tblW w:type="auto" w:w="0"/>
        <w:jc w:val="left"/>
        <w:tblBorders>
          <w:top w:val="single" w:sz="4" w:space="0" w:color="E6E8F2"/>
          <w:left w:val="single" w:sz="4" w:space="0" w:color="E6E8F2"/>
          <w:bottom w:val="single" w:sz="4" w:space="0" w:color="E6E8F2"/>
          <w:right w:val="single" w:sz="4" w:space="0" w:color="E6E8F2"/>
          <w:insideH w:val="single" w:sz="4" w:space="0" w:color="E6E8F2"/>
          <w:insideV w:val="single" w:sz="4" w:space="0" w:color="E6E8F2"/>
        </w:tblBorders>
        <w:tblLayout w:type="autofit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2412"/>
            <w:shd w:val="clear" w:color="auto" w:fill="EEF2FD"/>
          </w:tcPr>
          <w:p>
            <w:pPr>
              <w:spacing w:after="40"/>
            </w:pPr>
            <w:r/>
            <w:r>
              <w:rPr>
                <w:rFonts w:ascii="Inter" w:hAnsi="Inter" w:cs="Inter"/>
                <w:b/>
                <w:i w:val="0"/>
                <w:color w:val="22307C"/>
                <w:sz w:val="19"/>
              </w:rPr>
              <w:t>Código</w:t>
            </w:r>
          </w:p>
        </w:tc>
        <w:tc>
          <w:tcPr>
            <w:tcW w:type="dxa" w:w="2412"/>
            <w:shd w:val="clear" w:color="auto" w:fill="EEF2FD"/>
          </w:tcPr>
          <w:p>
            <w:pPr>
              <w:spacing w:after="40"/>
            </w:pPr>
            <w:r/>
            <w:r>
              <w:rPr>
                <w:rFonts w:ascii="Inter" w:hAnsi="Inter" w:cs="Inter"/>
                <w:b/>
                <w:i w:val="0"/>
                <w:color w:val="22307C"/>
                <w:sz w:val="19"/>
              </w:rPr>
              <w:t>Documento / Document</w:t>
            </w:r>
          </w:p>
        </w:tc>
        <w:tc>
          <w:tcPr>
            <w:tcW w:type="dxa" w:w="2412"/>
            <w:shd w:val="clear" w:color="auto" w:fill="EEF2FD"/>
          </w:tcPr>
          <w:p>
            <w:pPr>
              <w:spacing w:after="40"/>
            </w:pPr>
            <w:r/>
            <w:r>
              <w:rPr>
                <w:rFonts w:ascii="Inter" w:hAnsi="Inter" w:cs="Inter"/>
                <w:b/>
                <w:i w:val="0"/>
                <w:color w:val="22307C"/>
                <w:sz w:val="19"/>
              </w:rPr>
              <w:t>Mérito / Merit</w:t>
            </w:r>
          </w:p>
        </w:tc>
        <w:tc>
          <w:tcPr>
            <w:tcW w:type="dxa" w:w="2412"/>
            <w:shd w:val="clear" w:color="auto" w:fill="EEF2FD"/>
          </w:tcPr>
          <w:p>
            <w:pPr>
              <w:spacing w:after="40"/>
            </w:pPr>
            <w:r/>
            <w:r>
              <w:rPr>
                <w:rFonts w:ascii="Inter" w:hAnsi="Inter" w:cs="Inter"/>
                <w:b/>
                <w:i w:val="0"/>
                <w:color w:val="22307C"/>
                <w:sz w:val="19"/>
              </w:rPr>
              <w:t>☑</w:t>
            </w:r>
          </w:p>
        </w:tc>
      </w:tr>
      <w:tr>
        <w:tc>
          <w:tcPr>
            <w:tcW w:type="dxa" w:w="2412"/>
          </w:tcPr>
          <w:p>
            <w:pPr>
              <w:spacing w:after="40"/>
            </w:pPr>
            <w:r/>
            <w:r>
              <w:rPr>
                <w:rFonts w:ascii="Inter" w:hAnsi="Inter" w:cs="Inter"/>
                <w:b/>
                <w:i w:val="0"/>
                <w:color w:val="1C1E2E"/>
                <w:sz w:val="19"/>
              </w:rPr>
              <w:t>DOC-06</w:t>
            </w:r>
          </w:p>
        </w:tc>
        <w:tc>
          <w:tcPr>
            <w:tcW w:type="dxa" w:w="2412"/>
          </w:tcPr>
          <w:p>
            <w:pPr>
              <w:spacing w:after="40"/>
            </w:pPr>
            <w:r/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 xml:space="preserve">⭐ </w:t>
            </w:r>
            <w:r>
              <w:rPr>
                <w:rFonts w:ascii="Inter" w:hAnsi="Inter" w:cs="Inter"/>
                <w:b/>
                <w:i w:val="0"/>
                <w:color w:val="1C1E2E"/>
                <w:sz w:val="19"/>
              </w:rPr>
              <w:t>Constancia de Rango Académico</w:t>
            </w:r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 xml:space="preserve"> — </w:t>
            </w:r>
            <w:r>
              <w:rPr>
                <w:rFonts w:ascii="Inter" w:hAnsi="Inter" w:cs="Inter"/>
                <w:b/>
                <w:i w:val="0"/>
                <w:color w:val="1C1E2E"/>
                <w:sz w:val="19"/>
              </w:rPr>
              <w:t>1.º de 56 graduandos</w:t>
            </w:r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 xml:space="preserve">, 18,97 vs 15,77 · certificación rectoral n.º ⟨n.º en la copia entregada a la comisión⟩ · </w:t>
            </w:r>
            <w:r>
              <w:rPr>
                <w:rFonts w:ascii="Inter" w:hAnsi="Inter" w:cs="Inter"/>
                <w:b/>
                <w:i w:val="0"/>
                <w:color w:val="1C1E2E"/>
                <w:sz w:val="19"/>
              </w:rPr>
              <w:t>Apostilla de La Haya ⟨n.º en la copia entregada a la comisión⟩</w:t>
            </w:r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 xml:space="preserve"> (código ⟨código en la copia entregada a la comisión⟩)</w:t>
            </w:r>
          </w:p>
        </w:tc>
        <w:tc>
          <w:tcPr>
            <w:tcW w:type="dxa" w:w="2412"/>
          </w:tcPr>
          <w:p>
            <w:pPr>
              <w:spacing w:after="40"/>
            </w:pPr>
            <w:r/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>B.1 · 5 %</w:t>
            </w:r>
          </w:p>
        </w:tc>
        <w:tc>
          <w:tcPr>
            <w:tcW w:type="dxa" w:w="2412"/>
          </w:tcPr>
          <w:p>
            <w:pPr>
              <w:spacing w:after="40"/>
            </w:pPr>
            <w:r/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>☑</w:t>
            </w:r>
          </w:p>
        </w:tc>
      </w:tr>
      <w:tr>
        <w:tc>
          <w:tcPr>
            <w:tcW w:type="dxa" w:w="2412"/>
          </w:tcPr>
          <w:p>
            <w:pPr>
              <w:spacing w:after="40"/>
            </w:pPr>
            <w:r/>
            <w:r>
              <w:rPr>
                <w:rFonts w:ascii="Inter" w:hAnsi="Inter" w:cs="Inter"/>
                <w:b/>
                <w:i w:val="0"/>
                <w:color w:val="1C1E2E"/>
                <w:sz w:val="19"/>
              </w:rPr>
              <w:t>DOC-07</w:t>
            </w:r>
          </w:p>
        </w:tc>
        <w:tc>
          <w:tcPr>
            <w:tcW w:type="dxa" w:w="2412"/>
          </w:tcPr>
          <w:p>
            <w:pPr>
              <w:spacing w:after="40"/>
            </w:pPr>
            <w:r/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 xml:space="preserve">⭐ </w:t>
            </w:r>
            <w:r>
              <w:rPr>
                <w:rFonts w:ascii="Inter" w:hAnsi="Inter" w:cs="Inter"/>
                <w:b/>
                <w:i w:val="0"/>
                <w:color w:val="1C1E2E"/>
                <w:sz w:val="19"/>
              </w:rPr>
              <w:t>Diploma de Honor</w:t>
            </w:r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 xml:space="preserve"> del Trabajo Especial de Grado — </w:t>
            </w:r>
            <w:r>
              <w:rPr>
                <w:rFonts w:ascii="Inter" w:hAnsi="Inter" w:cs="Inter"/>
                <w:b/>
                <w:i w:val="0"/>
                <w:color w:val="1C1E2E"/>
                <w:sz w:val="19"/>
              </w:rPr>
              <w:t>20/20 Sobresaliente</w:t>
            </w:r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>, Rector de la ULA, 15 nov. 2004</w:t>
            </w:r>
          </w:p>
        </w:tc>
        <w:tc>
          <w:tcPr>
            <w:tcW w:type="dxa" w:w="2412"/>
          </w:tcPr>
          <w:p>
            <w:pPr>
              <w:spacing w:after="40"/>
            </w:pPr>
            <w:r/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>B.1 · §5</w:t>
            </w:r>
          </w:p>
        </w:tc>
        <w:tc>
          <w:tcPr>
            <w:tcW w:type="dxa" w:w="2412"/>
          </w:tcPr>
          <w:p>
            <w:pPr>
              <w:spacing w:after="40"/>
            </w:pPr>
            <w:r/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>☑</w:t>
            </w:r>
          </w:p>
        </w:tc>
      </w:tr>
      <w:tr>
        <w:tc>
          <w:tcPr>
            <w:tcW w:type="dxa" w:w="2412"/>
          </w:tcPr>
          <w:p>
            <w:pPr>
              <w:spacing w:after="40"/>
            </w:pPr>
            <w:r/>
            <w:r>
              <w:rPr>
                <w:rFonts w:ascii="Inter" w:hAnsi="Inter" w:cs="Inter"/>
                <w:b/>
                <w:i w:val="0"/>
                <w:color w:val="1C1E2E"/>
                <w:sz w:val="19"/>
              </w:rPr>
              <w:t>DOC-08</w:t>
            </w:r>
          </w:p>
        </w:tc>
        <w:tc>
          <w:tcPr>
            <w:tcW w:type="dxa" w:w="2412"/>
          </w:tcPr>
          <w:p>
            <w:pPr>
              <w:spacing w:after="40"/>
            </w:pPr>
            <w:r/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 xml:space="preserve">Resolución del Premio Extraordinario de Máster — </w:t>
            </w:r>
            <w:r>
              <w:rPr>
                <w:rFonts w:ascii="Inter" w:hAnsi="Inter" w:cs="Inter"/>
                <w:b w:val="0"/>
                <w:i/>
                <w:color w:val="1C1E2E"/>
                <w:sz w:val="19"/>
              </w:rPr>
              <w:t>hoy no procede; el premio es el de grado</w:t>
            </w:r>
          </w:p>
        </w:tc>
        <w:tc>
          <w:tcPr>
            <w:tcW w:type="dxa" w:w="2412"/>
          </w:tcPr>
          <w:p>
            <w:pPr>
              <w:spacing w:after="40"/>
            </w:pPr>
            <w:r/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>B.2</w:t>
            </w:r>
          </w:p>
        </w:tc>
        <w:tc>
          <w:tcPr>
            <w:tcW w:type="dxa" w:w="2412"/>
          </w:tcPr>
          <w:p>
            <w:pPr>
              <w:spacing w:after="40"/>
            </w:pPr>
            <w:r/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>➖</w:t>
            </w:r>
          </w:p>
        </w:tc>
      </w:tr>
      <w:tr>
        <w:tc>
          <w:tcPr>
            <w:tcW w:type="dxa" w:w="2412"/>
          </w:tcPr>
          <w:p>
            <w:pPr>
              <w:spacing w:after="40"/>
            </w:pPr>
            <w:r/>
            <w:r>
              <w:rPr>
                <w:rFonts w:ascii="Inter" w:hAnsi="Inter" w:cs="Inter"/>
                <w:b/>
                <w:i w:val="0"/>
                <w:color w:val="1C1E2E"/>
                <w:sz w:val="19"/>
              </w:rPr>
              <w:t>DOC-09</w:t>
            </w:r>
          </w:p>
        </w:tc>
        <w:tc>
          <w:tcPr>
            <w:tcW w:type="dxa" w:w="2412"/>
          </w:tcPr>
          <w:p>
            <w:pPr>
              <w:spacing w:after="40"/>
            </w:pPr>
            <w:r/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 xml:space="preserve">Certificado </w:t>
            </w:r>
            <w:r>
              <w:rPr>
                <w:rFonts w:ascii="Inter" w:hAnsi="Inter" w:cs="Inter"/>
                <w:b/>
                <w:i w:val="0"/>
                <w:color w:val="1C1E2E"/>
                <w:sz w:val="19"/>
              </w:rPr>
              <w:t>C1 Advanced (CAE)</w:t>
            </w:r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 xml:space="preserve"> — Cambridge English</w:t>
            </w:r>
          </w:p>
        </w:tc>
        <w:tc>
          <w:tcPr>
            <w:tcW w:type="dxa" w:w="2412"/>
          </w:tcPr>
          <w:p>
            <w:pPr>
              <w:spacing w:after="40"/>
            </w:pPr>
            <w:r/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>B.4 · 5 %</w:t>
            </w:r>
          </w:p>
        </w:tc>
        <w:tc>
          <w:tcPr>
            <w:tcW w:type="dxa" w:w="2412"/>
          </w:tcPr>
          <w:p>
            <w:pPr>
              <w:spacing w:after="40"/>
            </w:pPr>
            <w:r/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>☐</w:t>
            </w:r>
          </w:p>
        </w:tc>
      </w:tr>
      <w:tr>
        <w:tc>
          <w:tcPr>
            <w:tcW w:type="dxa" w:w="2412"/>
          </w:tcPr>
          <w:p>
            <w:pPr>
              <w:spacing w:after="40"/>
            </w:pPr>
            <w:r/>
            <w:r>
              <w:rPr>
                <w:rFonts w:ascii="Inter" w:hAnsi="Inter" w:cs="Inter"/>
                <w:b/>
                <w:i w:val="0"/>
                <w:color w:val="1C1E2E"/>
                <w:sz w:val="19"/>
              </w:rPr>
              <w:t>DOC-10</w:t>
            </w:r>
          </w:p>
        </w:tc>
        <w:tc>
          <w:tcPr>
            <w:tcW w:type="dxa" w:w="2412"/>
          </w:tcPr>
          <w:p>
            <w:pPr>
              <w:spacing w:after="40"/>
            </w:pPr>
            <w:r/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 xml:space="preserve">Certificado </w:t>
            </w:r>
            <w:r>
              <w:rPr>
                <w:rFonts w:ascii="Inter" w:hAnsi="Inter" w:cs="Inter"/>
                <w:b/>
                <w:i w:val="0"/>
                <w:color w:val="1C1E2E"/>
                <w:sz w:val="19"/>
              </w:rPr>
              <w:t>CELTA</w:t>
            </w:r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 xml:space="preserve"> — Cambridge English</w:t>
            </w:r>
          </w:p>
        </w:tc>
        <w:tc>
          <w:tcPr>
            <w:tcW w:type="dxa" w:w="2412"/>
          </w:tcPr>
          <w:p>
            <w:pPr>
              <w:spacing w:after="40"/>
            </w:pPr>
            <w:r/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>B.4 · 5 %</w:t>
            </w:r>
          </w:p>
        </w:tc>
        <w:tc>
          <w:tcPr>
            <w:tcW w:type="dxa" w:w="2412"/>
          </w:tcPr>
          <w:p>
            <w:pPr>
              <w:spacing w:after="40"/>
            </w:pPr>
            <w:r/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>☐</w:t>
            </w:r>
          </w:p>
        </w:tc>
      </w:tr>
      <w:tr>
        <w:tc>
          <w:tcPr>
            <w:tcW w:type="dxa" w:w="2412"/>
          </w:tcPr>
          <w:p>
            <w:pPr>
              <w:spacing w:after="40"/>
            </w:pPr>
            <w:r/>
            <w:r>
              <w:rPr>
                <w:rFonts w:ascii="Inter" w:hAnsi="Inter" w:cs="Inter"/>
                <w:b/>
                <w:i w:val="0"/>
                <w:color w:val="1C1E2E"/>
                <w:sz w:val="19"/>
              </w:rPr>
              <w:t>DOC-11</w:t>
            </w:r>
          </w:p>
        </w:tc>
        <w:tc>
          <w:tcPr>
            <w:tcW w:type="dxa" w:w="2412"/>
          </w:tcPr>
          <w:p>
            <w:pPr>
              <w:spacing w:after="40"/>
            </w:pPr>
            <w:r/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 xml:space="preserve">Acreditación de </w:t>
            </w:r>
            <w:r>
              <w:rPr>
                <w:rFonts w:ascii="Inter" w:hAnsi="Inter" w:cs="Inter"/>
                <w:b/>
                <w:i w:val="0"/>
                <w:color w:val="1C1E2E"/>
                <w:sz w:val="19"/>
              </w:rPr>
              <w:t>examinadora DELE</w:t>
            </w:r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 xml:space="preserve"> — Instituto Cervantes</w:t>
            </w:r>
          </w:p>
        </w:tc>
        <w:tc>
          <w:tcPr>
            <w:tcW w:type="dxa" w:w="2412"/>
          </w:tcPr>
          <w:p>
            <w:pPr>
              <w:spacing w:after="40"/>
            </w:pPr>
            <w:r/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>B.4 · 5 %</w:t>
            </w:r>
          </w:p>
        </w:tc>
        <w:tc>
          <w:tcPr>
            <w:tcW w:type="dxa" w:w="2412"/>
          </w:tcPr>
          <w:p>
            <w:pPr>
              <w:spacing w:after="40"/>
            </w:pPr>
            <w:r/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>☐</w:t>
            </w:r>
          </w:p>
        </w:tc>
      </w:tr>
      <w:tr>
        <w:tc>
          <w:tcPr>
            <w:tcW w:type="dxa" w:w="2412"/>
          </w:tcPr>
          <w:p>
            <w:pPr>
              <w:spacing w:after="40"/>
            </w:pPr>
            <w:r/>
            <w:r>
              <w:rPr>
                <w:rFonts w:ascii="Inter" w:hAnsi="Inter" w:cs="Inter"/>
                <w:b/>
                <w:i w:val="0"/>
                <w:color w:val="1C1E2E"/>
                <w:sz w:val="19"/>
              </w:rPr>
              <w:t>DOC-12</w:t>
            </w:r>
          </w:p>
        </w:tc>
        <w:tc>
          <w:tcPr>
            <w:tcW w:type="dxa" w:w="2412"/>
          </w:tcPr>
          <w:p>
            <w:pPr>
              <w:spacing w:after="40"/>
            </w:pPr>
            <w:r/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 xml:space="preserve">Credencial de la </w:t>
            </w:r>
            <w:r>
              <w:rPr>
                <w:rFonts w:ascii="Inter" w:hAnsi="Inter" w:cs="Inter"/>
                <w:b/>
                <w:i w:val="0"/>
                <w:color w:val="1C1E2E"/>
                <w:sz w:val="19"/>
              </w:rPr>
              <w:t>Beca de Excelencia Académica</w:t>
            </w:r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 xml:space="preserve"> (ULA, grado)</w:t>
            </w:r>
          </w:p>
        </w:tc>
        <w:tc>
          <w:tcPr>
            <w:tcW w:type="dxa" w:w="2412"/>
          </w:tcPr>
          <w:p>
            <w:pPr>
              <w:spacing w:after="40"/>
            </w:pPr>
            <w:r/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>B.5 · 5 %</w:t>
            </w:r>
          </w:p>
        </w:tc>
        <w:tc>
          <w:tcPr>
            <w:tcW w:type="dxa" w:w="2412"/>
          </w:tcPr>
          <w:p>
            <w:pPr>
              <w:spacing w:after="40"/>
            </w:pPr>
            <w:r/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>☐</w:t>
            </w:r>
          </w:p>
        </w:tc>
      </w:tr>
      <w:tr>
        <w:tc>
          <w:tcPr>
            <w:tcW w:type="dxa" w:w="2412"/>
          </w:tcPr>
          <w:p>
            <w:pPr>
              <w:spacing w:after="40"/>
            </w:pPr>
            <w:r/>
            <w:r>
              <w:rPr>
                <w:rFonts w:ascii="Inter" w:hAnsi="Inter" w:cs="Inter"/>
                <w:b/>
                <w:i w:val="0"/>
                <w:color w:val="1C1E2E"/>
                <w:sz w:val="19"/>
              </w:rPr>
              <w:t>DOC-13</w:t>
            </w:r>
          </w:p>
        </w:tc>
        <w:tc>
          <w:tcPr>
            <w:tcW w:type="dxa" w:w="2412"/>
          </w:tcPr>
          <w:p>
            <w:pPr>
              <w:spacing w:after="40"/>
            </w:pPr>
            <w:r/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 xml:space="preserve">Resolución de concesión de la </w:t>
            </w:r>
            <w:r>
              <w:rPr>
                <w:rFonts w:ascii="Inter" w:hAnsi="Inter" w:cs="Inter"/>
                <w:b/>
                <w:i w:val="0"/>
                <w:color w:val="1C1E2E"/>
                <w:sz w:val="19"/>
              </w:rPr>
              <w:t>beca del Ministerio</w:t>
            </w:r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 xml:space="preserve"> (máster, UPV)</w:t>
            </w:r>
          </w:p>
        </w:tc>
        <w:tc>
          <w:tcPr>
            <w:tcW w:type="dxa" w:w="2412"/>
          </w:tcPr>
          <w:p>
            <w:pPr>
              <w:spacing w:after="40"/>
            </w:pPr>
            <w:r/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>B.5 · 5 %</w:t>
            </w:r>
          </w:p>
        </w:tc>
        <w:tc>
          <w:tcPr>
            <w:tcW w:type="dxa" w:w="2412"/>
          </w:tcPr>
          <w:p>
            <w:pPr>
              <w:spacing w:after="40"/>
            </w:pPr>
            <w:r/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>☐</w:t>
            </w:r>
          </w:p>
        </w:tc>
      </w:tr>
      <w:tr>
        <w:tc>
          <w:tcPr>
            <w:tcW w:type="dxa" w:w="2412"/>
          </w:tcPr>
          <w:p>
            <w:pPr>
              <w:spacing w:after="40"/>
            </w:pPr>
            <w:r/>
            <w:r>
              <w:rPr>
                <w:rFonts w:ascii="Inter" w:hAnsi="Inter" w:cs="Inter"/>
                <w:b/>
                <w:i w:val="0"/>
                <w:color w:val="1C1E2E"/>
                <w:sz w:val="19"/>
              </w:rPr>
              <w:t>DOC-14</w:t>
            </w:r>
          </w:p>
        </w:tc>
        <w:tc>
          <w:tcPr>
            <w:tcW w:type="dxa" w:w="2412"/>
          </w:tcPr>
          <w:p>
            <w:pPr>
              <w:spacing w:after="40"/>
            </w:pPr>
            <w:r/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 xml:space="preserve">Sotelo-Casas et al. (2019), </w:t>
            </w:r>
            <w:r>
              <w:rPr>
                <w:rFonts w:ascii="Inter" w:hAnsi="Inter" w:cs="Inter"/>
                <w:b w:val="0"/>
                <w:i/>
                <w:color w:val="1C1E2E"/>
                <w:sz w:val="19"/>
              </w:rPr>
              <w:t>Estuarine, Coastal and Shelf Science</w:t>
            </w:r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 xml:space="preserve"> — portada + </w:t>
            </w:r>
            <w:r>
              <w:rPr>
                <w:rFonts w:ascii="Inter" w:hAnsi="Inter" w:cs="Inter"/>
                <w:b/>
                <w:i w:val="0"/>
                <w:color w:val="1C1E2E"/>
                <w:sz w:val="19"/>
              </w:rPr>
              <w:t>página de agradecimientos (p. 8)</w:t>
            </w:r>
          </w:p>
        </w:tc>
        <w:tc>
          <w:tcPr>
            <w:tcW w:type="dxa" w:w="2412"/>
          </w:tcPr>
          <w:p>
            <w:pPr>
              <w:spacing w:after="40"/>
            </w:pPr>
            <w:r/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>B.6 · §5</w:t>
            </w:r>
          </w:p>
        </w:tc>
        <w:tc>
          <w:tcPr>
            <w:tcW w:type="dxa" w:w="2412"/>
          </w:tcPr>
          <w:p>
            <w:pPr>
              <w:spacing w:after="40"/>
            </w:pPr>
            <w:r/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>☐</w:t>
            </w:r>
          </w:p>
        </w:tc>
      </w:tr>
      <w:tr>
        <w:tc>
          <w:tcPr>
            <w:tcW w:type="dxa" w:w="2412"/>
          </w:tcPr>
          <w:p>
            <w:pPr>
              <w:spacing w:after="40"/>
            </w:pPr>
            <w:r/>
            <w:r>
              <w:rPr>
                <w:rFonts w:ascii="Inter" w:hAnsi="Inter" w:cs="Inter"/>
                <w:b/>
                <w:i w:val="0"/>
                <w:color w:val="1C1E2E"/>
                <w:sz w:val="19"/>
              </w:rPr>
              <w:t>DOC-15</w:t>
            </w:r>
          </w:p>
        </w:tc>
        <w:tc>
          <w:tcPr>
            <w:tcW w:type="dxa" w:w="2412"/>
          </w:tcPr>
          <w:p>
            <w:pPr>
              <w:spacing w:after="40"/>
            </w:pPr>
            <w:r/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 xml:space="preserve">Evidencia de la calificación </w:t>
            </w:r>
            <w:r>
              <w:rPr>
                <w:rFonts w:ascii="Inter" w:hAnsi="Inter" w:cs="Inter"/>
                <w:b/>
                <w:i w:val="0"/>
                <w:color w:val="1C1E2E"/>
                <w:sz w:val="19"/>
              </w:rPr>
              <w:t>10/10</w:t>
            </w:r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 xml:space="preserve"> de </w:t>
            </w:r>
            <w:r>
              <w:rPr>
                <w:rFonts w:ascii="Inter" w:hAnsi="Inter" w:cs="Inter"/>
                <w:b w:val="0"/>
                <w:i/>
                <w:color w:val="1C1E2E"/>
                <w:sz w:val="19"/>
              </w:rPr>
              <w:t>Academic Writing Journey</w:t>
            </w:r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 xml:space="preserve"> (UPV, 2026)</w:t>
            </w:r>
          </w:p>
        </w:tc>
        <w:tc>
          <w:tcPr>
            <w:tcW w:type="dxa" w:w="2412"/>
          </w:tcPr>
          <w:p>
            <w:pPr>
              <w:spacing w:after="40"/>
            </w:pPr>
            <w:r/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>A.1 · B.6</w:t>
            </w:r>
          </w:p>
        </w:tc>
        <w:tc>
          <w:tcPr>
            <w:tcW w:type="dxa" w:w="2412"/>
          </w:tcPr>
          <w:p>
            <w:pPr>
              <w:spacing w:after="40"/>
            </w:pPr>
            <w:r/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>☐</w:t>
            </w:r>
          </w:p>
        </w:tc>
      </w:tr>
      <w:tr>
        <w:tc>
          <w:tcPr>
            <w:tcW w:type="dxa" w:w="2412"/>
          </w:tcPr>
          <w:p>
            <w:pPr>
              <w:spacing w:after="40"/>
            </w:pPr>
            <w:r/>
            <w:r>
              <w:rPr>
                <w:rFonts w:ascii="Inter" w:hAnsi="Inter" w:cs="Inter"/>
                <w:b/>
                <w:i w:val="0"/>
                <w:color w:val="1C1E2E"/>
                <w:sz w:val="19"/>
              </w:rPr>
              <w:t>DOC-16</w:t>
            </w:r>
          </w:p>
        </w:tc>
        <w:tc>
          <w:tcPr>
            <w:tcW w:type="dxa" w:w="2412"/>
          </w:tcPr>
          <w:p>
            <w:pPr>
              <w:spacing w:after="40"/>
            </w:pPr>
            <w:r/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 xml:space="preserve">Certificados de servicio docente — UDO Núcleo Nueva Esparta (2005–2015), </w:t>
            </w:r>
            <w:r>
              <w:rPr>
                <w:rFonts w:ascii="Inter" w:hAnsi="Inter" w:cs="Inter"/>
                <w:b/>
                <w:i w:val="0"/>
                <w:color w:val="1C1E2E"/>
                <w:sz w:val="19"/>
              </w:rPr>
              <w:t>1.568 horas acreditadas</w:t>
            </w:r>
          </w:p>
        </w:tc>
        <w:tc>
          <w:tcPr>
            <w:tcW w:type="dxa" w:w="2412"/>
          </w:tcPr>
          <w:p>
            <w:pPr>
              <w:spacing w:after="40"/>
            </w:pPr>
            <w:r/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>B.6 · 5 %</w:t>
            </w:r>
          </w:p>
        </w:tc>
        <w:tc>
          <w:tcPr>
            <w:tcW w:type="dxa" w:w="2412"/>
          </w:tcPr>
          <w:p>
            <w:pPr>
              <w:spacing w:after="40"/>
            </w:pPr>
            <w:r/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>☐</w:t>
            </w:r>
          </w:p>
        </w:tc>
      </w:tr>
      <w:tr>
        <w:tc>
          <w:tcPr>
            <w:tcW w:type="dxa" w:w="2412"/>
          </w:tcPr>
          <w:p>
            <w:pPr>
              <w:spacing w:after="40"/>
            </w:pPr>
            <w:r/>
            <w:r>
              <w:rPr>
                <w:rFonts w:ascii="Inter" w:hAnsi="Inter" w:cs="Inter"/>
                <w:b/>
                <w:i w:val="0"/>
                <w:color w:val="1C1E2E"/>
                <w:sz w:val="19"/>
              </w:rPr>
              <w:t>DOC-17</w:t>
            </w:r>
          </w:p>
        </w:tc>
        <w:tc>
          <w:tcPr>
            <w:tcW w:type="dxa" w:w="2412"/>
          </w:tcPr>
          <w:p>
            <w:pPr>
              <w:spacing w:after="40"/>
            </w:pPr>
            <w:r/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>Vida laboral / certificado de actividad profesional en España</w:t>
            </w:r>
          </w:p>
        </w:tc>
        <w:tc>
          <w:tcPr>
            <w:tcW w:type="dxa" w:w="2412"/>
          </w:tcPr>
          <w:p>
            <w:pPr>
              <w:spacing w:after="40"/>
            </w:pPr>
            <w:r/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>B.6 · 5 %</w:t>
            </w:r>
          </w:p>
        </w:tc>
        <w:tc>
          <w:tcPr>
            <w:tcW w:type="dxa" w:w="2412"/>
          </w:tcPr>
          <w:p>
            <w:pPr>
              <w:spacing w:after="40"/>
            </w:pPr>
            <w:r/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>☐</w:t>
            </w:r>
          </w:p>
        </w:tc>
      </w:tr>
      <w:tr>
        <w:tc>
          <w:tcPr>
            <w:tcW w:type="dxa" w:w="2412"/>
          </w:tcPr>
          <w:p>
            <w:pPr>
              <w:spacing w:after="40"/>
            </w:pPr>
            <w:r/>
            <w:r>
              <w:rPr>
                <w:rFonts w:ascii="Inter" w:hAnsi="Inter" w:cs="Inter"/>
                <w:b/>
                <w:i w:val="0"/>
                <w:color w:val="1C1E2E"/>
                <w:sz w:val="19"/>
              </w:rPr>
              <w:t>DOC-18</w:t>
            </w:r>
          </w:p>
        </w:tc>
        <w:tc>
          <w:tcPr>
            <w:tcW w:type="dxa" w:w="2412"/>
          </w:tcPr>
          <w:p>
            <w:pPr>
              <w:spacing w:after="40"/>
            </w:pPr>
            <w:r/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 xml:space="preserve">Acreditación de tutoría en </w:t>
            </w:r>
            <w:r>
              <w:rPr>
                <w:rFonts w:ascii="Inter" w:hAnsi="Inter" w:cs="Inter"/>
                <w:b/>
                <w:i w:val="0"/>
                <w:color w:val="1C1E2E"/>
                <w:sz w:val="19"/>
              </w:rPr>
              <w:t>AVE Global</w:t>
            </w:r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 xml:space="preserve"> — Instituto Cervantes</w:t>
            </w:r>
          </w:p>
        </w:tc>
        <w:tc>
          <w:tcPr>
            <w:tcW w:type="dxa" w:w="2412"/>
          </w:tcPr>
          <w:p>
            <w:pPr>
              <w:spacing w:after="40"/>
            </w:pPr>
            <w:r/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>B.6 · 5 %</w:t>
            </w:r>
          </w:p>
        </w:tc>
        <w:tc>
          <w:tcPr>
            <w:tcW w:type="dxa" w:w="2412"/>
          </w:tcPr>
          <w:p>
            <w:pPr>
              <w:spacing w:after="40"/>
            </w:pPr>
            <w:r/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>☐</w:t>
            </w:r>
          </w:p>
        </w:tc>
      </w:tr>
    </w:tbl>
    <w:p/>
    <w:p>
      <w:pPr>
        <w:spacing w:before="320" w:after="120"/>
      </w:pPr>
      <w:r>
        <w:rPr>
          <w:rFonts w:ascii="Fraunces" w:hAnsi="Fraunces" w:cs="Fraunces"/>
          <w:b/>
          <w:i w:val="0"/>
          <w:color w:val="22307C"/>
          <w:sz w:val="32"/>
        </w:rPr>
        <w:t xml:space="preserve">Producción científica y formación · </w:t>
      </w:r>
      <w:r>
        <w:rPr>
          <w:rFonts w:ascii="Fraunces" w:hAnsi="Fraunces" w:cs="Fraunces"/>
          <w:b/>
          <w:i w:val="0"/>
          <w:color w:val="22307C"/>
          <w:sz w:val="32"/>
        </w:rPr>
        <w:t>Research output and training</w:t>
      </w:r>
    </w:p>
    <w:tbl>
      <w:tblPr>
        <w:tblW w:type="auto" w:w="0"/>
        <w:jc w:val="left"/>
        <w:tblBorders>
          <w:top w:val="single" w:sz="4" w:space="0" w:color="E6E8F2"/>
          <w:left w:val="single" w:sz="4" w:space="0" w:color="E6E8F2"/>
          <w:bottom w:val="single" w:sz="4" w:space="0" w:color="E6E8F2"/>
          <w:right w:val="single" w:sz="4" w:space="0" w:color="E6E8F2"/>
          <w:insideH w:val="single" w:sz="4" w:space="0" w:color="E6E8F2"/>
          <w:insideV w:val="single" w:sz="4" w:space="0" w:color="E6E8F2"/>
        </w:tblBorders>
        <w:tblLayout w:type="autofit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2412"/>
            <w:shd w:val="clear" w:color="auto" w:fill="EEF2FD"/>
          </w:tcPr>
          <w:p>
            <w:pPr>
              <w:spacing w:after="40"/>
            </w:pPr>
            <w:r/>
            <w:r>
              <w:rPr>
                <w:rFonts w:ascii="Inter" w:hAnsi="Inter" w:cs="Inter"/>
                <w:b/>
                <w:i w:val="0"/>
                <w:color w:val="22307C"/>
                <w:sz w:val="19"/>
              </w:rPr>
              <w:t>Código</w:t>
            </w:r>
          </w:p>
        </w:tc>
        <w:tc>
          <w:tcPr>
            <w:tcW w:type="dxa" w:w="2412"/>
            <w:shd w:val="clear" w:color="auto" w:fill="EEF2FD"/>
          </w:tcPr>
          <w:p>
            <w:pPr>
              <w:spacing w:after="40"/>
            </w:pPr>
            <w:r/>
            <w:r>
              <w:rPr>
                <w:rFonts w:ascii="Inter" w:hAnsi="Inter" w:cs="Inter"/>
                <w:b/>
                <w:i w:val="0"/>
                <w:color w:val="22307C"/>
                <w:sz w:val="19"/>
              </w:rPr>
              <w:t>Documento / Document</w:t>
            </w:r>
          </w:p>
        </w:tc>
        <w:tc>
          <w:tcPr>
            <w:tcW w:type="dxa" w:w="2412"/>
            <w:shd w:val="clear" w:color="auto" w:fill="EEF2FD"/>
          </w:tcPr>
          <w:p>
            <w:pPr>
              <w:spacing w:after="40"/>
            </w:pPr>
            <w:r/>
            <w:r>
              <w:rPr>
                <w:rFonts w:ascii="Inter" w:hAnsi="Inter" w:cs="Inter"/>
                <w:b/>
                <w:i w:val="0"/>
                <w:color w:val="22307C"/>
                <w:sz w:val="19"/>
              </w:rPr>
              <w:t>Acredita / Supports</w:t>
            </w:r>
          </w:p>
        </w:tc>
        <w:tc>
          <w:tcPr>
            <w:tcW w:type="dxa" w:w="2412"/>
            <w:shd w:val="clear" w:color="auto" w:fill="EEF2FD"/>
          </w:tcPr>
          <w:p>
            <w:pPr>
              <w:spacing w:after="40"/>
            </w:pPr>
            <w:r/>
            <w:r>
              <w:rPr>
                <w:rFonts w:ascii="Inter" w:hAnsi="Inter" w:cs="Inter"/>
                <w:b/>
                <w:i w:val="0"/>
                <w:color w:val="22307C"/>
                <w:sz w:val="19"/>
              </w:rPr>
              <w:t>☑</w:t>
            </w:r>
          </w:p>
        </w:tc>
      </w:tr>
      <w:tr>
        <w:tc>
          <w:tcPr>
            <w:tcW w:type="dxa" w:w="2412"/>
          </w:tcPr>
          <w:p>
            <w:pPr>
              <w:spacing w:after="40"/>
            </w:pPr>
            <w:r/>
            <w:r>
              <w:rPr>
                <w:rFonts w:ascii="Inter" w:hAnsi="Inter" w:cs="Inter"/>
                <w:b/>
                <w:i w:val="0"/>
                <w:color w:val="1C1E2E"/>
                <w:sz w:val="19"/>
              </w:rPr>
              <w:t>DOC-19</w:t>
            </w:r>
          </w:p>
        </w:tc>
        <w:tc>
          <w:tcPr>
            <w:tcW w:type="dxa" w:w="2412"/>
          </w:tcPr>
          <w:p>
            <w:pPr>
              <w:spacing w:after="40"/>
            </w:pPr>
            <w:r/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 xml:space="preserve">⭐ </w:t>
            </w:r>
            <w:r>
              <w:rPr>
                <w:rFonts w:ascii="Inter" w:hAnsi="Inter" w:cs="Inter"/>
                <w:b/>
                <w:i w:val="0"/>
                <w:color w:val="1C1E2E"/>
                <w:sz w:val="19"/>
              </w:rPr>
              <w:t>Kaleidoscopio 2(3), 51–56 (2005)</w:t>
            </w:r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 xml:space="preserve"> — primera y última página + carta de aceptación tras arbitraje (UNEG, 09-03-2005). ISSN 1690-6054, indexada en CLASE–UNAM</w:t>
            </w:r>
          </w:p>
        </w:tc>
        <w:tc>
          <w:tcPr>
            <w:tcW w:type="dxa" w:w="2412"/>
          </w:tcPr>
          <w:p>
            <w:pPr>
              <w:spacing w:after="40"/>
            </w:pPr>
            <w:r/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>§5</w:t>
            </w:r>
          </w:p>
        </w:tc>
        <w:tc>
          <w:tcPr>
            <w:tcW w:type="dxa" w:w="2412"/>
          </w:tcPr>
          <w:p>
            <w:pPr>
              <w:spacing w:after="40"/>
            </w:pPr>
            <w:r/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>☑</w:t>
            </w:r>
          </w:p>
        </w:tc>
      </w:tr>
      <w:tr>
        <w:tc>
          <w:tcPr>
            <w:tcW w:type="dxa" w:w="2412"/>
          </w:tcPr>
          <w:p>
            <w:pPr>
              <w:spacing w:after="40"/>
            </w:pPr>
            <w:r/>
            <w:r>
              <w:rPr>
                <w:rFonts w:ascii="Inter" w:hAnsi="Inter" w:cs="Inter"/>
                <w:b/>
                <w:i w:val="0"/>
                <w:color w:val="1C1E2E"/>
                <w:sz w:val="19"/>
              </w:rPr>
              <w:t>DOC-24</w:t>
            </w:r>
          </w:p>
        </w:tc>
        <w:tc>
          <w:tcPr>
            <w:tcW w:type="dxa" w:w="2412"/>
          </w:tcPr>
          <w:p>
            <w:pPr>
              <w:spacing w:after="40"/>
            </w:pPr>
            <w:r/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 xml:space="preserve">⭐ </w:t>
            </w:r>
            <w:r>
              <w:rPr>
                <w:rFonts w:ascii="Inter" w:hAnsi="Inter" w:cs="Inter"/>
                <w:b/>
                <w:i w:val="0"/>
                <w:color w:val="1C1E2E"/>
                <w:sz w:val="19"/>
              </w:rPr>
              <w:t>II Congreso Internacional de Educación Superior</w:t>
            </w:r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 xml:space="preserve"> (Cumaná, 31 jul.–2 ago. 2008) — carta de aceptación de la ponencia, ref. CIES/P 048</w:t>
            </w:r>
          </w:p>
        </w:tc>
        <w:tc>
          <w:tcPr>
            <w:tcW w:type="dxa" w:w="2412"/>
          </w:tcPr>
          <w:p>
            <w:pPr>
              <w:spacing w:after="40"/>
            </w:pPr>
            <w:r/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>§5</w:t>
            </w:r>
          </w:p>
        </w:tc>
        <w:tc>
          <w:tcPr>
            <w:tcW w:type="dxa" w:w="2412"/>
          </w:tcPr>
          <w:p>
            <w:pPr>
              <w:spacing w:after="40"/>
            </w:pPr>
            <w:r/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>☑</w:t>
            </w:r>
          </w:p>
        </w:tc>
      </w:tr>
      <w:tr>
        <w:tc>
          <w:tcPr>
            <w:tcW w:type="dxa" w:w="2412"/>
          </w:tcPr>
          <w:p>
            <w:pPr>
              <w:spacing w:after="40"/>
            </w:pPr>
            <w:r/>
            <w:r>
              <w:rPr>
                <w:rFonts w:ascii="Inter" w:hAnsi="Inter" w:cs="Inter"/>
                <w:b/>
                <w:i w:val="0"/>
                <w:color w:val="1C1E2E"/>
                <w:sz w:val="19"/>
              </w:rPr>
              <w:t>DOC-20</w:t>
            </w:r>
          </w:p>
        </w:tc>
        <w:tc>
          <w:tcPr>
            <w:tcW w:type="dxa" w:w="2412"/>
          </w:tcPr>
          <w:p>
            <w:pPr>
              <w:spacing w:after="40"/>
            </w:pPr>
            <w:r/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 xml:space="preserve">Certificado </w:t>
            </w:r>
            <w:r>
              <w:rPr>
                <w:rFonts w:ascii="Inter" w:hAnsi="Inter" w:cs="Inter"/>
                <w:b w:val="0"/>
                <w:i/>
                <w:color w:val="1C1E2E"/>
                <w:sz w:val="19"/>
              </w:rPr>
              <w:t>Instructional Design: Course Planning and Pedagogy</w:t>
            </w:r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 xml:space="preserve"> — UC Irvine (ene. 2025)</w:t>
            </w:r>
          </w:p>
        </w:tc>
        <w:tc>
          <w:tcPr>
            <w:tcW w:type="dxa" w:w="2412"/>
          </w:tcPr>
          <w:p>
            <w:pPr>
              <w:spacing w:after="40"/>
            </w:pPr>
            <w:r/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>§6</w:t>
            </w:r>
          </w:p>
        </w:tc>
        <w:tc>
          <w:tcPr>
            <w:tcW w:type="dxa" w:w="2412"/>
          </w:tcPr>
          <w:p>
            <w:pPr>
              <w:spacing w:after="40"/>
            </w:pPr>
            <w:r/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>☐</w:t>
            </w:r>
          </w:p>
        </w:tc>
      </w:tr>
      <w:tr>
        <w:tc>
          <w:tcPr>
            <w:tcW w:type="dxa" w:w="2412"/>
          </w:tcPr>
          <w:p>
            <w:pPr>
              <w:spacing w:after="40"/>
            </w:pPr>
            <w:r/>
            <w:r>
              <w:rPr>
                <w:rFonts w:ascii="Inter" w:hAnsi="Inter" w:cs="Inter"/>
                <w:b/>
                <w:i w:val="0"/>
                <w:color w:val="1C1E2E"/>
                <w:sz w:val="19"/>
              </w:rPr>
              <w:t>DOC-21</w:t>
            </w:r>
          </w:p>
        </w:tc>
        <w:tc>
          <w:tcPr>
            <w:tcW w:type="dxa" w:w="2412"/>
          </w:tcPr>
          <w:p>
            <w:pPr>
              <w:spacing w:after="40"/>
            </w:pPr>
            <w:r/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 xml:space="preserve">Certificado </w:t>
            </w:r>
            <w:r>
              <w:rPr>
                <w:rFonts w:ascii="Inter" w:hAnsi="Inter" w:cs="Inter"/>
                <w:b w:val="0"/>
                <w:i/>
                <w:color w:val="1C1E2E"/>
                <w:sz w:val="19"/>
              </w:rPr>
              <w:t>Instructional Design Fundamentals</w:t>
            </w:r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 xml:space="preserve"> — University of Cambridge (mar. 2025)</w:t>
            </w:r>
          </w:p>
        </w:tc>
        <w:tc>
          <w:tcPr>
            <w:tcW w:type="dxa" w:w="2412"/>
          </w:tcPr>
          <w:p>
            <w:pPr>
              <w:spacing w:after="40"/>
            </w:pPr>
            <w:r/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>§6</w:t>
            </w:r>
          </w:p>
        </w:tc>
        <w:tc>
          <w:tcPr>
            <w:tcW w:type="dxa" w:w="2412"/>
          </w:tcPr>
          <w:p>
            <w:pPr>
              <w:spacing w:after="40"/>
            </w:pPr>
            <w:r/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>☐</w:t>
            </w:r>
          </w:p>
        </w:tc>
      </w:tr>
      <w:tr>
        <w:tc>
          <w:tcPr>
            <w:tcW w:type="dxa" w:w="2412"/>
          </w:tcPr>
          <w:p>
            <w:pPr>
              <w:spacing w:after="40"/>
            </w:pPr>
            <w:r/>
            <w:r>
              <w:rPr>
                <w:rFonts w:ascii="Inter" w:hAnsi="Inter" w:cs="Inter"/>
                <w:b/>
                <w:i w:val="0"/>
                <w:color w:val="1C1E2E"/>
                <w:sz w:val="19"/>
              </w:rPr>
              <w:t>DOC-22</w:t>
            </w:r>
          </w:p>
        </w:tc>
        <w:tc>
          <w:tcPr>
            <w:tcW w:type="dxa" w:w="2412"/>
          </w:tcPr>
          <w:p>
            <w:pPr>
              <w:spacing w:after="40"/>
            </w:pPr>
            <w:r/>
            <w:r>
              <w:rPr>
                <w:rFonts w:ascii="Inter" w:hAnsi="Inter" w:cs="Inter"/>
                <w:b w:val="0"/>
                <w:i/>
                <w:color w:val="1C1E2E"/>
                <w:sz w:val="19"/>
              </w:rPr>
              <w:t>AP Stylebook Workshop Certificate</w:t>
            </w:r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 xml:space="preserve"> — The Associated Press (may. 2024)</w:t>
            </w:r>
          </w:p>
        </w:tc>
        <w:tc>
          <w:tcPr>
            <w:tcW w:type="dxa" w:w="2412"/>
          </w:tcPr>
          <w:p>
            <w:pPr>
              <w:spacing w:after="40"/>
            </w:pPr>
            <w:r/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>§6</w:t>
            </w:r>
          </w:p>
        </w:tc>
        <w:tc>
          <w:tcPr>
            <w:tcW w:type="dxa" w:w="2412"/>
          </w:tcPr>
          <w:p>
            <w:pPr>
              <w:spacing w:after="40"/>
            </w:pPr>
            <w:r/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>☐</w:t>
            </w:r>
          </w:p>
        </w:tc>
      </w:tr>
      <w:tr>
        <w:tc>
          <w:tcPr>
            <w:tcW w:type="dxa" w:w="2412"/>
          </w:tcPr>
          <w:p>
            <w:pPr>
              <w:spacing w:after="40"/>
            </w:pPr>
            <w:r/>
            <w:r>
              <w:rPr>
                <w:rFonts w:ascii="Inter" w:hAnsi="Inter" w:cs="Inter"/>
                <w:b/>
                <w:i w:val="0"/>
                <w:color w:val="1C1E2E"/>
                <w:sz w:val="19"/>
              </w:rPr>
              <w:t>DOC-23</w:t>
            </w:r>
          </w:p>
        </w:tc>
        <w:tc>
          <w:tcPr>
            <w:tcW w:type="dxa" w:w="2412"/>
          </w:tcPr>
          <w:p>
            <w:pPr>
              <w:spacing w:after="40"/>
            </w:pPr>
            <w:r/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>Certificado SEPE — contenidos digitales, mobile learning y gamificación (2024)</w:t>
            </w:r>
          </w:p>
        </w:tc>
        <w:tc>
          <w:tcPr>
            <w:tcW w:type="dxa" w:w="2412"/>
          </w:tcPr>
          <w:p>
            <w:pPr>
              <w:spacing w:after="40"/>
            </w:pPr>
            <w:r/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>§6</w:t>
            </w:r>
          </w:p>
        </w:tc>
        <w:tc>
          <w:tcPr>
            <w:tcW w:type="dxa" w:w="2412"/>
          </w:tcPr>
          <w:p>
            <w:pPr>
              <w:spacing w:after="40"/>
            </w:pPr>
            <w:r/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>☐</w:t>
            </w:r>
          </w:p>
        </w:tc>
      </w:tr>
    </w:tbl>
    <w:p/>
    <w:p>
      <w:pPr>
        <w:pBdr>
          <w:left w:val="single" w:sz="18" w:space="8" w:color="9A5B00"/>
        </w:pBdr>
        <w:spacing w:before="120" w:after="200"/>
        <w:ind w:left="317"/>
      </w:pPr>
      <w:r>
        <w:rPr>
          <w:rFonts w:ascii="Inter" w:hAnsi="Inter" w:cs="Inter"/>
          <w:b w:val="0"/>
          <w:i w:val="0"/>
          <w:color w:val="5B5F77"/>
          <w:sz w:val="21"/>
        </w:rPr>
        <w:t xml:space="preserve">⭐ = documento </w:t>
      </w:r>
      <w:r>
        <w:rPr>
          <w:rFonts w:ascii="Inter" w:hAnsi="Inter" w:cs="Inter"/>
          <w:b/>
          <w:i w:val="0"/>
          <w:color w:val="5B5F77"/>
          <w:sz w:val="21"/>
        </w:rPr>
        <w:t>ya en mano y verificado</w:t>
      </w:r>
      <w:r>
        <w:rPr>
          <w:rFonts w:ascii="Inter" w:hAnsi="Inter" w:cs="Inter"/>
          <w:b w:val="0"/>
          <w:i w:val="0"/>
          <w:color w:val="5B5F77"/>
          <w:sz w:val="21"/>
        </w:rPr>
        <w:t xml:space="preserve">. Colócalos al principio de su bloque: son los que sostienen el 70 % y el mérito B.1. </w:t>
      </w:r>
      <w:r>
        <w:rPr>
          <w:rFonts w:ascii="Inter" w:hAnsi="Inter" w:cs="Inter"/>
          <w:b w:val="0"/>
          <w:i/>
          <w:color w:val="5B5F77"/>
          <w:sz w:val="21"/>
        </w:rPr>
        <w:t xml:space="preserve">⭐ = document </w:t>
      </w:r>
      <w:r>
        <w:rPr>
          <w:rFonts w:ascii="Inter" w:hAnsi="Inter" w:cs="Inter"/>
          <w:b w:val="0"/>
          <w:i/>
          <w:color w:val="5B5F77"/>
          <w:sz w:val="21"/>
        </w:rPr>
        <w:t>already in hand and verified</w:t>
      </w:r>
      <w:r>
        <w:rPr>
          <w:rFonts w:ascii="Inter" w:hAnsi="Inter" w:cs="Inter"/>
          <w:b w:val="0"/>
          <w:i/>
          <w:color w:val="5B5F77"/>
          <w:sz w:val="21"/>
        </w:rPr>
        <w:t>. Place these first within their block — they carry the 70% and merit B.1.</w:t>
      </w:r>
    </w:p>
    <w:p>
      <w:pPr>
        <w:pBdr>
          <w:bottom w:val="single" w:sz="6" w:space="1" w:color="E6E8F2"/>
        </w:pBdr>
      </w:pPr>
    </w:p>
    <w:p>
      <w:pPr>
        <w:spacing w:before="320" w:after="120"/>
      </w:pPr>
      <w:r>
        <w:rPr>
          <w:rFonts w:ascii="Fraunces" w:hAnsi="Fraunces" w:cs="Fraunces"/>
          <w:b/>
          <w:i w:val="0"/>
          <w:color w:val="22307C"/>
          <w:sz w:val="32"/>
        </w:rPr>
        <w:t xml:space="preserve">Antes de escanear · </w:t>
      </w:r>
      <w:r>
        <w:rPr>
          <w:rFonts w:ascii="Fraunces" w:hAnsi="Fraunces" w:cs="Fraunces"/>
          <w:b/>
          <w:i w:val="0"/>
          <w:color w:val="22307C"/>
          <w:sz w:val="32"/>
        </w:rPr>
        <w:t>Before scanning</w:t>
      </w:r>
    </w:p>
    <w:p>
      <w:r>
        <w:rPr>
          <w:rFonts w:ascii="Inter" w:hAnsi="Inter" w:cs="Inter"/>
          <w:b/>
          <w:i w:val="0"/>
          <w:color w:val="1C1E2E"/>
          <w:sz w:val="22"/>
        </w:rPr>
        <w:t>Ya resuelto con los documentos en mano</w:t>
      </w:r>
      <w:r>
        <w:rPr>
          <w:rFonts w:ascii="Inter" w:hAnsi="Inter" w:cs="Inter"/>
          <w:b w:val="0"/>
          <w:i w:val="0"/>
          <w:color w:val="1C1E2E"/>
          <w:sz w:val="22"/>
        </w:rPr>
        <w:t xml:space="preserve"> — </w:t>
      </w:r>
      <w:r>
        <w:rPr>
          <w:rFonts w:ascii="Inter" w:hAnsi="Inter" w:cs="Inter"/>
          <w:b w:val="0"/>
          <w:i/>
          <w:color w:val="1C1E2E"/>
          <w:sz w:val="22"/>
        </w:rPr>
        <w:t>already resolved:</w:t>
      </w:r>
    </w:p>
    <w:p>
      <w:pPr>
        <w:pStyle w:val="ListNumber"/>
        <w:spacing w:after="60"/>
        <w:ind w:left="403"/>
      </w:pPr>
      <w:r>
        <w:rPr>
          <w:rFonts w:ascii="Inter" w:hAnsi="Inter" w:cs="Inter"/>
          <w:b/>
          <w:i w:val="0"/>
          <w:color w:val="1C1E2E"/>
          <w:sz w:val="22"/>
        </w:rPr>
        <w:t>Nota media de la licenciatura: 9,07/10</w:t>
      </w:r>
      <w:r>
        <w:rPr>
          <w:rFonts w:ascii="Inter" w:hAnsi="Inter" w:cs="Inter"/>
          <w:b w:val="0"/>
          <w:i w:val="0"/>
          <w:color w:val="1C1E2E"/>
          <w:sz w:val="22"/>
        </w:rPr>
        <w:t>, certificada por la Administración española (DOC-05). Es el número que entra en el 70 %.</w:t>
      </w:r>
    </w:p>
    <w:p>
      <w:pPr>
        <w:pStyle w:val="ListNumber"/>
        <w:spacing w:after="60"/>
        <w:ind w:left="403"/>
      </w:pPr>
      <w:r>
        <w:rPr>
          <w:rFonts w:ascii="Inter" w:hAnsi="Inter" w:cs="Inter"/>
          <w:b/>
          <w:i w:val="0"/>
          <w:color w:val="1C1E2E"/>
          <w:sz w:val="22"/>
        </w:rPr>
        <w:t>Acceso al doctorado:</w:t>
      </w:r>
      <w:r>
        <w:rPr>
          <w:rFonts w:ascii="Inter" w:hAnsi="Inter" w:cs="Inter"/>
          <w:b w:val="0"/>
          <w:i w:val="0"/>
          <w:color w:val="1C1E2E"/>
          <w:sz w:val="22"/>
        </w:rPr>
        <w:t xml:space="preserve"> el título tiene </w:t>
      </w:r>
      <w:r>
        <w:rPr>
          <w:rFonts w:ascii="Inter" w:hAnsi="Inter" w:cs="Inter"/>
          <w:b/>
          <w:i w:val="0"/>
          <w:color w:val="1C1E2E"/>
          <w:sz w:val="22"/>
        </w:rPr>
        <w:t>equivalencia oficial al nivel académico de Grado</w:t>
      </w:r>
      <w:r>
        <w:rPr>
          <w:rFonts w:ascii="Inter" w:hAnsi="Inter" w:cs="Inter"/>
          <w:b w:val="0"/>
          <w:i w:val="0"/>
          <w:color w:val="1C1E2E"/>
          <w:sz w:val="22"/>
        </w:rPr>
        <w:t xml:space="preserve"> (Ministerio de Universidades, RD 967/2014, 17 jun. 2020 — DOC-05B). Sumado al </w:t>
      </w:r>
      <w:r>
        <w:rPr>
          <w:rFonts w:ascii="Inter" w:hAnsi="Inter" w:cs="Inter"/>
          <w:b/>
          <w:i w:val="0"/>
          <w:color w:val="1C1E2E"/>
          <w:sz w:val="22"/>
        </w:rPr>
        <w:t>máster oficial español de la UPV</w:t>
      </w:r>
      <w:r>
        <w:rPr>
          <w:rFonts w:ascii="Inter" w:hAnsi="Inter" w:cs="Inter"/>
          <w:b w:val="0"/>
          <w:i w:val="0"/>
          <w:color w:val="1C1E2E"/>
          <w:sz w:val="22"/>
        </w:rPr>
        <w:t xml:space="preserve">, el acceso por el art. 6 del RD 99/2011 queda completo: </w:t>
      </w:r>
      <w:r>
        <w:rPr>
          <w:rFonts w:ascii="Inter" w:hAnsi="Inter" w:cs="Inter"/>
          <w:b/>
          <w:i w:val="0"/>
          <w:color w:val="1C1E2E"/>
          <w:sz w:val="22"/>
        </w:rPr>
        <w:t>no hay que pedir comprobación de nivel</w:t>
      </w:r>
      <w:r>
        <w:rPr>
          <w:rFonts w:ascii="Inter" w:hAnsi="Inter" w:cs="Inter"/>
          <w:b w:val="0"/>
          <w:i w:val="0"/>
          <w:color w:val="1C1E2E"/>
          <w:sz w:val="22"/>
        </w:rPr>
        <w:t>.</w:t>
      </w:r>
    </w:p>
    <w:p>
      <w:pPr>
        <w:pStyle w:val="ListNumber"/>
        <w:spacing w:after="60"/>
        <w:ind w:left="403"/>
      </w:pPr>
      <w:r>
        <w:rPr>
          <w:rFonts w:ascii="Inter" w:hAnsi="Inter" w:cs="Inter"/>
          <w:b/>
          <w:i w:val="0"/>
          <w:color w:val="1C1E2E"/>
          <w:sz w:val="22"/>
        </w:rPr>
        <w:t>Premio extraordinario de grado: 1.º de 56 graduandos</w:t>
      </w:r>
      <w:r>
        <w:rPr>
          <w:rFonts w:ascii="Inter" w:hAnsi="Inter" w:cs="Inter"/>
          <w:b w:val="0"/>
          <w:i w:val="0"/>
          <w:color w:val="1C1E2E"/>
          <w:sz w:val="22"/>
        </w:rPr>
        <w:t xml:space="preserve"> (DOC-06), con certificación rectoral y apostilla de La Haya.</w:t>
      </w:r>
    </w:p>
    <w:p>
      <w:pPr>
        <w:pStyle w:val="ListNumber"/>
        <w:spacing w:after="60"/>
        <w:ind w:left="403"/>
      </w:pPr>
      <w:r>
        <w:rPr>
          <w:rFonts w:ascii="Inter" w:hAnsi="Inter" w:cs="Inter"/>
          <w:b/>
          <w:i w:val="0"/>
          <w:color w:val="1C1E2E"/>
          <w:sz w:val="22"/>
        </w:rPr>
        <w:t>Premio extraordinario de máster: no procede</w:t>
      </w:r>
      <w:r>
        <w:rPr>
          <w:rFonts w:ascii="Inter" w:hAnsi="Inter" w:cs="Inter"/>
          <w:b w:val="0"/>
          <w:i w:val="0"/>
          <w:color w:val="1C1E2E"/>
          <w:sz w:val="22"/>
        </w:rPr>
        <w:t xml:space="preserve"> — el premio es el de grado. Se declaran las 2 Matrículas de Honor como distinción del máster.</w:t>
      </w:r>
    </w:p>
    <w:p>
      <w:pPr>
        <w:pStyle w:val="ListNumber"/>
        <w:spacing w:after="60"/>
        <w:ind w:left="403"/>
      </w:pPr>
      <w:r>
        <w:rPr>
          <w:rFonts w:ascii="Inter" w:hAnsi="Inter" w:cs="Inter"/>
          <w:b/>
          <w:i w:val="0"/>
          <w:color w:val="1C1E2E"/>
          <w:sz w:val="22"/>
        </w:rPr>
        <w:t>Certificación académica de la licenciatura</w:t>
      </w:r>
      <w:r>
        <w:rPr>
          <w:rFonts w:ascii="Inter" w:hAnsi="Inter" w:cs="Inter"/>
          <w:b w:val="0"/>
          <w:i w:val="0"/>
          <w:color w:val="1C1E2E"/>
          <w:sz w:val="22"/>
        </w:rPr>
        <w:t xml:space="preserve"> (DOC-03) y </w:t>
      </w:r>
      <w:r>
        <w:rPr>
          <w:rFonts w:ascii="Inter" w:hAnsi="Inter" w:cs="Inter"/>
          <w:b/>
          <w:i w:val="0"/>
          <w:color w:val="1C1E2E"/>
          <w:sz w:val="22"/>
        </w:rPr>
        <w:t>recorrido investigador del TFG</w:t>
      </w:r>
      <w:r>
        <w:rPr>
          <w:rFonts w:ascii="Inter" w:hAnsi="Inter" w:cs="Inter"/>
          <w:b w:val="0"/>
          <w:i w:val="0"/>
          <w:color w:val="1C1E2E"/>
          <w:sz w:val="22"/>
        </w:rPr>
        <w:t xml:space="preserve"> (DOC-07, DOC-19, DOC-24): en mano.</w:t>
      </w:r>
    </w:p>
    <w:p>
      <w:r>
        <w:rPr>
          <w:rFonts w:ascii="Inter" w:hAnsi="Inter" w:cs="Inter"/>
          <w:b/>
          <w:i w:val="0"/>
          <w:color w:val="1C1E2E"/>
          <w:sz w:val="22"/>
        </w:rPr>
        <w:t>Pendiente</w:t>
      </w:r>
      <w:r>
        <w:rPr>
          <w:rFonts w:ascii="Inter" w:hAnsi="Inter" w:cs="Inter"/>
          <w:b w:val="0"/>
          <w:i w:val="0"/>
          <w:color w:val="1C1E2E"/>
          <w:sz w:val="22"/>
        </w:rPr>
        <w:t xml:space="preserve"> — </w:t>
      </w:r>
      <w:r>
        <w:rPr>
          <w:rFonts w:ascii="Inter" w:hAnsi="Inter" w:cs="Inter"/>
          <w:b w:val="0"/>
          <w:i/>
          <w:color w:val="1C1E2E"/>
          <w:sz w:val="22"/>
        </w:rPr>
        <w:t>outstanding:</w:t>
      </w:r>
    </w:p>
    <w:p>
      <w:pPr>
        <w:pStyle w:val="ListNumber"/>
        <w:spacing w:after="60"/>
        <w:ind w:left="403"/>
      </w:pPr>
      <w:r>
        <w:rPr>
          <w:rFonts w:ascii="Inter" w:hAnsi="Inter" w:cs="Inter"/>
          <w:b w:val="0"/>
          <w:i w:val="0"/>
          <w:color w:val="1C1E2E"/>
          <w:sz w:val="22"/>
        </w:rPr>
        <w:t xml:space="preserve">🟠 </w:t>
      </w:r>
      <w:r>
        <w:rPr>
          <w:rFonts w:ascii="Inter" w:hAnsi="Inter" w:cs="Inter"/>
          <w:b/>
          <w:i w:val="0"/>
          <w:color w:val="1C1E2E"/>
          <w:sz w:val="22"/>
        </w:rPr>
        <w:t>Cadena de identidad.</w:t>
      </w:r>
      <w:r>
        <w:rPr>
          <w:rFonts w:ascii="Inter" w:hAnsi="Inter" w:cs="Inter"/>
          <w:b w:val="0"/>
          <w:i w:val="0"/>
          <w:color w:val="1C1E2E"/>
          <w:sz w:val="22"/>
        </w:rPr>
        <w:t xml:space="preserve"> Los documentos alternan </w:t>
      </w:r>
      <w:r>
        <w:rPr>
          <w:rFonts w:ascii="Inter" w:hAnsi="Inter" w:cs="Inter"/>
          <w:b/>
          <w:i w:val="0"/>
          <w:color w:val="1C1E2E"/>
          <w:sz w:val="22"/>
        </w:rPr>
        <w:t>«Eslava Graterol»</w:t>
      </w:r>
      <w:r>
        <w:rPr>
          <w:rFonts w:ascii="Inter" w:hAnsi="Inter" w:cs="Inter"/>
          <w:b w:val="0"/>
          <w:i w:val="0"/>
          <w:color w:val="1C1E2E"/>
          <w:sz w:val="22"/>
        </w:rPr>
        <w:t xml:space="preserve"> (ULA, publicación) y </w:t>
      </w:r>
      <w:r>
        <w:rPr>
          <w:rFonts w:ascii="Inter" w:hAnsi="Inter" w:cs="Inter"/>
          <w:b/>
          <w:i w:val="0"/>
          <w:color w:val="1C1E2E"/>
          <w:sz w:val="22"/>
        </w:rPr>
        <w:t>«Eslava de Morales»</w:t>
      </w:r>
      <w:r>
        <w:rPr>
          <w:rFonts w:ascii="Inter" w:hAnsi="Inter" w:cs="Inter"/>
          <w:b w:val="0"/>
          <w:i w:val="0"/>
          <w:color w:val="1C1E2E"/>
          <w:sz w:val="22"/>
        </w:rPr>
        <w:t xml:space="preserve"> (resolución del Ministerio, congreso 2008). Añadir al PDF una </w:t>
      </w:r>
      <w:r>
        <w:rPr>
          <w:rFonts w:ascii="Inter" w:hAnsi="Inter" w:cs="Inter"/>
          <w:b/>
          <w:i w:val="0"/>
          <w:color w:val="1C1E2E"/>
          <w:sz w:val="22"/>
        </w:rPr>
        <w:t>nota de identidad</w:t>
      </w:r>
      <w:r>
        <w:rPr>
          <w:rFonts w:ascii="Inter" w:hAnsi="Inter" w:cs="Inter"/>
          <w:b w:val="0"/>
          <w:i w:val="0"/>
          <w:color w:val="1C1E2E"/>
          <w:sz w:val="22"/>
        </w:rPr>
        <w:t xml:space="preserve"> de una línea con el documento que enlaza ambos nombres, y usar un solo nombre en todo el expediente.</w:t>
      </w:r>
    </w:p>
    <w:p>
      <w:r>
        <w:rPr>
          <w:rFonts w:ascii="Inter" w:hAnsi="Inter" w:cs="Inter"/>
          <w:b w:val="0"/>
          <w:i/>
          <w:color w:val="1C1E2E"/>
          <w:sz w:val="22"/>
        </w:rPr>
        <w:t>The documents alternate two surnames — add a one-line identity note plus the linking document, and use one name consistently.</w:t>
      </w:r>
    </w:p>
    <w:p>
      <w:pPr>
        <w:pStyle w:val="ListNumber"/>
        <w:spacing w:after="60"/>
        <w:ind w:left="403"/>
      </w:pPr>
      <w:r>
        <w:rPr>
          <w:rFonts w:ascii="Inter" w:hAnsi="Inter" w:cs="Inter"/>
          <w:b/>
          <w:i w:val="0"/>
          <w:color w:val="1C1E2E"/>
          <w:sz w:val="22"/>
        </w:rPr>
        <w:t>Elegibilidad del inglés</w:t>
      </w:r>
      <w:r>
        <w:rPr>
          <w:rFonts w:ascii="Inter" w:hAnsi="Inter" w:cs="Inter"/>
          <w:b w:val="0"/>
          <w:i w:val="0"/>
          <w:color w:val="1C1E2E"/>
          <w:sz w:val="22"/>
        </w:rPr>
        <w:t xml:space="preserve"> en el apartado de idiomas — preguntar a la comisión, dado que las titulaciones previas son de inglés.</w:t>
      </w:r>
    </w:p>
    <w:p>
      <w:r>
        <w:rPr>
          <w:rFonts w:ascii="Inter" w:hAnsi="Inter" w:cs="Inter"/>
          <w:b w:val="0"/>
          <w:i/>
          <w:color w:val="1C1E2E"/>
          <w:sz w:val="22"/>
        </w:rPr>
        <w:t>Eligibility of English in the languages item — ask the committee.</w:t>
      </w:r>
    </w:p>
    <w:p>
      <w:pPr>
        <w:pStyle w:val="ListNumber"/>
        <w:spacing w:after="60"/>
        <w:ind w:left="403"/>
      </w:pPr>
      <w:r>
        <w:rPr>
          <w:rFonts w:ascii="Inter" w:hAnsi="Inter" w:cs="Inter"/>
          <w:b/>
          <w:i w:val="0"/>
          <w:color w:val="1C1E2E"/>
          <w:sz w:val="22"/>
        </w:rPr>
        <w:t>Resoluciones de las dos becas</w:t>
      </w:r>
      <w:r>
        <w:rPr>
          <w:rFonts w:ascii="Inter" w:hAnsi="Inter" w:cs="Inter"/>
          <w:b w:val="0"/>
          <w:i w:val="0"/>
          <w:color w:val="1C1E2E"/>
          <w:sz w:val="22"/>
        </w:rPr>
        <w:t xml:space="preserve"> (excelencia académica ULA y beca del Ministerio) con su curso académico y denominación oficial.</w:t>
      </w:r>
    </w:p>
    <w:p>
      <w:r>
        <w:rPr>
          <w:rFonts w:ascii="Inter" w:hAnsi="Inter" w:cs="Inter"/>
          <w:b w:val="0"/>
          <w:i/>
          <w:color w:val="1C1E2E"/>
          <w:sz w:val="22"/>
        </w:rPr>
        <w:t>Award letters for both scholarships, with academic year and official name.</w:t>
      </w:r>
    </w:p>
    <w:p>
      <w:pPr>
        <w:pBdr>
          <w:bottom w:val="single" w:sz="6" w:space="1" w:color="E6E8F2"/>
        </w:pBdr>
      </w:pPr>
    </w:p>
    <w:p>
      <w:r>
        <w:rPr>
          <w:rFonts w:ascii="Inter" w:hAnsi="Inter" w:cs="Inter"/>
          <w:b w:val="0"/>
          <w:i/>
          <w:color w:val="1C1E2E"/>
          <w:sz w:val="22"/>
        </w:rPr>
        <w:t>© 2026 Ana Eslava-Graterol (ProfeAnaEslavaEdTech) · Universitat Politècnica de València.</w:t>
      </w:r>
    </w:p>
    <w:sectPr w:rsidR="00FC693F" w:rsidRPr="0006063C" w:rsidSect="00034616">
      <w:pgSz w:w="12240" w:h="15840"/>
      <w:pgMar w:top="1296" w:right="1296" w:bottom="1296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336" w:lineRule="auto"/>
    </w:pPr>
    <w:rPr>
      <w:rFonts w:ascii="Inter" w:hAnsi="Inter"/>
      <w:color w:val="1C1E2E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