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42"/>
        </w:rPr>
        <w:t>Ana Zoraimy Eslava Graterol</w:t>
      </w:r>
    </w:p>
    <w:p>
      <w:pPr>
        <w:spacing w:before="240" w:after="120"/>
      </w:pPr>
      <w:r>
        <w:rPr>
          <w:rFonts w:ascii="Inter" w:hAnsi="Inter" w:cs="Inter"/>
          <w:b/>
          <w:i w:val="0"/>
          <w:color w:val="1C1E2E"/>
          <w:sz w:val="26"/>
        </w:rPr>
        <w:t>Curriculum vitae académico · Solicitud de admisión a doctorado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1 · Datos personales y de contacto</w:t>
      </w:r>
    </w:p>
    <w:tbl>
      <w:tblPr>
        <w:tblW w:type="auto" w:w="0"/>
        <w:jc w:val="left"/>
        <w:tblBorders>
          <w:top w:val="single" w:sz="4" w:space="0" w:color="E6E8F2"/>
          <w:left w:val="single" w:sz="4" w:space="0" w:color="E6E8F2"/>
          <w:bottom w:val="single" w:sz="4" w:space="0" w:color="E6E8F2"/>
          <w:right w:val="single" w:sz="4" w:space="0" w:color="E6E8F2"/>
          <w:insideH w:val="single" w:sz="4" w:space="0" w:color="E6E8F2"/>
          <w:insideV w:val="single" w:sz="4" w:space="0" w:color="E6E8F2"/>
        </w:tblBorders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  <w:tc>
          <w:tcPr>
            <w:tcW w:type="dxa" w:w="4824"/>
            <w:shd w:val="clear" w:color="auto" w:fill="EEF2FD"/>
          </w:tcPr>
          <w:p>
            <w:pPr>
              <w:spacing w:after="40"/>
            </w:pPr>
            <w:r/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Nombre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Ana Zoraimy Eslava Graterol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Correo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profeanaeslava@gmail.com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Teléfono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[completar]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Residencia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Valencia, España — disponibilidad inmediata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ORCID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/>
                <w:color w:val="1C1E2E"/>
                <w:sz w:val="19"/>
              </w:rPr>
              <w:t>[crear antes de enviar — orcid.org, gratuito, 5 minutos]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LinkedIn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linkedin.com/in/anaeslava</w:t>
            </w:r>
          </w:p>
        </w:tc>
      </w:tr>
      <w:tr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/>
                <w:i w:val="0"/>
                <w:color w:val="1C1E2E"/>
                <w:sz w:val="19"/>
              </w:rPr>
              <w:t>Portafolio de investigación</w:t>
            </w:r>
          </w:p>
        </w:tc>
        <w:tc>
          <w:tcPr>
            <w:tcW w:type="dxa" w:w="4824"/>
          </w:tcPr>
          <w:p>
            <w:pPr>
              <w:spacing w:after="40"/>
            </w:pPr>
            <w:r/>
            <w:r>
              <w:rPr>
                <w:rFonts w:ascii="Inter" w:hAnsi="Inter" w:cs="Inter"/>
                <w:b w:val="0"/>
                <w:i w:val="0"/>
                <w:color w:val="1C1E2E"/>
                <w:sz w:val="19"/>
              </w:rPr>
              <w:t>profeanaeslavaedtech.github.io/portofolio</w:t>
            </w:r>
          </w:p>
        </w:tc>
      </w:tr>
    </w:tbl>
    <w:p/>
    <w:p>
      <w:r>
        <w:rPr>
          <w:rFonts w:ascii="Inter" w:hAnsi="Inter" w:cs="Inter"/>
          <w:b/>
          <w:i w:val="0"/>
          <w:color w:val="1C1E2E"/>
          <w:sz w:val="22"/>
        </w:rPr>
        <w:t>Línea de investigación principal.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Lingüística aplicada a la enseñanza de lenguas mediada por tecnología: </w:t>
      </w:r>
      <w:r>
        <w:rPr>
          <w:rFonts w:ascii="Inter" w:hAnsi="Inter" w:cs="Inter"/>
          <w:b/>
          <w:i w:val="0"/>
          <w:color w:val="1C1E2E"/>
          <w:sz w:val="22"/>
        </w:rPr>
        <w:t>diseño curricular anclado al MCER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aprendizaje móvil de lenguas (MALL), integración pedagógica de tutores basados en modelos de lenguaje y </w:t>
      </w:r>
      <w:r>
        <w:rPr>
          <w:rFonts w:ascii="Inter" w:hAnsi="Inter" w:cs="Inter"/>
          <w:b/>
          <w:i w:val="0"/>
          <w:color w:val="1C1E2E"/>
          <w:sz w:val="22"/>
        </w:rPr>
        <w:t>literacidad en IA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como objetivo curricular, con medición interoperable del desempeño (xAPI/cmi5).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2 · Formación académica</w:t>
      </w:r>
    </w:p>
    <w:p>
      <w:r>
        <w:rPr>
          <w:rFonts w:ascii="Inter" w:hAnsi="Inter" w:cs="Inter"/>
          <w:b/>
          <w:i w:val="0"/>
          <w:color w:val="1C1E2E"/>
          <w:sz w:val="22"/>
        </w:rPr>
        <w:t>Máster Universitario en Lenguas y Tecnología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especialidad Didáctica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Universitat Politècnica de València (UPV), España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julio de 2026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9,4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TFM: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 w:val="0"/>
          <w:i/>
          <w:color w:val="1C1E2E"/>
          <w:sz w:val="22"/>
        </w:rPr>
        <w:t>Variación disciplinar en el uso del metadiscurso en resúmenes de trabajos de fin de máster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corpus de 180 resúmenes de seis disciplinas (18.000 palabras, 920 marcadores), analizado con METOOL bajo el marco de Hyland (2005).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Directora: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Prof.ª Mª Luisa Carrió-Pastor, Departamento de Lingüística Aplicada, UPV.</w:t>
      </w:r>
    </w:p>
    <w:p>
      <w:r>
        <w:rPr>
          <w:rFonts w:ascii="Inter" w:hAnsi="Inter" w:cs="Inter"/>
          <w:b/>
          <w:i w:val="0"/>
          <w:color w:val="1C1E2E"/>
          <w:sz w:val="22"/>
        </w:rPr>
        <w:t>Licenciada en Educación, mención Inglés</w:t>
      </w:r>
    </w:p>
    <w:p>
      <w:r>
        <w:rPr>
          <w:rFonts w:ascii="Inter" w:hAnsi="Inter" w:cs="Inter"/>
          <w:b w:val="0"/>
          <w:i/>
          <w:color w:val="1C1E2E"/>
          <w:sz w:val="22"/>
        </w:rPr>
        <w:t>Universidad de Los Andes (ULA) — Núcleo Universitario «Dr. Pedro Rincón Gutiérrez», Táchira, Venezuela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estudios 1999–2003, título conferido en 2004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Nota media: 9,07 / 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la escala española — </w:t>
      </w:r>
      <w:r>
        <w:rPr>
          <w:rFonts w:ascii="Inter" w:hAnsi="Inter" w:cs="Inter"/>
          <w:b w:val="0"/>
          <w:i/>
          <w:color w:val="1C1E2E"/>
          <w:sz w:val="22"/>
        </w:rPr>
        <w:t>Declaración de equivalencia de la nota media</w:t>
      </w:r>
      <w:r>
        <w:rPr>
          <w:rFonts w:ascii="Inter" w:hAnsi="Inter" w:cs="Inter"/>
          <w:b w:val="0"/>
          <w:i w:val="0"/>
          <w:color w:val="1C1E2E"/>
          <w:sz w:val="22"/>
        </w:rPr>
        <w:t>, Secretaría General de Universidades (equivale a 18,97/20 en la escala de origen).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Equivalencia del título al nivel académico de Grado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(rama de Artes y Humanidades, campo específico Idiomas) — Ministerio de Universidades, RD 967/2014, 17 de junio de 2020.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 w:val="0"/>
          <w:i w:val="0"/>
          <w:color w:val="1C1E2E"/>
          <w:sz w:val="22"/>
        </w:rPr>
        <w:t xml:space="preserve">Distinción </w:t>
      </w:r>
      <w:r>
        <w:rPr>
          <w:rFonts w:ascii="Inter" w:hAnsi="Inter" w:cs="Inter"/>
          <w:b/>
          <w:i w:val="0"/>
          <w:color w:val="1C1E2E"/>
          <w:sz w:val="22"/>
        </w:rPr>
        <w:t>Summa Cum Laude</w:t>
      </w:r>
      <w:r>
        <w:rPr>
          <w:rFonts w:ascii="Inter" w:hAnsi="Inter" w:cs="Inter"/>
          <w:b w:val="0"/>
          <w:i w:val="0"/>
          <w:color w:val="1C1E2E"/>
          <w:sz w:val="22"/>
        </w:rPr>
        <w:t>. Líneas de la titulación: diseño curricular y enseñanza del inglés.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3 · Becas, premios y distinciones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/>
          <w:i w:val="0"/>
          <w:color w:val="5B5F77"/>
          <w:sz w:val="21"/>
        </w:rPr>
        <w:t>Primer puesto de la promoción y excelencia académica sostenida durante toda la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Orden «Luis María Ribas Dávila» — Universidad de Los Andes · 2000, 2001, 2002 y 2003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Distinción rectoral conferida al </w:t>
      </w:r>
      <w:r>
        <w:rPr>
          <w:rFonts w:ascii="Inter" w:hAnsi="Inter" w:cs="Inter"/>
          <w:b/>
          <w:i w:val="0"/>
          <w:color w:val="1C1E2E"/>
          <w:sz w:val="22"/>
        </w:rPr>
        <w:t>más alto rendimiento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Escuela de Educación, Núcleo Universitario del Táchira. </w:t>
      </w:r>
      <w:r>
        <w:rPr>
          <w:rFonts w:ascii="Inter" w:hAnsi="Inter" w:cs="Inter"/>
          <w:b/>
          <w:i w:val="0"/>
          <w:color w:val="1C1E2E"/>
          <w:sz w:val="22"/>
        </w:rPr>
        <w:t>Otorgada cuatro años consecutivos</w:t>
      </w:r>
      <w:r>
        <w:rPr>
          <w:rFonts w:ascii="Inter" w:hAnsi="Inter" w:cs="Inter"/>
          <w:b w:val="0"/>
          <w:i w:val="0"/>
          <w:color w:val="1C1E2E"/>
          <w:sz w:val="22"/>
        </w:rPr>
        <w:t>, es decir, en cada uno de los cursos en que fue evaluada: acredita la excelencia como trayectoria sostenida, no como resultado puntual. Firmada por el Rector y la Secretaria de la ULA.</w:t>
      </w:r>
    </w:p>
    <w:p>
      <w:r>
        <w:rPr>
          <w:rFonts w:ascii="Inter" w:hAnsi="Inter" w:cs="Inter"/>
          <w:b/>
          <w:i w:val="0"/>
          <w:color w:val="1C1E2E"/>
          <w:sz w:val="22"/>
        </w:rPr>
        <w:t>Primer puesto de la promoción — 1.º de 56 graduandos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Promedio propio </w:t>
      </w:r>
      <w:r>
        <w:rPr>
          <w:rFonts w:ascii="Inter" w:hAnsi="Inter" w:cs="Inter"/>
          <w:b/>
          <w:i w:val="0"/>
          <w:color w:val="1C1E2E"/>
          <w:sz w:val="22"/>
        </w:rPr>
        <w:t>18,97/20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frente al </w:t>
      </w:r>
      <w:r>
        <w:rPr>
          <w:rFonts w:ascii="Inter" w:hAnsi="Inter" w:cs="Inter"/>
          <w:b/>
          <w:i w:val="0"/>
          <w:color w:val="1C1E2E"/>
          <w:sz w:val="22"/>
        </w:rPr>
        <w:t>15,77/20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promoción (+3,20 puntos). Acreditado mediante </w:t>
      </w:r>
      <w:r>
        <w:rPr>
          <w:rFonts w:ascii="Inter" w:hAnsi="Inter" w:cs="Inter"/>
          <w:b/>
          <w:i w:val="0"/>
          <w:color w:val="1C1E2E"/>
          <w:sz w:val="22"/>
        </w:rPr>
        <w:t>Constancia de Rango Académico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 la Oficina de Registros Estudiantiles, con certificación de firmas del Rectorado y </w:t>
      </w:r>
      <w:r>
        <w:rPr>
          <w:rFonts w:ascii="Inter" w:hAnsi="Inter" w:cs="Inter"/>
          <w:b/>
          <w:i w:val="0"/>
          <w:color w:val="1C1E2E"/>
          <w:sz w:val="22"/>
        </w:rPr>
        <w:t>Apostilla de La Haya</w:t>
      </w:r>
      <w:r>
        <w:rPr>
          <w:rFonts w:ascii="Inter" w:hAnsi="Inter" w:cs="Inter"/>
          <w:b w:val="0"/>
          <w:i w:val="0"/>
          <w:color w:val="1C1E2E"/>
          <w:sz w:val="22"/>
        </w:rPr>
        <w:t>. Es el equivalente funcional venezolano del Premio Extraordinario Fin de Carrera.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de Alto Rendimiento Académico — Dirección de Asuntos Estudiantiles, ULA-Táchira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Beca </w:t>
      </w:r>
      <w:r>
        <w:rPr>
          <w:rFonts w:ascii="Inter" w:hAnsi="Inter" w:cs="Inter"/>
          <w:b/>
          <w:i w:val="0"/>
          <w:color w:val="1C1E2E"/>
          <w:sz w:val="22"/>
        </w:rPr>
        <w:t>de mérito, no asistencial</w:t>
      </w:r>
      <w:r>
        <w:rPr>
          <w:rFonts w:ascii="Inter" w:hAnsi="Inter" w:cs="Inter"/>
          <w:b w:val="0"/>
          <w:i w:val="0"/>
          <w:color w:val="1C1E2E"/>
          <w:sz w:val="22"/>
        </w:rPr>
        <w:t>, concedida por rendimiento académico. Periodo acreditado julio–diciembre de 2003, vigente a la fecha de expedición de la constancia (13 de mayo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Beca del Ministerio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beca general de estudios universitarios para el Máster en Lenguas y Tecnología, UPV. </w:t>
      </w:r>
      <w:r>
        <w:rPr>
          <w:rFonts w:ascii="Inter" w:hAnsi="Inter" w:cs="Inter"/>
          <w:b w:val="0"/>
          <w:i/>
          <w:color w:val="1C1E2E"/>
          <w:sz w:val="22"/>
        </w:rPr>
        <w:t>[Completar denominación oficial y curso académico.]</w:t>
      </w:r>
    </w:p>
    <w:p>
      <w:r>
        <w:rPr>
          <w:rFonts w:ascii="Inter" w:hAnsi="Inter" w:cs="Inter"/>
          <w:b/>
          <w:i w:val="0"/>
          <w:color w:val="1C1E2E"/>
          <w:sz w:val="22"/>
        </w:rPr>
        <w:t>Diploma de Honor del Rector de la ULA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Trabajo Especial de Grado calificado </w:t>
      </w:r>
      <w:r>
        <w:rPr>
          <w:rFonts w:ascii="Inter" w:hAnsi="Inter" w:cs="Inter"/>
          <w:b/>
          <w:i w:val="0"/>
          <w:color w:val="1C1E2E"/>
          <w:sz w:val="22"/>
        </w:rPr>
        <w:t>20/20, Sobresaliente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(15 de noviembre de 2004).</w:t>
      </w:r>
    </w:p>
    <w:p>
      <w:r>
        <w:rPr>
          <w:rFonts w:ascii="Inter" w:hAnsi="Inter" w:cs="Inter"/>
          <w:b/>
          <w:i w:val="0"/>
          <w:color w:val="1C1E2E"/>
          <w:sz w:val="22"/>
        </w:rPr>
        <w:t>2 Matrículas de Honor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en el Máster Universitario en Lenguas y Tecnología (UPV, 2026).</w:t>
      </w:r>
    </w:p>
    <w:p>
      <w:r>
        <w:rPr>
          <w:rFonts w:ascii="Inter" w:hAnsi="Inter" w:cs="Inter"/>
          <w:b/>
          <w:i w:val="0"/>
          <w:color w:val="1C1E2E"/>
          <w:sz w:val="22"/>
        </w:rPr>
        <w:t>Calificación de 10/10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por diseño inclusivo del proyecto </w:t>
      </w:r>
      <w:r>
        <w:rPr>
          <w:rFonts w:ascii="Inter" w:hAnsi="Inter" w:cs="Inter"/>
          <w:b w:val="0"/>
          <w:i/>
          <w:color w:val="1C1E2E"/>
          <w:sz w:val="22"/>
        </w:rPr>
        <w:t>Academic Writing Journey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(UPV, 2026), en la asignatura «Simulation, Games and Technology Applied to Teaching Strategies and Research Methodology».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4 · Producción científica y publicaciones</w:t>
      </w:r>
    </w:p>
    <w:p>
      <w:r>
        <w:rPr>
          <w:rFonts w:ascii="Inter" w:hAnsi="Inter" w:cs="Inter"/>
          <w:b/>
          <w:i w:val="0"/>
          <w:color w:val="1C1E2E"/>
          <w:sz w:val="22"/>
        </w:rPr>
        <w:t>Artículo en revista arbitrada e indexada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Eslava Graterol, A. Z. (2005). Estudio sobre el perfil del alumno en Educación Mención Inglés de la ULA-Táchira. </w:t>
      </w:r>
      <w:r>
        <w:rPr>
          <w:rFonts w:ascii="Inter" w:hAnsi="Inter" w:cs="Inter"/>
          <w:b w:val="0"/>
          <w:i/>
          <w:color w:val="5B5F77"/>
          <w:sz w:val="21"/>
        </w:rPr>
        <w:t>Kaleidoscopio, 2</w:t>
      </w:r>
      <w:r>
        <w:rPr>
          <w:rFonts w:ascii="Inter" w:hAnsi="Inter" w:cs="Inter"/>
          <w:b w:val="0"/>
          <w:i w:val="0"/>
          <w:color w:val="5B5F77"/>
          <w:sz w:val="21"/>
        </w:rPr>
        <w:t>(3), 51–56. Universidad Nacional Experimental de Guayana. ISSN 1690-6054. Indexada en CLASE (UNAM). https://hdl.handle.net/20.500.14330/CLA01000260594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Derivado del Trabajo Especial de Grado (20/20, Diploma de Honor). Recibido 13-06-2004, </w:t>
      </w:r>
      <w:r>
        <w:rPr>
          <w:rFonts w:ascii="Inter" w:hAnsi="Inter" w:cs="Inter"/>
          <w:b/>
          <w:i w:val="0"/>
          <w:color w:val="1C1E2E"/>
          <w:sz w:val="22"/>
        </w:rPr>
        <w:t>aceptado tras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19-07-2004. Publicado con resumen bilingüe español/inglés.</w:t>
      </w:r>
    </w:p>
    <w:p>
      <w:r>
        <w:rPr>
          <w:rFonts w:ascii="Inter" w:hAnsi="Inter" w:cs="Inter"/>
          <w:b/>
          <w:i w:val="0"/>
          <w:color w:val="1C1E2E"/>
          <w:sz w:val="22"/>
        </w:rPr>
        <w:t>Reconocimiento en agradecimientos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 w:val="0"/>
          <w:color w:val="5B5F77"/>
          <w:sz w:val="21"/>
        </w:rPr>
        <w:t xml:space="preserve">Sotelo-Casas et al. (2019). </w:t>
      </w:r>
      <w:r>
        <w:rPr>
          <w:rFonts w:ascii="Inter" w:hAnsi="Inter" w:cs="Inter"/>
          <w:b w:val="0"/>
          <w:i/>
          <w:color w:val="5B5F77"/>
          <w:sz w:val="21"/>
        </w:rPr>
        <w:t>Estuarine, Coastal and Shelf Science</w:t>
      </w:r>
      <w:r>
        <w:rPr>
          <w:rFonts w:ascii="Inter" w:hAnsi="Inter" w:cs="Inter"/>
          <w:b w:val="0"/>
          <w:i w:val="0"/>
          <w:color w:val="5B5F77"/>
          <w:sz w:val="21"/>
        </w:rPr>
        <w:t xml:space="preserve"> (Elsevier), p. 8 — por el contenido científico y la revisión en inglés del manuscrito.</w:t>
      </w:r>
    </w:p>
    <w:p>
      <w:r>
        <w:rPr>
          <w:rFonts w:ascii="Inter" w:hAnsi="Inter" w:cs="Inter"/>
          <w:b/>
          <w:i w:val="0"/>
          <w:color w:val="1C1E2E"/>
          <w:sz w:val="22"/>
        </w:rPr>
        <w:t>Trabajo de Fin de Máster (2026)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estudio de corpus sobre variación disciplinar del metadiscurso en resúmenes de TFM (UPV). Resultados publicados como libro de datos interactivo de acceso abierto: profeanaeslavaedtech.github.io/portofolio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5 · Congresos y ponencias</w:t>
      </w:r>
    </w:p>
    <w:p>
      <w:r>
        <w:rPr>
          <w:rFonts w:ascii="Inter" w:hAnsi="Inter" w:cs="Inter"/>
          <w:b/>
          <w:i w:val="0"/>
          <w:color w:val="1C1E2E"/>
          <w:sz w:val="22"/>
        </w:rPr>
        <w:t>Ponente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</w:t>
      </w:r>
      <w:r>
        <w:rPr>
          <w:rFonts w:ascii="Inter" w:hAnsi="Inter" w:cs="Inter"/>
          <w:b w:val="0"/>
          <w:i/>
          <w:color w:val="1C1E2E"/>
          <w:sz w:val="22"/>
        </w:rPr>
        <w:t>Estudio sobre el perfil del alumno en Educación Mención Inglés de la ULA-Táchira</w:t>
      </w:r>
    </w:p>
    <w:p>
      <w:r>
        <w:rPr>
          <w:rFonts w:ascii="Inter" w:hAnsi="Inter" w:cs="Inter"/>
          <w:b/>
          <w:i w:val="0"/>
          <w:color w:val="1C1E2E"/>
          <w:sz w:val="22"/>
        </w:rPr>
        <w:t>II Congreso Internacional de Educación Superior — «Tendencias y Perspectivas de la Educación Superior en América Latina / en el Siglo XXI»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Asociación de Educadores de Latinoamérica y del Caribe y Universidad de Oriente · Cumaná, Venezuela · </w:t>
      </w:r>
      <w:r>
        <w:rPr>
          <w:rFonts w:ascii="Inter" w:hAnsi="Inter" w:cs="Inter"/>
          <w:b/>
          <w:i w:val="0"/>
          <w:color w:val="1C1E2E"/>
          <w:sz w:val="22"/>
        </w:rPr>
        <w:t>31 de julio – 2 de agosto de 2008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 xml:space="preserve">Resumen </w:t>
      </w:r>
      <w:r>
        <w:rPr>
          <w:rFonts w:ascii="Inter" w:hAnsi="Inter" w:cs="Inter"/>
          <w:b/>
          <w:i w:val="0"/>
          <w:color w:val="1C1E2E"/>
          <w:sz w:val="22"/>
        </w:rPr>
        <w:t>aceptado por la comisión de arbitraje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del congreso (ref. CIES/P 048).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6 · Experiencia docente e investigadora</w:t>
      </w:r>
    </w:p>
    <w:p>
      <w:r>
        <w:rPr>
          <w:rFonts w:ascii="Inter" w:hAnsi="Inter" w:cs="Inter"/>
          <w:b/>
          <w:i w:val="0"/>
          <w:color w:val="1C1E2E"/>
          <w:sz w:val="22"/>
        </w:rPr>
        <w:t>Diseñadora instruccional y arquitecta de eLearning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profesional autónoma, España · </w:t>
      </w:r>
      <w:r>
        <w:rPr>
          <w:rFonts w:ascii="Inter" w:hAnsi="Inter" w:cs="Inter"/>
          <w:b/>
          <w:i w:val="0"/>
          <w:color w:val="1C1E2E"/>
          <w:sz w:val="22"/>
        </w:rPr>
        <w:t>oct. 2019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Diseño de itinerarios de inglés académico B2→C1 alineados al MCER; guionización y documento de diseño de alto nivel; capa de accesibilidad conforme a WCAG y al Acta Europea de Accesibilidad; empaquetado SCORM/xAPI en Articulate 360 (Rise). Modelo documentado de gobernanza humano–IA para la generación de contenido.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Inglés Científico y redactora de contenido científico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Universidad de Oriente (UDO), Núcleo Nueva Esparta, Venezuela · </w:t>
      </w:r>
      <w:r>
        <w:rPr>
          <w:rFonts w:ascii="Inter" w:hAnsi="Inter" w:cs="Inter"/>
          <w:b/>
          <w:i w:val="0"/>
          <w:color w:val="1C1E2E"/>
          <w:sz w:val="22"/>
        </w:rPr>
        <w:t>2005 – 2015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</w:t>
      </w:r>
      <w:r>
        <w:rPr>
          <w:rFonts w:ascii="Inter" w:hAnsi="Inter" w:cs="Inter"/>
          <w:b/>
          <w:i w:val="0"/>
          <w:color w:val="1C1E2E"/>
          <w:sz w:val="22"/>
        </w:rPr>
        <w:t>1.568 horas de docencia universitaria acreditadas.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Docencia de inglés científico en titulaciones de ciencias; redacción y revisión de artículos en inglés para revistas revisadas por pares de alto impacto (odontología, biología marina).</w:t>
      </w:r>
    </w:p>
    <w:p>
      <w:r>
        <w:rPr>
          <w:rFonts w:ascii="Inter" w:hAnsi="Inter" w:cs="Inter"/>
          <w:b/>
          <w:i w:val="0"/>
          <w:color w:val="1C1E2E"/>
          <w:sz w:val="22"/>
        </w:rPr>
        <w:t>Fundadora y diseñadora de contenidos — Talkétika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· </w:t>
      </w:r>
      <w:r>
        <w:rPr>
          <w:rFonts w:ascii="Inter" w:hAnsi="Inter" w:cs="Inter"/>
          <w:b/>
          <w:i w:val="0"/>
          <w:color w:val="1C1E2E"/>
          <w:sz w:val="22"/>
        </w:rPr>
        <w:t>2019 – actualidad</w:t>
      </w:r>
    </w:p>
    <w:p>
      <w:r>
        <w:rPr>
          <w:rFonts w:ascii="Inter" w:hAnsi="Inter" w:cs="Inter"/>
          <w:b w:val="0"/>
          <w:i w:val="0"/>
          <w:color w:val="1C1E2E"/>
          <w:sz w:val="22"/>
        </w:rPr>
        <w:t>Administradora de Chamilo (LMS) desde 2019; contenido gamificado en Moodle, Canvas LMS y Chamilo; producción de audiolibros.</w:t>
      </w:r>
    </w:p>
    <w:p>
      <w:r>
        <w:rPr>
          <w:rFonts w:ascii="Inter" w:hAnsi="Inter" w:cs="Inter"/>
          <w:b/>
          <w:i w:val="0"/>
          <w:color w:val="1C1E2E"/>
          <w:sz w:val="22"/>
        </w:rPr>
        <w:t>Profesora de idiomas — ESL, Cambridge y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diversas instituciones · </w:t>
      </w:r>
      <w:r>
        <w:rPr>
          <w:rFonts w:ascii="Inter" w:hAnsi="Inter" w:cs="Inter"/>
          <w:b/>
          <w:i w:val="0"/>
          <w:color w:val="1C1E2E"/>
          <w:sz w:val="22"/>
        </w:rPr>
        <w:t>jul. 2004 – actualidad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Más de 20 años de docencia de inglés y español a personas adultas. </w:t>
      </w:r>
      <w:r>
        <w:rPr>
          <w:rFonts w:ascii="Inter" w:hAnsi="Inter" w:cs="Inter"/>
          <w:b/>
          <w:i w:val="0"/>
          <w:color w:val="1C1E2E"/>
          <w:sz w:val="22"/>
        </w:rPr>
        <w:t>Tutora en AVE Global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(aula virtual del Instituto Cervantes). Diseño de itinerarios y rúbricas alineados al MCER; preparación de Cambridge (B2 First, C1 Advanced) y DELE.</w:t>
      </w:r>
    </w:p>
    <w:p>
      <w:r>
        <w:rPr>
          <w:rFonts w:ascii="Inter" w:hAnsi="Inter" w:cs="Inter"/>
          <w:b/>
          <w:i w:val="0"/>
          <w:color w:val="1C1E2E"/>
          <w:sz w:val="22"/>
        </w:rPr>
        <w:t>Investigación.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Investigación de corpus en el Departamento de Lingüística Aplicada de la UPV (TFM, 2026), bajo la dirección de la Prof.ª Mª Luisa Carrió-Pastor. Investigación curricular en la ULA (TFG, 2004), llevada a publicación arbitrada y a congreso internacional.</w:t>
      </w:r>
    </w:p>
    <w:p>
      <w:pPr>
        <w:pBdr>
          <w:bottom w:val="single" w:sz="6" w:space="1" w:color="E6E8F2"/>
        </w:pBdr>
      </w:pPr>
    </w:p>
    <w:p>
      <w:pPr>
        <w:spacing w:before="320" w:after="120"/>
      </w:pPr>
      <w:r>
        <w:rPr>
          <w:rFonts w:ascii="Fraunces" w:hAnsi="Fraunces" w:cs="Fraunces"/>
          <w:b/>
          <w:i w:val="0"/>
          <w:color w:val="22307C"/>
          <w:sz w:val="32"/>
        </w:rPr>
        <w:t>7 · Idiomas y competencias técnicas</w:t>
      </w:r>
    </w:p>
    <w:p>
      <w:r>
        <w:rPr>
          <w:rFonts w:ascii="Inter" w:hAnsi="Inter" w:cs="Inter"/>
          <w:b/>
          <w:i w:val="0"/>
          <w:color w:val="1C1E2E"/>
          <w:sz w:val="22"/>
        </w:rPr>
        <w:t>Idiomas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Español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lengua materna.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Inglés — C1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acreditado por </w:t>
      </w:r>
      <w:r>
        <w:rPr>
          <w:rFonts w:ascii="Inter" w:hAnsi="Inter" w:cs="Inter"/>
          <w:b/>
          <w:i w:val="0"/>
          <w:color w:val="1C1E2E"/>
          <w:sz w:val="22"/>
        </w:rPr>
        <w:t>Cambridge English (C1 Advanced / CAE)</w:t>
      </w:r>
      <w:r>
        <w:rPr>
          <w:rFonts w:ascii="Inter" w:hAnsi="Inter" w:cs="Inter"/>
          <w:b w:val="0"/>
          <w:i w:val="0"/>
          <w:color w:val="1C1E2E"/>
          <w:sz w:val="22"/>
        </w:rPr>
        <w:t>. Redacción científica y profesional en ambas lenguas.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CELTA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(Cambridge English) — certificado de habilitación para la enseñanza del inglés.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Examinadora acreditada DELE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— Instituto Cervantes.</w:t>
      </w:r>
    </w:p>
    <w:p>
      <w:r>
        <w:rPr>
          <w:rFonts w:ascii="Inter" w:hAnsi="Inter" w:cs="Inter"/>
          <w:b/>
          <w:i w:val="0"/>
          <w:color w:val="1C1E2E"/>
          <w:sz w:val="22"/>
        </w:rPr>
        <w:t>Herramientas de investigación y análisis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Lingüística de corpus: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METOOL (Carrió-Pastor, 2020) para el etiquetado y la cuantificación de marcadores metadiscursivos.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Análisis estadístico: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Microsoft Excel (tablas dinámicas, normalización por 1.000 tokens); análisis inferencial en Python (chi-cuadrado, tamaños del efecto, dispersión de Juilland, factores de Bayes), contrastado con Lancaster Stats Tools.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Visualización de datos: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desarrollo de libros de datos interactivos con Chart.js, con vista de tabla y paleta validada para deficiencias de visión cromática.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Estándares y datos de aprendizaje: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MCER/CEFR, </w:t>
      </w:r>
      <w:r>
        <w:rPr>
          <w:rFonts w:ascii="Inter" w:hAnsi="Inter" w:cs="Inter"/>
          <w:b w:val="0"/>
          <w:i/>
          <w:color w:val="1C1E2E"/>
          <w:sz w:val="22"/>
        </w:rPr>
        <w:t>Plan curricular del Instituto Cervantes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, </w:t>
      </w:r>
      <w:r>
        <w:rPr>
          <w:rFonts w:ascii="Inter" w:hAnsi="Inter" w:cs="Inter"/>
          <w:b/>
          <w:i w:val="0"/>
          <w:color w:val="1C1E2E"/>
          <w:sz w:val="22"/>
        </w:rPr>
        <w:t>xAPI, SCORM, cmi5</w:t>
      </w:r>
      <w:r>
        <w:rPr>
          <w:rFonts w:ascii="Inter" w:hAnsi="Inter" w:cs="Inter"/>
          <w:b w:val="0"/>
          <w:i w:val="0"/>
          <w:color w:val="1C1E2E"/>
          <w:sz w:val="22"/>
        </w:rPr>
        <w:t>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Plataformas y autoría: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Moodle, Canvas LMS, </w:t>
      </w:r>
      <w:r>
        <w:rPr>
          <w:rFonts w:ascii="Inter" w:hAnsi="Inter" w:cs="Inter"/>
          <w:b/>
          <w:i w:val="0"/>
          <w:color w:val="1C1E2E"/>
          <w:sz w:val="22"/>
        </w:rPr>
        <w:t>Chamilo (administradora)</w:t>
      </w:r>
      <w:r>
        <w:rPr>
          <w:rFonts w:ascii="Inter" w:hAnsi="Inter" w:cs="Inter"/>
          <w:b w:val="0"/>
          <w:i w:val="0"/>
          <w:color w:val="1C1E2E"/>
          <w:sz w:val="22"/>
        </w:rPr>
        <w:t>, Articulate 360 (Rise), AVE Global, Canva, Adobe Podcast.</w:t>
      </w:r>
    </w:p>
    <w:p>
      <w:pPr>
        <w:pStyle w:val="ListBullet"/>
        <w:spacing w:after="60"/>
        <w:ind w:left="403"/>
      </w:pPr>
      <w:r>
        <w:rPr>
          <w:rFonts w:ascii="Inter" w:hAnsi="Inter" w:cs="Inter"/>
          <w:b/>
          <w:i w:val="0"/>
          <w:color w:val="1C1E2E"/>
          <w:sz w:val="22"/>
        </w:rPr>
        <w:t>Accesibilidad:</w:t>
      </w:r>
      <w:r>
        <w:rPr>
          <w:rFonts w:ascii="Inter" w:hAnsi="Inter" w:cs="Inter"/>
          <w:b w:val="0"/>
          <w:i w:val="0"/>
          <w:color w:val="1C1E2E"/>
          <w:sz w:val="22"/>
        </w:rPr>
        <w:t xml:space="preserve"> WCAG 2.1 AA, DUA, Acta Europea de Accesibilidad.</w:t>
      </w:r>
    </w:p>
    <w:p>
      <w:pPr>
        <w:pBdr>
          <w:left w:val="single" w:sz="18" w:space="8" w:color="9A5B00"/>
        </w:pBdr>
        <w:spacing w:before="120" w:after="200"/>
        <w:ind w:left="317"/>
      </w:pPr>
      <w:r>
        <w:rPr>
          <w:rFonts w:ascii="Inter" w:hAnsi="Inter" w:cs="Inter"/>
          <w:b w:val="0"/>
          <w:i/>
          <w:color w:val="5B5F77"/>
          <w:sz w:val="21"/>
        </w:rPr>
        <w:t xml:space="preserve">Nota para completar: si utilizas habitualmente </w:t>
      </w:r>
      <w:r>
        <w:rPr>
          <w:rFonts w:ascii="Inter" w:hAnsi="Inter" w:cs="Inter"/>
          <w:b w:val="0"/>
          <w:i/>
          <w:color w:val="5B5F77"/>
          <w:sz w:val="21"/>
        </w:rPr>
        <w:t>AntConc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SPSS</w:t>
      </w:r>
      <w:r>
        <w:rPr>
          <w:rFonts w:ascii="Inter" w:hAnsi="Inter" w:cs="Inter"/>
          <w:b w:val="0"/>
          <w:i/>
          <w:color w:val="5B5F77"/>
          <w:sz w:val="21"/>
        </w:rPr>
        <w:t xml:space="preserve">, </w:t>
      </w:r>
      <w:r>
        <w:rPr>
          <w:rFonts w:ascii="Inter" w:hAnsi="Inter" w:cs="Inter"/>
          <w:b w:val="0"/>
          <w:i/>
          <w:color w:val="5B5F77"/>
          <w:sz w:val="21"/>
        </w:rPr>
        <w:t>R</w:t>
      </w:r>
      <w:r>
        <w:rPr>
          <w:rFonts w:ascii="Inter" w:hAnsi="Inter" w:cs="Inter"/>
          <w:b w:val="0"/>
          <w:i/>
          <w:color w:val="5B5F77"/>
          <w:sz w:val="21"/>
        </w:rPr>
        <w:t xml:space="preserve"> o </w:t>
      </w:r>
      <w:r>
        <w:rPr>
          <w:rFonts w:ascii="Inter" w:hAnsi="Inter" w:cs="Inter"/>
          <w:b w:val="0"/>
          <w:i/>
          <w:color w:val="5B5F77"/>
          <w:sz w:val="21"/>
        </w:rPr>
        <w:t>Atlas.ti</w:t>
      </w:r>
      <w:r>
        <w:rPr>
          <w:rFonts w:ascii="Inter" w:hAnsi="Inter" w:cs="Inter"/>
          <w:b w:val="0"/>
          <w:i/>
          <w:color w:val="5B5F77"/>
          <w:sz w:val="21"/>
        </w:rPr>
        <w:t>, añádelos a esta lista. No los he incluido porque no constan en tu documentación verificada, y en un CV académico conviene no declarar herramientas que no puedas demostrar en una entrevista.</w:t>
      </w:r>
    </w:p>
    <w:p>
      <w:pPr>
        <w:pBdr>
          <w:bottom w:val="single" w:sz="6" w:space="1" w:color="E6E8F2"/>
        </w:pBdr>
      </w:pPr>
    </w:p>
    <w:p>
      <w:r>
        <w:rPr>
          <w:rFonts w:ascii="Inter" w:hAnsi="Inter" w:cs="Inter"/>
          <w:b w:val="0"/>
          <w:i/>
          <w:color w:val="1C1E2E"/>
          <w:sz w:val="22"/>
        </w:rPr>
        <w:t>© 2026 Ana Zoraimy Eslava Graterol. Documento elaborado con asistencia de IA bajo supervisión, verificación y autoría intelectual humana; todos los datos proceden de documentación oficial.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36" w:lineRule="auto"/>
    </w:pPr>
    <w:rPr>
      <w:rFonts w:ascii="Inter" w:hAnsi="Inter"/>
      <w:color w:val="1C1E2E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