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Fraunces" w:hAnsi="Fraunces" w:cs="Fraunces"/>
          <w:b/>
          <w:i w:val="0"/>
          <w:color w:val="22307C"/>
          <w:sz w:val="42"/>
        </w:rPr>
        <w:t>DOCTORAL RESEARCH PROPOSAL</w:t>
      </w:r>
    </w:p>
    <w:p>
      <w:pPr>
        <w:spacing w:before="320" w:after="120"/>
      </w:pPr>
      <w:r>
        <w:rPr>
          <w:rFonts w:ascii="Fraunces" w:hAnsi="Fraunces" w:cs="Fraunces"/>
          <w:b/>
          <w:i w:val="0"/>
          <w:color w:val="22307C"/>
          <w:sz w:val="32"/>
        </w:rPr>
        <w:t xml:space="preserve">MLLDE — </w:t>
      </w:r>
      <w:r>
        <w:rPr>
          <w:rFonts w:ascii="Fraunces" w:hAnsi="Fraunces" w:cs="Fraunces"/>
          <w:b/>
          <w:i w:val="0"/>
          <w:color w:val="22307C"/>
          <w:sz w:val="32"/>
        </w:rPr>
        <w:t>Multimodal Language Learning Design &amp; Evaluation</w:t>
      </w:r>
    </w:p>
    <w:p>
      <w:pPr>
        <w:spacing w:before="240" w:after="120"/>
      </w:pPr>
      <w:r>
        <w:rPr>
          <w:rFonts w:ascii="Inter" w:hAnsi="Inter" w:cs="Inter"/>
          <w:b/>
          <w:i w:val="0"/>
          <w:color w:val="1C1E2E"/>
          <w:sz w:val="26"/>
        </w:rPr>
        <w:t>Modality-declared curriculum design for mobile language learning, and speaking assessment with three tiers of evidence</w:t>
      </w:r>
    </w:p>
    <w:p>
      <w:pPr>
        <w:pBdr>
          <w:bottom w:val="single" w:sz="6" w:space="1" w:color="E6E8F2"/>
        </w:pBdr>
      </w:pP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p>
        </w:tc>
        <w:tc>
          <w:tcPr>
            <w:tcW w:type="dxa" w:w="4824"/>
            <w:shd w:val="clear" w:color="auto" w:fill="EEF2FD"/>
          </w:tcPr>
          <w:p>
            <w:pPr>
              <w:spacing w:after="40"/>
            </w:pPr>
            <w:r/>
          </w:p>
        </w:tc>
      </w:tr>
      <w:tr>
        <w:tc>
          <w:tcPr>
            <w:tcW w:type="dxa" w:w="4824"/>
          </w:tcPr>
          <w:p>
            <w:pPr>
              <w:spacing w:after="40"/>
            </w:pPr>
            <w:r/>
            <w:r>
              <w:rPr>
                <w:rFonts w:ascii="Inter" w:hAnsi="Inter" w:cs="Inter"/>
                <w:b/>
                <w:i w:val="0"/>
                <w:color w:val="1C1E2E"/>
                <w:sz w:val="19"/>
              </w:rPr>
              <w:t>Candidate</w:t>
            </w:r>
          </w:p>
        </w:tc>
        <w:tc>
          <w:tcPr>
            <w:tcW w:type="dxa" w:w="4824"/>
          </w:tcPr>
          <w:p>
            <w:pPr>
              <w:spacing w:after="40"/>
            </w:pPr>
            <w:r/>
            <w:r>
              <w:rPr>
                <w:rFonts w:ascii="Inter" w:hAnsi="Inter" w:cs="Inter"/>
                <w:b w:val="0"/>
                <w:i w:val="0"/>
                <w:color w:val="1C1E2E"/>
                <w:sz w:val="19"/>
              </w:rPr>
              <w:t>Ana Zoraimy Eslava Graterol</w:t>
            </w:r>
          </w:p>
        </w:tc>
      </w:tr>
      <w:tr>
        <w:tc>
          <w:tcPr>
            <w:tcW w:type="dxa" w:w="4824"/>
          </w:tcPr>
          <w:p>
            <w:pPr>
              <w:spacing w:after="40"/>
            </w:pPr>
            <w:r/>
            <w:r>
              <w:rPr>
                <w:rFonts w:ascii="Inter" w:hAnsi="Inter" w:cs="Inter"/>
                <w:b/>
                <w:i w:val="0"/>
                <w:color w:val="1C1E2E"/>
                <w:sz w:val="19"/>
              </w:rPr>
              <w:t>Contact</w:t>
            </w:r>
          </w:p>
        </w:tc>
        <w:tc>
          <w:tcPr>
            <w:tcW w:type="dxa" w:w="4824"/>
          </w:tcPr>
          <w:p>
            <w:pPr>
              <w:spacing w:after="40"/>
            </w:pPr>
            <w:r/>
            <w:r>
              <w:rPr>
                <w:rFonts w:ascii="Inter" w:hAnsi="Inter" w:cs="Inter"/>
                <w:b w:val="0"/>
                <w:i w:val="0"/>
                <w:color w:val="1C1E2E"/>
                <w:sz w:val="19"/>
              </w:rPr>
              <w:t>profeanaeslava@gmail.com · linkedin.com/in/anaeslava</w:t>
            </w:r>
          </w:p>
        </w:tc>
      </w:tr>
      <w:tr>
        <w:tc>
          <w:tcPr>
            <w:tcW w:type="dxa" w:w="4824"/>
          </w:tcPr>
          <w:p>
            <w:pPr>
              <w:spacing w:after="40"/>
            </w:pPr>
            <w:r/>
            <w:r>
              <w:rPr>
                <w:rFonts w:ascii="Inter" w:hAnsi="Inter" w:cs="Inter"/>
                <w:b/>
                <w:i w:val="0"/>
                <w:color w:val="1C1E2E"/>
                <w:sz w:val="19"/>
              </w:rPr>
              <w:t>Programme</w:t>
            </w:r>
          </w:p>
        </w:tc>
        <w:tc>
          <w:tcPr>
            <w:tcW w:type="dxa" w:w="4824"/>
          </w:tcPr>
          <w:p>
            <w:pPr>
              <w:spacing w:after="40"/>
            </w:pPr>
            <w:r/>
            <w:r>
              <w:rPr>
                <w:rFonts w:ascii="Inter" w:hAnsi="Inter" w:cs="Inter"/>
                <w:b w:val="0"/>
                <w:i w:val="0"/>
                <w:color w:val="1C1E2E"/>
                <w:sz w:val="19"/>
              </w:rPr>
              <w:t>PhD Programme — Applied Linguistics</w:t>
            </w:r>
          </w:p>
        </w:tc>
      </w:tr>
      <w:tr>
        <w:tc>
          <w:tcPr>
            <w:tcW w:type="dxa" w:w="4824"/>
          </w:tcPr>
          <w:p>
            <w:pPr>
              <w:spacing w:after="40"/>
            </w:pPr>
            <w:r/>
            <w:r>
              <w:rPr>
                <w:rFonts w:ascii="Inter" w:hAnsi="Inter" w:cs="Inter"/>
                <w:b/>
                <w:i w:val="0"/>
                <w:color w:val="1C1E2E"/>
                <w:sz w:val="19"/>
              </w:rPr>
              <w:t>Department</w:t>
            </w:r>
          </w:p>
        </w:tc>
        <w:tc>
          <w:tcPr>
            <w:tcW w:type="dxa" w:w="4824"/>
          </w:tcPr>
          <w:p>
            <w:pPr>
              <w:spacing w:after="40"/>
            </w:pPr>
            <w:r/>
            <w:r>
              <w:rPr>
                <w:rFonts w:ascii="Inter" w:hAnsi="Inter" w:cs="Inter"/>
                <w:b w:val="0"/>
                <w:i w:val="0"/>
                <w:color w:val="1C1E2E"/>
                <w:sz w:val="19"/>
              </w:rPr>
              <w:t>Department of Applied Linguistics, Universitat Politècnica de València (UPV), Spain</w:t>
            </w:r>
          </w:p>
        </w:tc>
      </w:tr>
      <w:tr>
        <w:tc>
          <w:tcPr>
            <w:tcW w:type="dxa" w:w="4824"/>
          </w:tcPr>
          <w:p>
            <w:pPr>
              <w:spacing w:after="40"/>
            </w:pPr>
            <w:r/>
            <w:r>
              <w:rPr>
                <w:rFonts w:ascii="Inter" w:hAnsi="Inter" w:cs="Inter"/>
                <w:b/>
                <w:i w:val="0"/>
                <w:color w:val="1C1E2E"/>
                <w:sz w:val="19"/>
              </w:rPr>
              <w:t>Research line</w:t>
            </w:r>
          </w:p>
        </w:tc>
        <w:tc>
          <w:tcPr>
            <w:tcW w:type="dxa" w:w="4824"/>
          </w:tcPr>
          <w:p>
            <w:pPr>
              <w:spacing w:after="40"/>
            </w:pPr>
            <w:r/>
            <w:r>
              <w:rPr>
                <w:rFonts w:ascii="Inter" w:hAnsi="Inter" w:cs="Inter"/>
                <w:b w:val="0"/>
                <w:i w:val="0"/>
                <w:color w:val="1C1E2E"/>
                <w:sz w:val="19"/>
              </w:rPr>
              <w:t>Language technologies, speaking assessment and CEFR-anchored instructional design</w:t>
            </w:r>
          </w:p>
        </w:tc>
      </w:tr>
      <w:tr>
        <w:tc>
          <w:tcPr>
            <w:tcW w:type="dxa" w:w="4824"/>
          </w:tcPr>
          <w:p>
            <w:pPr>
              <w:spacing w:after="40"/>
            </w:pPr>
            <w:r/>
            <w:r>
              <w:rPr>
                <w:rFonts w:ascii="Inter" w:hAnsi="Inter" w:cs="Inter"/>
                <w:b/>
                <w:i w:val="0"/>
                <w:color w:val="1C1E2E"/>
                <w:sz w:val="19"/>
              </w:rPr>
              <w:t>Application case</w:t>
            </w:r>
          </w:p>
        </w:tc>
        <w:tc>
          <w:tcPr>
            <w:tcW w:type="dxa" w:w="4824"/>
          </w:tcPr>
          <w:p>
            <w:pPr>
              <w:spacing w:after="40"/>
            </w:pPr>
            <w:r/>
            <w:r>
              <w:rPr>
                <w:rFonts w:ascii="Inter" w:hAnsi="Inter" w:cs="Inter"/>
                <w:b w:val="0"/>
                <w:i w:val="0"/>
                <w:color w:val="1C1E2E"/>
                <w:sz w:val="19"/>
              </w:rPr>
              <w:t>TK Coach / "Capi" — business-English voice tutor (Talketika)</w:t>
            </w:r>
          </w:p>
        </w:tc>
      </w:tr>
      <w:tr>
        <w:tc>
          <w:tcPr>
            <w:tcW w:type="dxa" w:w="4824"/>
          </w:tcPr>
          <w:p>
            <w:pPr>
              <w:spacing w:after="40"/>
            </w:pPr>
            <w:r/>
            <w:r>
              <w:rPr>
                <w:rFonts w:ascii="Inter" w:hAnsi="Inter" w:cs="Inter"/>
                <w:b/>
                <w:i w:val="0"/>
                <w:color w:val="1C1E2E"/>
                <w:sz w:val="19"/>
              </w:rPr>
              <w:t>Proposed mode</w:t>
            </w:r>
          </w:p>
        </w:tc>
        <w:tc>
          <w:tcPr>
            <w:tcW w:type="dxa" w:w="4824"/>
          </w:tcPr>
          <w:p>
            <w:pPr>
              <w:spacing w:after="40"/>
            </w:pPr>
            <w:r/>
            <w:r>
              <w:rPr>
                <w:rFonts w:ascii="Inter" w:hAnsi="Inter" w:cs="Inter"/>
                <w:b w:val="0"/>
                <w:i w:val="0"/>
                <w:color w:val="1C1E2E"/>
                <w:sz w:val="19"/>
              </w:rPr>
              <w:t>Part-time (4 years), compatible with professional activity</w:t>
            </w:r>
          </w:p>
        </w:tc>
      </w:tr>
      <w:tr>
        <w:tc>
          <w:tcPr>
            <w:tcW w:type="dxa" w:w="4824"/>
          </w:tcPr>
          <w:p>
            <w:pPr>
              <w:spacing w:after="40"/>
            </w:pPr>
            <w:r/>
            <w:r>
              <w:rPr>
                <w:rFonts w:ascii="Inter" w:hAnsi="Inter" w:cs="Inter"/>
                <w:b/>
                <w:i w:val="0"/>
                <w:color w:val="1C1E2E"/>
                <w:sz w:val="19"/>
              </w:rPr>
              <w:t>Date · version</w:t>
            </w:r>
          </w:p>
        </w:tc>
        <w:tc>
          <w:tcPr>
            <w:tcW w:type="dxa" w:w="4824"/>
          </w:tcPr>
          <w:p>
            <w:pPr>
              <w:spacing w:after="40"/>
            </w:pPr>
            <w:r/>
            <w:r>
              <w:rPr>
                <w:rFonts w:ascii="Inter" w:hAnsi="Inter" w:cs="Inter"/>
                <w:b w:val="0"/>
                <w:i w:val="0"/>
                <w:color w:val="1C1E2E"/>
                <w:sz w:val="19"/>
              </w:rPr>
              <w:t>September 2026 · v2.0</w:t>
            </w:r>
          </w:p>
        </w:tc>
      </w:tr>
    </w:tbl>
    <w:p/>
    <w:p>
      <w:pPr>
        <w:pBdr>
          <w:left w:val="single" w:sz="18" w:space="8" w:color="9A5B00"/>
        </w:pBdr>
        <w:spacing w:before="120" w:after="200"/>
        <w:ind w:left="317"/>
      </w:pPr>
      <w:r>
        <w:rPr>
          <w:rFonts w:ascii="Inter" w:hAnsi="Inter" w:cs="Inter"/>
          <w:b/>
          <w:i w:val="0"/>
          <w:color w:val="5B5F77"/>
          <w:sz w:val="21"/>
        </w:rPr>
        <w:t>MLLDE</w:t>
      </w:r>
      <w:r>
        <w:rPr>
          <w:rFonts w:ascii="Inter" w:hAnsi="Inter" w:cs="Inter"/>
          <w:b w:val="0"/>
          <w:i w:val="0"/>
          <w:color w:val="5B5F77"/>
          <w:sz w:val="21"/>
        </w:rPr>
        <w:t xml:space="preserve"> — </w:t>
      </w:r>
      <w:r>
        <w:rPr>
          <w:rFonts w:ascii="Inter" w:hAnsi="Inter" w:cs="Inter"/>
          <w:b w:val="0"/>
          <w:i/>
          <w:color w:val="5B5F77"/>
          <w:sz w:val="21"/>
        </w:rPr>
        <w:t>Multimodal Language Learning Design &amp; Evaluation</w:t>
      </w:r>
      <w:r>
        <w:rPr>
          <w:rFonts w:ascii="Inter" w:hAnsi="Inter" w:cs="Inter"/>
          <w:b w:val="0"/>
          <w:i w:val="0"/>
          <w:color w:val="5B5F77"/>
          <w:sz w:val="21"/>
        </w:rPr>
        <w:t xml:space="preserve">. The author's method and evaluation framework, whose </w:t>
      </w:r>
      <w:r>
        <w:rPr>
          <w:rFonts w:ascii="Inter" w:hAnsi="Inter" w:cs="Inter"/>
          <w:b/>
          <w:i w:val="0"/>
          <w:color w:val="5B5F77"/>
          <w:sz w:val="21"/>
        </w:rPr>
        <w:t>Measurement Module</w:t>
      </w:r>
      <w:r>
        <w:rPr>
          <w:rFonts w:ascii="Inter" w:hAnsi="Inter" w:cs="Inter"/>
          <w:b w:val="0"/>
          <w:i w:val="0"/>
          <w:color w:val="5B5F77"/>
          <w:sz w:val="21"/>
        </w:rPr>
        <w:t xml:space="preserve"> this proposal develops and validates. "TK Coach" and "Capi" are marks of Talketika; the CEFR (Council of Europe), xAPI (ADL/IEEE), IPA and ESCO are cited standards, not redistributed.</w:t>
      </w:r>
    </w:p>
    <w:p>
      <w:pPr>
        <w:pBdr>
          <w:bottom w:val="single" w:sz="6" w:space="1" w:color="E6E8F2"/>
        </w:pBdr>
      </w:pPr>
    </w:p>
    <w:p>
      <w:pPr>
        <w:spacing w:before="320" w:after="120"/>
      </w:pPr>
      <w:r>
        <w:rPr>
          <w:rFonts w:ascii="Fraunces" w:hAnsi="Fraunces" w:cs="Fraunces"/>
          <w:b/>
          <w:i w:val="0"/>
          <w:color w:val="22307C"/>
          <w:sz w:val="32"/>
        </w:rPr>
        <w:t>1. Abstract</w:t>
      </w:r>
    </w:p>
    <w:p>
      <w:r>
        <w:rPr>
          <w:rFonts w:ascii="Inter" w:hAnsi="Inter" w:cs="Inter"/>
          <w:b w:val="0"/>
          <w:i w:val="0"/>
          <w:color w:val="1C1E2E"/>
          <w:sz w:val="22"/>
        </w:rPr>
        <w:t xml:space="preserve">A generative model is </w:t>
      </w:r>
      <w:r>
        <w:rPr>
          <w:rFonts w:ascii="Inter" w:hAnsi="Inter" w:cs="Inter"/>
          <w:b/>
          <w:i w:val="0"/>
          <w:color w:val="1C1E2E"/>
          <w:sz w:val="22"/>
        </w:rPr>
        <w:t>fluent by design</w:t>
      </w:r>
      <w:r>
        <w:rPr>
          <w:rFonts w:ascii="Inter" w:hAnsi="Inter" w:cs="Inter"/>
          <w:b w:val="0"/>
          <w:i w:val="0"/>
          <w:color w:val="1C1E2E"/>
          <w:sz w:val="22"/>
        </w:rPr>
        <w:t xml:space="preserve">: it will produce a plausible score whether or not it is entitled to, and that fluency is precisely what disqualifies it as an assessor. The problem this thesis addresses is therefore methodological before it is technical: </w:t>
      </w:r>
      <w:r>
        <w:rPr>
          <w:rFonts w:ascii="Inter" w:hAnsi="Inter" w:cs="Inter"/>
          <w:b/>
          <w:i w:val="0"/>
          <w:color w:val="1C1E2E"/>
          <w:sz w:val="22"/>
        </w:rPr>
        <w:t>how to turn a learner's real spoken production in front of an AI agent into evidence of competence traceable to the CEFR, without the model inventing the grade.</w:t>
      </w:r>
    </w:p>
    <w:p>
      <w:r>
        <w:rPr>
          <w:rFonts w:ascii="Inter" w:hAnsi="Inter" w:cs="Inter"/>
          <w:b w:val="0"/>
          <w:i w:val="0"/>
          <w:color w:val="1C1E2E"/>
          <w:sz w:val="22"/>
        </w:rPr>
        <w:t xml:space="preserve">The proposed and validated answer is </w:t>
      </w:r>
      <w:r>
        <w:rPr>
          <w:rFonts w:ascii="Inter" w:hAnsi="Inter" w:cs="Inter"/>
          <w:b/>
          <w:i w:val="0"/>
          <w:color w:val="1C1E2E"/>
          <w:sz w:val="22"/>
        </w:rPr>
        <w:t>MLLDE</w:t>
      </w:r>
      <w:r>
        <w:rPr>
          <w:rFonts w:ascii="Inter" w:hAnsi="Inter" w:cs="Inter"/>
          <w:b w:val="0"/>
          <w:i w:val="0"/>
          <w:color w:val="1C1E2E"/>
          <w:sz w:val="22"/>
        </w:rPr>
        <w:t xml:space="preserve"> (</w:t>
      </w:r>
      <w:r>
        <w:rPr>
          <w:rFonts w:ascii="Inter" w:hAnsi="Inter" w:cs="Inter"/>
          <w:b w:val="0"/>
          <w:i/>
          <w:color w:val="1C1E2E"/>
          <w:sz w:val="22"/>
        </w:rPr>
        <w:t>Multimodal Language Learning Design &amp; Evaluation</w:t>
      </w:r>
      <w:r>
        <w:rPr>
          <w:rFonts w:ascii="Inter" w:hAnsi="Inter" w:cs="Inter"/>
          <w:b w:val="0"/>
          <w:i w:val="0"/>
          <w:color w:val="1C1E2E"/>
          <w:sz w:val="22"/>
        </w:rPr>
        <w:t xml:space="preserve">), a method with </w:t>
      </w:r>
      <w:r>
        <w:rPr>
          <w:rFonts w:ascii="Inter" w:hAnsi="Inter" w:cs="Inter"/>
          <w:b/>
          <w:i w:val="0"/>
          <w:color w:val="1C1E2E"/>
          <w:sz w:val="22"/>
        </w:rPr>
        <w:t>two inseparable pillars</w:t>
      </w:r>
      <w:r>
        <w:rPr>
          <w:rFonts w:ascii="Inter" w:hAnsi="Inter" w:cs="Inter"/>
          <w:b w:val="0"/>
          <w:i w:val="0"/>
          <w:color w:val="1C1E2E"/>
          <w:sz w:val="22"/>
        </w:rPr>
        <w:t>:</w:t>
      </w:r>
    </w:p>
    <w:p>
      <w:pPr>
        <w:pStyle w:val="ListBullet"/>
        <w:spacing w:after="60"/>
        <w:ind w:left="403"/>
      </w:pPr>
      <w:r>
        <w:rPr>
          <w:rFonts w:ascii="Inter" w:hAnsi="Inter" w:cs="Inter"/>
          <w:b/>
          <w:i w:val="0"/>
          <w:color w:val="1C1E2E"/>
          <w:sz w:val="22"/>
        </w:rPr>
        <w:t>The Design pillar.</w:t>
      </w:r>
      <w:r>
        <w:rPr>
          <w:rFonts w:ascii="Inter" w:hAnsi="Inter" w:cs="Inter"/>
          <w:b w:val="0"/>
          <w:i w:val="0"/>
          <w:color w:val="1C1E2E"/>
          <w:sz w:val="22"/>
        </w:rPr>
        <w:t xml:space="preserve"> A replicable procedure for building mobile language curriculum in which </w:t>
      </w:r>
      <w:r>
        <w:rPr>
          <w:rFonts w:ascii="Inter" w:hAnsi="Inter" w:cs="Inter"/>
          <w:b/>
          <w:i w:val="0"/>
          <w:color w:val="1C1E2E"/>
          <w:sz w:val="22"/>
        </w:rPr>
        <w:t>modality</w:t>
      </w:r>
      <w:r>
        <w:rPr>
          <w:rFonts w:ascii="Inter" w:hAnsi="Inter" w:cs="Inter"/>
          <w:b w:val="0"/>
          <w:i w:val="0"/>
          <w:color w:val="1C1E2E"/>
          <w:sz w:val="22"/>
        </w:rPr>
        <w:t xml:space="preserve"> — text, audio, image, </w:t>
      </w:r>
      <w:r>
        <w:rPr>
          <w:rFonts w:ascii="Inter" w:hAnsi="Inter" w:cs="Inter"/>
          <w:b/>
          <w:i w:val="0"/>
          <w:color w:val="1C1E2E"/>
          <w:sz w:val="22"/>
        </w:rPr>
        <w:t>voice</w:t>
      </w:r>
      <w:r>
        <w:rPr>
          <w:rFonts w:ascii="Inter" w:hAnsi="Inter" w:cs="Inter"/>
          <w:b w:val="0"/>
          <w:i w:val="0"/>
          <w:color w:val="1C1E2E"/>
          <w:sz w:val="22"/>
        </w:rPr>
        <w:t xml:space="preserve"> — is not packaging but a </w:t>
      </w:r>
      <w:r>
        <w:rPr>
          <w:rFonts w:ascii="Inter" w:hAnsi="Inter" w:cs="Inter"/>
          <w:b/>
          <w:i w:val="0"/>
          <w:color w:val="1C1E2E"/>
          <w:sz w:val="22"/>
        </w:rPr>
        <w:t>declared design variable</w:t>
      </w:r>
      <w:r>
        <w:rPr>
          <w:rFonts w:ascii="Inter" w:hAnsi="Inter" w:cs="Inter"/>
          <w:b w:val="0"/>
          <w:i w:val="0"/>
          <w:color w:val="1C1E2E"/>
          <w:sz w:val="22"/>
        </w:rPr>
        <w:t>: every step of a lesson states which modality carries the input, the practice and the production, and against which CEFR mode and descriptor it is measured.</w:t>
      </w:r>
    </w:p>
    <w:p>
      <w:pPr>
        <w:pStyle w:val="ListBullet"/>
        <w:spacing w:after="60"/>
        <w:ind w:left="403"/>
      </w:pPr>
      <w:r>
        <w:rPr>
          <w:rFonts w:ascii="Inter" w:hAnsi="Inter" w:cs="Inter"/>
          <w:b/>
          <w:i w:val="0"/>
          <w:color w:val="1C1E2E"/>
          <w:sz w:val="22"/>
        </w:rPr>
        <w:t>The Evaluation pillar.</w:t>
      </w:r>
      <w:r>
        <w:rPr>
          <w:rFonts w:ascii="Inter" w:hAnsi="Inter" w:cs="Inter"/>
          <w:b w:val="0"/>
          <w:i w:val="0"/>
          <w:color w:val="1C1E2E"/>
          <w:sz w:val="22"/>
        </w:rPr>
        <w:t xml:space="preserve"> The </w:t>
      </w:r>
      <w:r>
        <w:rPr>
          <w:rFonts w:ascii="Inter" w:hAnsi="Inter" w:cs="Inter"/>
          <w:b/>
          <w:i w:val="0"/>
          <w:color w:val="1C1E2E"/>
          <w:sz w:val="22"/>
        </w:rPr>
        <w:t>Measurement Module</w:t>
      </w:r>
      <w:r>
        <w:rPr>
          <w:rFonts w:ascii="Inter" w:hAnsi="Inter" w:cs="Inter"/>
          <w:b w:val="0"/>
          <w:i w:val="0"/>
          <w:color w:val="1C1E2E"/>
          <w:sz w:val="22"/>
        </w:rPr>
        <w:t>, which turns what the learner produces — above all spoken production in front of an agent — into CEFR-traceable evidence.</w:t>
      </w:r>
    </w:p>
    <w:p>
      <w:r>
        <w:rPr>
          <w:rFonts w:ascii="Inter" w:hAnsi="Inter" w:cs="Inter"/>
          <w:b w:val="0"/>
          <w:i w:val="0"/>
          <w:color w:val="1C1E2E"/>
          <w:sz w:val="22"/>
        </w:rPr>
        <w:t>Both share one architecture, and the evaluation pillar rests on three decisions:</w:t>
      </w:r>
    </w:p>
    <w:p>
      <w:pPr>
        <w:pStyle w:val="ListNumber"/>
        <w:spacing w:after="60"/>
        <w:ind w:left="403"/>
      </w:pPr>
      <w:r>
        <w:rPr>
          <w:rFonts w:ascii="Inter" w:hAnsi="Inter" w:cs="Inter"/>
          <w:b/>
          <w:i w:val="0"/>
          <w:color w:val="1C1E2E"/>
          <w:sz w:val="22"/>
        </w:rPr>
        <w:t>Measure ≠ Decide.</w:t>
      </w:r>
      <w:r>
        <w:rPr>
          <w:rFonts w:ascii="Inter" w:hAnsi="Inter" w:cs="Inter"/>
          <w:b w:val="0"/>
          <w:i w:val="0"/>
          <w:color w:val="1C1E2E"/>
          <w:sz w:val="22"/>
        </w:rPr>
        <w:t xml:space="preserve"> The model </w:t>
      </w:r>
      <w:r>
        <w:rPr>
          <w:rFonts w:ascii="Inter" w:hAnsi="Inter" w:cs="Inter"/>
          <w:b/>
          <w:i w:val="0"/>
          <w:color w:val="1C1E2E"/>
          <w:sz w:val="22"/>
        </w:rPr>
        <w:t>observes and describes</w:t>
      </w:r>
      <w:r>
        <w:rPr>
          <w:rFonts w:ascii="Inter" w:hAnsi="Inter" w:cs="Inter"/>
          <w:b w:val="0"/>
          <w:i w:val="0"/>
          <w:color w:val="1C1E2E"/>
          <w:sz w:val="22"/>
        </w:rPr>
        <w:t xml:space="preserve"> what happens in the interaction; a </w:t>
      </w:r>
      <w:r>
        <w:rPr>
          <w:rFonts w:ascii="Inter" w:hAnsi="Inter" w:cs="Inter"/>
          <w:b/>
          <w:i w:val="0"/>
          <w:color w:val="1C1E2E"/>
          <w:sz w:val="22"/>
        </w:rPr>
        <w:t>deterministic engine</w:t>
      </w:r>
      <w:r>
        <w:rPr>
          <w:rFonts w:ascii="Inter" w:hAnsi="Inter" w:cs="Inter"/>
          <w:b w:val="0"/>
          <w:i w:val="0"/>
          <w:color w:val="1C1E2E"/>
          <w:sz w:val="22"/>
        </w:rPr>
        <w:t xml:space="preserve"> — code, not AI — </w:t>
      </w:r>
      <w:r>
        <w:rPr>
          <w:rFonts w:ascii="Inter" w:hAnsi="Inter" w:cs="Inter"/>
          <w:b/>
          <w:i w:val="0"/>
          <w:color w:val="1C1E2E"/>
          <w:sz w:val="22"/>
        </w:rPr>
        <w:t>computes</w:t>
      </w:r>
      <w:r>
        <w:rPr>
          <w:rFonts w:ascii="Inter" w:hAnsi="Inter" w:cs="Inter"/>
          <w:b w:val="0"/>
          <w:i w:val="0"/>
          <w:color w:val="1C1E2E"/>
          <w:sz w:val="22"/>
        </w:rPr>
        <w:t xml:space="preserve"> the band from those observations. Nothing on screen is invented by a model.</w:t>
      </w:r>
    </w:p>
    <w:p>
      <w:pPr>
        <w:pStyle w:val="ListNumber"/>
        <w:spacing w:after="60"/>
        <w:ind w:left="403"/>
      </w:pPr>
      <w:r>
        <w:rPr>
          <w:rFonts w:ascii="Inter" w:hAnsi="Inter" w:cs="Inter"/>
          <w:b/>
          <w:i w:val="0"/>
          <w:color w:val="1C1E2E"/>
          <w:sz w:val="22"/>
        </w:rPr>
        <w:t>Engine + pack.</w:t>
      </w:r>
      <w:r>
        <w:rPr>
          <w:rFonts w:ascii="Inter" w:hAnsi="Inter" w:cs="Inter"/>
          <w:b w:val="0"/>
          <w:i w:val="0"/>
          <w:color w:val="1C1E2E"/>
          <w:sz w:val="22"/>
        </w:rPr>
        <w:t xml:space="preserve"> The measurement rules are client-agnostic; each product fills a </w:t>
      </w:r>
      <w:r>
        <w:rPr>
          <w:rFonts w:ascii="Inter" w:hAnsi="Inter" w:cs="Inter"/>
          <w:b/>
          <w:i w:val="0"/>
          <w:color w:val="1C1E2E"/>
          <w:sz w:val="22"/>
        </w:rPr>
        <w:t>pack</w:t>
      </w:r>
      <w:r>
        <w:rPr>
          <w:rFonts w:ascii="Inter" w:hAnsi="Inter" w:cs="Inter"/>
          <w:b w:val="0"/>
          <w:i w:val="0"/>
          <w:color w:val="1C1E2E"/>
          <w:sz w:val="22"/>
        </w:rPr>
        <w:t xml:space="preserve"> with its tasks, levels and sound inventory. Applying the module to a second application means </w:t>
      </w:r>
      <w:r>
        <w:rPr>
          <w:rFonts w:ascii="Inter" w:hAnsi="Inter" w:cs="Inter"/>
          <w:b/>
          <w:i w:val="0"/>
          <w:color w:val="1C1E2E"/>
          <w:sz w:val="22"/>
        </w:rPr>
        <w:t>filling a pack, not redesigning</w:t>
      </w:r>
      <w:r>
        <w:rPr>
          <w:rFonts w:ascii="Inter" w:hAnsi="Inter" w:cs="Inter"/>
          <w:b w:val="0"/>
          <w:i w:val="0"/>
          <w:color w:val="1C1E2E"/>
          <w:sz w:val="22"/>
        </w:rPr>
        <w:t xml:space="preserve"> — the replicability claim the thesis must demonstrate.</w:t>
      </w:r>
    </w:p>
    <w:p>
      <w:pPr>
        <w:pStyle w:val="ListNumber"/>
        <w:spacing w:after="60"/>
        <w:ind w:left="403"/>
      </w:pPr>
      <w:r>
        <w:rPr>
          <w:rFonts w:ascii="Inter" w:hAnsi="Inter" w:cs="Inter"/>
          <w:b/>
          <w:i w:val="0"/>
          <w:color w:val="1C1E2E"/>
          <w:sz w:val="22"/>
        </w:rPr>
        <w:t>Three tiers of evidence.</w:t>
      </w:r>
      <w:r>
        <w:rPr>
          <w:rFonts w:ascii="Inter" w:hAnsi="Inter" w:cs="Inter"/>
          <w:b w:val="0"/>
          <w:i w:val="0"/>
          <w:color w:val="1C1E2E"/>
          <w:sz w:val="22"/>
        </w:rPr>
        <w:t xml:space="preserve"> Voice signal is not measurable at uniform precision. Every claim </w:t>
      </w:r>
      <w:r>
        <w:rPr>
          <w:rFonts w:ascii="Inter" w:hAnsi="Inter" w:cs="Inter"/>
          <w:b/>
          <w:i w:val="0"/>
          <w:color w:val="1C1E2E"/>
          <w:sz w:val="22"/>
        </w:rPr>
        <w:t>declares its tier</w:t>
      </w:r>
      <w:r>
        <w:rPr>
          <w:rFonts w:ascii="Inter" w:hAnsi="Inter" w:cs="Inter"/>
          <w:b w:val="0"/>
          <w:i w:val="0"/>
          <w:color w:val="1C1E2E"/>
          <w:sz w:val="22"/>
        </w:rPr>
        <w:t>, so a report never asserts more accuracy than the engine actually has. Pronunciation — the hardest signal — is the test case, and carrying it from Tier 1 to Tier 3 is the thesis's deep phonemic contribution.</w:t>
      </w:r>
    </w:p>
    <w:p>
      <w:r>
        <w:rPr>
          <w:rFonts w:ascii="Inter" w:hAnsi="Inter" w:cs="Inter"/>
          <w:b w:val="0"/>
          <w:i w:val="0"/>
          <w:color w:val="1C1E2E"/>
          <w:sz w:val="22"/>
        </w:rPr>
        <w:t xml:space="preserve">Methodologically this is </w:t>
      </w:r>
      <w:r>
        <w:rPr>
          <w:rFonts w:ascii="Inter" w:hAnsi="Inter" w:cs="Inter"/>
          <w:b/>
          <w:i w:val="0"/>
          <w:color w:val="1C1E2E"/>
          <w:sz w:val="22"/>
        </w:rPr>
        <w:t>design-based research with validation in production</w:t>
      </w:r>
      <w:r>
        <w:rPr>
          <w:rFonts w:ascii="Inter" w:hAnsi="Inter" w:cs="Inter"/>
          <w:b w:val="0"/>
          <w:i w:val="0"/>
          <w:color w:val="1C1E2E"/>
          <w:sz w:val="22"/>
        </w:rPr>
        <w:t xml:space="preserve">: Tier 1 is already deployed and emitting evidence to a Learning Record Store, so the agreement between the LLM-applied rubric and </w:t>
      </w:r>
      <w:r>
        <w:rPr>
          <w:rFonts w:ascii="Inter" w:hAnsi="Inter" w:cs="Inter"/>
          <w:b/>
          <w:i w:val="0"/>
          <w:color w:val="1C1E2E"/>
          <w:sz w:val="22"/>
        </w:rPr>
        <w:t>expert human assessment</w:t>
      </w:r>
      <w:r>
        <w:rPr>
          <w:rFonts w:ascii="Inter" w:hAnsi="Inter" w:cs="Inter"/>
          <w:b w:val="0"/>
          <w:i w:val="0"/>
          <w:color w:val="1C1E2E"/>
          <w:sz w:val="22"/>
        </w:rPr>
        <w:t xml:space="preserve"> can be tested on real rather than simulated data.</w:t>
      </w:r>
    </w:p>
    <w:p>
      <w:r>
        <w:rPr>
          <w:rFonts w:ascii="Inter" w:hAnsi="Inter" w:cs="Inter"/>
          <w:b/>
          <w:i w:val="0"/>
          <w:color w:val="1C1E2E"/>
          <w:sz w:val="22"/>
        </w:rPr>
        <w:t>Keywords:</w:t>
      </w:r>
      <w:r>
        <w:rPr>
          <w:rFonts w:ascii="Inter" w:hAnsi="Inter" w:cs="Inter"/>
          <w:b w:val="0"/>
          <w:i w:val="0"/>
          <w:color w:val="1C1E2E"/>
          <w:sz w:val="22"/>
        </w:rPr>
        <w:t xml:space="preserve"> CEFR · speaking assessment · voice tutors · GOP and pronunciation · xAPI · evidence honesty · design-based research · applied linguistics.</w:t>
      </w:r>
    </w:p>
    <w:p>
      <w:pPr>
        <w:pBdr>
          <w:bottom w:val="single" w:sz="6" w:space="1" w:color="E6E8F2"/>
        </w:pBdr>
      </w:pPr>
    </w:p>
    <w:p>
      <w:pPr>
        <w:spacing w:before="320" w:after="120"/>
      </w:pPr>
      <w:r>
        <w:rPr>
          <w:rFonts w:ascii="Fraunces" w:hAnsi="Fraunces" w:cs="Fraunces"/>
          <w:b/>
          <w:i w:val="0"/>
          <w:color w:val="22307C"/>
          <w:sz w:val="32"/>
        </w:rPr>
        <w:t>2. Rationale</w:t>
      </w:r>
    </w:p>
    <w:p>
      <w:r>
        <w:rPr>
          <w:rFonts w:ascii="Inter" w:hAnsi="Inter" w:cs="Inter"/>
          <w:b/>
          <w:i w:val="0"/>
          <w:color w:val="1C1E2E"/>
          <w:sz w:val="22"/>
        </w:rPr>
        <w:t>2.1 The underlying problem: fluency is not validity.</w:t>
      </w:r>
      <w:r>
        <w:rPr>
          <w:rFonts w:ascii="Inter" w:hAnsi="Inter" w:cs="Inter"/>
          <w:b w:val="0"/>
          <w:i w:val="0"/>
          <w:color w:val="1C1E2E"/>
          <w:sz w:val="22"/>
        </w:rPr>
        <w:t xml:space="preserve"> Conversational tutors have made unlimited speaking practice technically trivial. But a language model placed in the assessor's chair does not distinguish between </w:t>
      </w:r>
      <w:r>
        <w:rPr>
          <w:rFonts w:ascii="Inter" w:hAnsi="Inter" w:cs="Inter"/>
          <w:b w:val="0"/>
          <w:i/>
          <w:color w:val="1C1E2E"/>
          <w:sz w:val="22"/>
        </w:rPr>
        <w:t>describing</w:t>
      </w:r>
      <w:r>
        <w:rPr>
          <w:rFonts w:ascii="Inter" w:hAnsi="Inter" w:cs="Inter"/>
          <w:b w:val="0"/>
          <w:i w:val="0"/>
          <w:color w:val="1C1E2E"/>
          <w:sz w:val="22"/>
        </w:rPr>
        <w:t xml:space="preserve"> a performance and </w:t>
      </w:r>
      <w:r>
        <w:rPr>
          <w:rFonts w:ascii="Inter" w:hAnsi="Inter" w:cs="Inter"/>
          <w:b w:val="0"/>
          <w:i/>
          <w:color w:val="1C1E2E"/>
          <w:sz w:val="22"/>
        </w:rPr>
        <w:t>scoring</w:t>
      </w:r>
      <w:r>
        <w:rPr>
          <w:rFonts w:ascii="Inter" w:hAnsi="Inter" w:cs="Inter"/>
          <w:b w:val="0"/>
          <w:i w:val="0"/>
          <w:color w:val="1C1E2E"/>
          <w:sz w:val="22"/>
        </w:rPr>
        <w:t xml:space="preserve"> it: it produces a band as fluently as it produces a sentence. The result is systems that display figures without traceability, that cannot withstand an audit, and that cannot be compared with one another. MLLDE's answer is not a better prompt but an </w:t>
      </w:r>
      <w:r>
        <w:rPr>
          <w:rFonts w:ascii="Inter" w:hAnsi="Inter" w:cs="Inter"/>
          <w:b/>
          <w:i w:val="0"/>
          <w:color w:val="1C1E2E"/>
          <w:sz w:val="22"/>
        </w:rPr>
        <w:t>architectural separation of responsibilities</w:t>
      </w:r>
      <w:r>
        <w:rPr>
          <w:rFonts w:ascii="Inter" w:hAnsi="Inter" w:cs="Inter"/>
          <w:b w:val="0"/>
          <w:i w:val="0"/>
          <w:color w:val="1C1E2E"/>
          <w:sz w:val="22"/>
        </w:rPr>
        <w:t>.</w:t>
      </w:r>
    </w:p>
    <w:p>
      <w:r>
        <w:rPr>
          <w:rFonts w:ascii="Inter" w:hAnsi="Inter" w:cs="Inter"/>
          <w:b/>
          <w:i w:val="0"/>
          <w:color w:val="1C1E2E"/>
          <w:sz w:val="22"/>
        </w:rPr>
        <w:t>2.2 Why pronunciation is the decisive case.</w:t>
      </w:r>
      <w:r>
        <w:rPr>
          <w:rFonts w:ascii="Inter" w:hAnsi="Inter" w:cs="Inter"/>
          <w:b w:val="0"/>
          <w:i w:val="0"/>
          <w:color w:val="1C1E2E"/>
          <w:sz w:val="22"/>
        </w:rPr>
        <w:t xml:space="preserve"> Of all the signals speech emits, pronunciation is the most over-promised in the market and the least methodologically defensible. Measuring it properly requires acoustic instrumentation, and asserting it without that instrumentation is exactly the kind of over-claim this thesis sets out to make impossible. The tier model is therefore not a detour: it is how one states precisely </w:t>
      </w:r>
      <w:r>
        <w:rPr>
          <w:rFonts w:ascii="Inter" w:hAnsi="Inter" w:cs="Inter"/>
          <w:b/>
          <w:i w:val="0"/>
          <w:color w:val="1C1E2E"/>
          <w:sz w:val="22"/>
        </w:rPr>
        <w:t>what can be measured today, what can be measured with instrumentation, and what is still research</w:t>
      </w:r>
      <w:r>
        <w:rPr>
          <w:rFonts w:ascii="Inter" w:hAnsi="Inter" w:cs="Inter"/>
          <w:b w:val="0"/>
          <w:i w:val="0"/>
          <w:color w:val="1C1E2E"/>
          <w:sz w:val="22"/>
        </w:rPr>
        <w:t>.</w:t>
      </w:r>
    </w:p>
    <w:p>
      <w:r>
        <w:rPr>
          <w:rFonts w:ascii="Inter" w:hAnsi="Inter" w:cs="Inter"/>
          <w:b/>
          <w:i w:val="0"/>
          <w:color w:val="1C1E2E"/>
          <w:sz w:val="22"/>
        </w:rPr>
        <w:t>2.3 Why three tiers rather than all-or-nothing.</w:t>
      </w:r>
      <w:r>
        <w:rPr>
          <w:rFonts w:ascii="Inter" w:hAnsi="Inter" w:cs="Inter"/>
          <w:b w:val="0"/>
          <w:i w:val="0"/>
          <w:color w:val="1C1E2E"/>
          <w:sz w:val="22"/>
        </w:rPr>
        <w:t xml:space="preserve"> A commercial tutor cannot wait for research to conclude before delivering value; and research cannot be held captive by a demo. Tiers make it possible to </w:t>
      </w:r>
      <w:r>
        <w:rPr>
          <w:rFonts w:ascii="Inter" w:hAnsi="Inter" w:cs="Inter"/>
          <w:b/>
          <w:i w:val="0"/>
          <w:color w:val="1C1E2E"/>
          <w:sz w:val="22"/>
        </w:rPr>
        <w:t>ship with Tier 1</w:t>
      </w:r>
      <w:r>
        <w:rPr>
          <w:rFonts w:ascii="Inter" w:hAnsi="Inter" w:cs="Inter"/>
          <w:b w:val="0"/>
          <w:i w:val="0"/>
          <w:color w:val="1C1E2E"/>
          <w:sz w:val="22"/>
        </w:rPr>
        <w:t xml:space="preserve"> — real voice, honest measurement — while Tier 2 is developed and validated and Tier 3 is researched, each with its own validity design. It is a maturity model for evidence, not an excuse.</w:t>
      </w:r>
    </w:p>
    <w:p>
      <w:r>
        <w:rPr>
          <w:rFonts w:ascii="Inter" w:hAnsi="Inter" w:cs="Inter"/>
          <w:b/>
          <w:i w:val="0"/>
          <w:color w:val="1C1E2E"/>
          <w:sz w:val="22"/>
        </w:rPr>
        <w:t>2.4 The professional observation.</w:t>
      </w:r>
      <w:r>
        <w:rPr>
          <w:rFonts w:ascii="Inter" w:hAnsi="Inter" w:cs="Inter"/>
          <w:b w:val="0"/>
          <w:i w:val="0"/>
          <w:color w:val="1C1E2E"/>
          <w:sz w:val="22"/>
        </w:rPr>
        <w:t xml:space="preserve"> More than twenty years designing and delivering language education — 1,568 accredited university teaching hours, LMS administration since 2019, CEFR-aligned gamified courses — show that the bottleneck is neither content nor technology but the </w:t>
      </w:r>
      <w:r>
        <w:rPr>
          <w:rFonts w:ascii="Inter" w:hAnsi="Inter" w:cs="Inter"/>
          <w:b/>
          <w:i w:val="0"/>
          <w:color w:val="1C1E2E"/>
          <w:sz w:val="22"/>
        </w:rPr>
        <w:t>absence of a cumulative procedure</w:t>
      </w:r>
      <w:r>
        <w:rPr>
          <w:rFonts w:ascii="Inter" w:hAnsi="Inter" w:cs="Inter"/>
          <w:b w:val="0"/>
          <w:i w:val="0"/>
          <w:color w:val="1C1E2E"/>
          <w:sz w:val="22"/>
        </w:rPr>
        <w:t>. MLLDE grew from that, and TK Coach is its first complete instantiation.</w:t>
      </w:r>
    </w:p>
    <w:p>
      <w:pPr>
        <w:pBdr>
          <w:bottom w:val="single" w:sz="6" w:space="1" w:color="E6E8F2"/>
        </w:pBdr>
      </w:pPr>
    </w:p>
    <w:p>
      <w:pPr>
        <w:spacing w:before="320" w:after="120"/>
      </w:pPr>
      <w:r>
        <w:rPr>
          <w:rFonts w:ascii="Fraunces" w:hAnsi="Fraunces" w:cs="Fraunces"/>
          <w:b/>
          <w:i w:val="0"/>
          <w:color w:val="22307C"/>
          <w:sz w:val="32"/>
        </w:rPr>
        <w:t>3. State of the art</w:t>
      </w:r>
    </w:p>
    <w:p>
      <w:pPr>
        <w:spacing w:before="240" w:after="120"/>
      </w:pPr>
      <w:r>
        <w:rPr>
          <w:rFonts w:ascii="Inter" w:hAnsi="Inter" w:cs="Inter"/>
          <w:b/>
          <w:i w:val="0"/>
          <w:color w:val="1C1E2E"/>
          <w:sz w:val="26"/>
        </w:rPr>
        <w:t>3.1 The CEFR as a measurement specification, not a label</w:t>
      </w:r>
    </w:p>
    <w:p>
      <w:r>
        <w:rPr>
          <w:rFonts w:ascii="Inter" w:hAnsi="Inter" w:cs="Inter"/>
          <w:b w:val="0"/>
          <w:i w:val="0"/>
          <w:color w:val="1C1E2E"/>
          <w:sz w:val="22"/>
        </w:rPr>
        <w:t xml:space="preserve">The </w:t>
      </w:r>
      <w:r>
        <w:rPr>
          <w:rFonts w:ascii="Inter" w:hAnsi="Inter" w:cs="Inter"/>
          <w:b w:val="0"/>
          <w:i/>
          <w:color w:val="1C1E2E"/>
          <w:sz w:val="22"/>
        </w:rPr>
        <w:t>Companion Volume</w:t>
      </w:r>
      <w:r>
        <w:rPr>
          <w:rFonts w:ascii="Inter" w:hAnsi="Inter" w:cs="Inter"/>
          <w:b w:val="0"/>
          <w:i w:val="0"/>
          <w:color w:val="1C1E2E"/>
          <w:sz w:val="22"/>
        </w:rPr>
        <w:t xml:space="preserve"> (Council of Europe, 2020) organises competence into </w:t>
      </w:r>
      <w:r>
        <w:rPr>
          <w:rFonts w:ascii="Inter" w:hAnsi="Inter" w:cs="Inter"/>
          <w:b/>
          <w:i w:val="0"/>
          <w:color w:val="1C1E2E"/>
          <w:sz w:val="22"/>
        </w:rPr>
        <w:t>modes of communication</w:t>
      </w:r>
      <w:r>
        <w:rPr>
          <w:rFonts w:ascii="Inter" w:hAnsi="Inter" w:cs="Inter"/>
          <w:b w:val="0"/>
          <w:i w:val="0"/>
          <w:color w:val="1C1E2E"/>
          <w:sz w:val="22"/>
        </w:rPr>
        <w:t xml:space="preserve"> — reception, production, interaction and </w:t>
      </w:r>
      <w:r>
        <w:rPr>
          <w:rFonts w:ascii="Inter" w:hAnsi="Inter" w:cs="Inter"/>
          <w:b/>
          <w:i w:val="0"/>
          <w:color w:val="1C1E2E"/>
          <w:sz w:val="22"/>
        </w:rPr>
        <w:t>mediation</w:t>
      </w:r>
      <w:r>
        <w:rPr>
          <w:rFonts w:ascii="Inter" w:hAnsi="Inter" w:cs="Inter"/>
          <w:b w:val="0"/>
          <w:i w:val="0"/>
          <w:color w:val="1C1E2E"/>
          <w:sz w:val="22"/>
        </w:rPr>
        <w:t xml:space="preserve"> — with can-do descriptors per scale and level. In industry practice, however, the CEFR is used as a </w:t>
      </w:r>
      <w:r>
        <w:rPr>
          <w:rFonts w:ascii="Inter" w:hAnsi="Inter" w:cs="Inter"/>
          <w:b/>
          <w:i w:val="0"/>
          <w:color w:val="1C1E2E"/>
          <w:sz w:val="22"/>
        </w:rPr>
        <w:t>commercial label</w:t>
      </w:r>
      <w:r>
        <w:rPr>
          <w:rFonts w:ascii="Inter" w:hAnsi="Inter" w:cs="Inter"/>
          <w:b w:val="0"/>
          <w:i w:val="0"/>
          <w:color w:val="1C1E2E"/>
          <w:sz w:val="22"/>
        </w:rPr>
        <w:t xml:space="preserve"> ("B1 level") and rarely as a </w:t>
      </w:r>
      <w:r>
        <w:rPr>
          <w:rFonts w:ascii="Inter" w:hAnsi="Inter" w:cs="Inter"/>
          <w:b/>
          <w:i w:val="0"/>
          <w:color w:val="1C1E2E"/>
          <w:sz w:val="22"/>
        </w:rPr>
        <w:t>measurement specification</w:t>
      </w:r>
      <w:r>
        <w:rPr>
          <w:rFonts w:ascii="Inter" w:hAnsi="Inter" w:cs="Inter"/>
          <w:b w:val="0"/>
          <w:i w:val="0"/>
          <w:color w:val="1C1E2E"/>
          <w:sz w:val="22"/>
        </w:rPr>
        <w:t xml:space="preserve">: almost no product declares, per metric, which named scale it measures against. MLLDE imposes the opposite rule: </w:t>
      </w:r>
      <w:r>
        <w:rPr>
          <w:rFonts w:ascii="Inter" w:hAnsi="Inter" w:cs="Inter"/>
          <w:b/>
          <w:i w:val="0"/>
          <w:color w:val="1C1E2E"/>
          <w:sz w:val="22"/>
        </w:rPr>
        <w:t>no metric without a descriptor</w:t>
      </w:r>
      <w:r>
        <w:rPr>
          <w:rFonts w:ascii="Inter" w:hAnsi="Inter" w:cs="Inter"/>
          <w:b w:val="0"/>
          <w:i w:val="0"/>
          <w:color w:val="1C1E2E"/>
          <w:sz w:val="22"/>
        </w:rPr>
        <w:t>, each citing its scale and identifier (IRI) in a single registry.</w:t>
      </w:r>
    </w:p>
    <w:p>
      <w:pPr>
        <w:spacing w:before="240" w:after="120"/>
      </w:pPr>
      <w:r>
        <w:rPr>
          <w:rFonts w:ascii="Inter" w:hAnsi="Inter" w:cs="Inter"/>
          <w:b/>
          <w:i w:val="0"/>
          <w:color w:val="1C1E2E"/>
          <w:sz w:val="26"/>
        </w:rPr>
        <w:t>3.2 Automated speech assessment</w:t>
      </w:r>
    </w:p>
    <w:p>
      <w:r>
        <w:rPr>
          <w:rFonts w:ascii="Inter" w:hAnsi="Inter" w:cs="Inter"/>
          <w:b w:val="0"/>
          <w:i w:val="0"/>
          <w:color w:val="1C1E2E"/>
          <w:sz w:val="22"/>
        </w:rPr>
        <w:t xml:space="preserve">Machine-assisted assessment of spoken production has two traditions that rarely meet. On one side, </w:t>
      </w:r>
      <w:r>
        <w:rPr>
          <w:rFonts w:ascii="Inter" w:hAnsi="Inter" w:cs="Inter"/>
          <w:b/>
          <w:i w:val="0"/>
          <w:color w:val="1C1E2E"/>
          <w:sz w:val="22"/>
        </w:rPr>
        <w:t>acoustic pronunciation scoring</w:t>
      </w:r>
      <w:r>
        <w:rPr>
          <w:rFonts w:ascii="Inter" w:hAnsi="Inter" w:cs="Inter"/>
          <w:b w:val="0"/>
          <w:i w:val="0"/>
          <w:color w:val="1C1E2E"/>
          <w:sz w:val="22"/>
        </w:rPr>
        <w:t xml:space="preserve">, whose reference point remains </w:t>
      </w:r>
      <w:r>
        <w:rPr>
          <w:rFonts w:ascii="Inter" w:hAnsi="Inter" w:cs="Inter"/>
          <w:b w:val="0"/>
          <w:i/>
          <w:color w:val="1C1E2E"/>
          <w:sz w:val="22"/>
        </w:rPr>
        <w:t>Goodness of Pronunciation</w:t>
      </w:r>
      <w:r>
        <w:rPr>
          <w:rFonts w:ascii="Inter" w:hAnsi="Inter" w:cs="Inter"/>
          <w:b w:val="0"/>
          <w:i w:val="0"/>
          <w:color w:val="1C1E2E"/>
          <w:sz w:val="22"/>
        </w:rPr>
        <w:t xml:space="preserve"> (Witt &amp; Young, 2000) and its commercial descendants. On the other, </w:t>
      </w:r>
      <w:r>
        <w:rPr>
          <w:rFonts w:ascii="Inter" w:hAnsi="Inter" w:cs="Inter"/>
          <w:b/>
          <w:i w:val="0"/>
          <w:color w:val="1C1E2E"/>
          <w:sz w:val="22"/>
        </w:rPr>
        <w:t>holistic rubric rating</w:t>
      </w:r>
      <w:r>
        <w:rPr>
          <w:rFonts w:ascii="Inter" w:hAnsi="Inter" w:cs="Inter"/>
          <w:b w:val="0"/>
          <w:i w:val="0"/>
          <w:color w:val="1C1E2E"/>
          <w:sz w:val="22"/>
        </w:rPr>
        <w:t xml:space="preserve">, now within reach of an LLM working over a transcript. The first is precise and narrow; the second is broad and unverifiable. </w:t>
      </w:r>
      <w:r>
        <w:rPr>
          <w:rFonts w:ascii="Inter" w:hAnsi="Inter" w:cs="Inter"/>
          <w:b/>
          <w:i w:val="0"/>
          <w:color w:val="1C1E2E"/>
          <w:sz w:val="22"/>
        </w:rPr>
        <w:t>Neither alone sustains an auditable CEFR-level claim.</w:t>
      </w:r>
      <w:r>
        <w:rPr>
          <w:rFonts w:ascii="Inter" w:hAnsi="Inter" w:cs="Inter"/>
          <w:b w:val="0"/>
          <w:i w:val="0"/>
          <w:color w:val="1C1E2E"/>
          <w:sz w:val="22"/>
        </w:rPr>
        <w:t xml:space="preserve"> This thesis's contribution is to articulate them along an explicit maturity scale — the three tiers — rather than picking one and hiding its limits.</w:t>
      </w:r>
    </w:p>
    <w:p>
      <w:pPr>
        <w:spacing w:before="240" w:after="120"/>
      </w:pPr>
      <w:r>
        <w:rPr>
          <w:rFonts w:ascii="Inter" w:hAnsi="Inter" w:cs="Inter"/>
          <w:b/>
          <w:i w:val="0"/>
          <w:color w:val="1C1E2E"/>
          <w:sz w:val="26"/>
        </w:rPr>
        <w:t>3.3 Feedback, noticing and i+1</w:t>
      </w:r>
    </w:p>
    <w:p>
      <w:r>
        <w:rPr>
          <w:rFonts w:ascii="Inter" w:hAnsi="Inter" w:cs="Inter"/>
          <w:b w:val="0"/>
          <w:i w:val="0"/>
          <w:color w:val="1C1E2E"/>
          <w:sz w:val="22"/>
        </w:rPr>
        <w:t xml:space="preserve">The input hypothesis (Krashen, 1985) and the noticing hypothesis (Schmidt, 1990) ground the case for feedback that is </w:t>
      </w:r>
      <w:r>
        <w:rPr>
          <w:rFonts w:ascii="Inter" w:hAnsi="Inter" w:cs="Inter"/>
          <w:b/>
          <w:i w:val="0"/>
          <w:color w:val="1C1E2E"/>
          <w:sz w:val="22"/>
        </w:rPr>
        <w:t>dosed by level</w:t>
      </w:r>
      <w:r>
        <w:rPr>
          <w:rFonts w:ascii="Inter" w:hAnsi="Inter" w:cs="Inter"/>
          <w:b w:val="0"/>
          <w:i w:val="0"/>
          <w:color w:val="1C1E2E"/>
          <w:sz w:val="22"/>
        </w:rPr>
        <w:t xml:space="preserve"> rather than uniform. MLLDE operationalises this as a </w:t>
      </w:r>
      <w:r>
        <w:rPr>
          <w:rFonts w:ascii="Inter" w:hAnsi="Inter" w:cs="Inter"/>
          <w:b/>
          <w:i w:val="0"/>
          <w:color w:val="1C1E2E"/>
          <w:sz w:val="22"/>
        </w:rPr>
        <w:t>noticing scale (0–4)</w:t>
      </w:r>
      <w:r>
        <w:rPr>
          <w:rFonts w:ascii="Inter" w:hAnsi="Inter" w:cs="Inter"/>
          <w:b w:val="0"/>
          <w:i w:val="0"/>
          <w:color w:val="1C1E2E"/>
          <w:sz w:val="22"/>
        </w:rPr>
        <w:t xml:space="preserve"> graduating salience within the recast: </w:t>
      </w:r>
      <w:r>
        <w:rPr>
          <w:rFonts w:ascii="Inter" w:hAnsi="Inter" w:cs="Inter"/>
          <w:b/>
          <w:i w:val="0"/>
          <w:color w:val="1C1E2E"/>
          <w:sz w:val="22"/>
        </w:rPr>
        <w:t>model</w:t>
      </w:r>
      <w:r>
        <w:rPr>
          <w:rFonts w:ascii="Inter" w:hAnsi="Inter" w:cs="Inter"/>
          <w:b w:val="0"/>
          <w:i w:val="0"/>
          <w:color w:val="1C1E2E"/>
          <w:sz w:val="22"/>
        </w:rPr>
        <w:t xml:space="preserve"> at A2–B1, </w:t>
      </w:r>
      <w:r>
        <w:rPr>
          <w:rFonts w:ascii="Inter" w:hAnsi="Inter" w:cs="Inter"/>
          <w:b/>
          <w:i w:val="0"/>
          <w:color w:val="1C1E2E"/>
          <w:sz w:val="22"/>
        </w:rPr>
        <w:t>elicit</w:t>
      </w:r>
      <w:r>
        <w:rPr>
          <w:rFonts w:ascii="Inter" w:hAnsi="Inter" w:cs="Inter"/>
          <w:b w:val="0"/>
          <w:i w:val="0"/>
          <w:color w:val="1C1E2E"/>
          <w:sz w:val="22"/>
        </w:rPr>
        <w:t xml:space="preserve"> at B2+. What matters methodologically is who decides what: </w:t>
      </w:r>
      <w:r>
        <w:rPr>
          <w:rFonts w:ascii="Inter" w:hAnsi="Inter" w:cs="Inter"/>
          <w:b/>
          <w:i w:val="0"/>
          <w:color w:val="1C1E2E"/>
          <w:sz w:val="22"/>
        </w:rPr>
        <w:t>code decides the feedback level (0–3); the LLM detects and drafts.</w:t>
      </w:r>
    </w:p>
    <w:p>
      <w:pPr>
        <w:spacing w:before="240" w:after="120"/>
      </w:pPr>
      <w:r>
        <w:rPr>
          <w:rFonts w:ascii="Inter" w:hAnsi="Inter" w:cs="Inter"/>
          <w:b/>
          <w:i w:val="0"/>
          <w:color w:val="1C1E2E"/>
          <w:sz w:val="26"/>
        </w:rPr>
        <w:t>3.4 Intelligibility rather than native accent</w:t>
      </w:r>
    </w:p>
    <w:p>
      <w:r>
        <w:rPr>
          <w:rFonts w:ascii="Inter" w:hAnsi="Inter" w:cs="Inter"/>
          <w:b w:val="0"/>
          <w:i w:val="0"/>
          <w:color w:val="1C1E2E"/>
          <w:sz w:val="22"/>
        </w:rPr>
        <w:t xml:space="preserve">The intelligibility literature and the IPA's own position (1999) hold that the defensible target is </w:t>
      </w:r>
      <w:r>
        <w:rPr>
          <w:rFonts w:ascii="Inter" w:hAnsi="Inter" w:cs="Inter"/>
          <w:b/>
          <w:i w:val="0"/>
          <w:color w:val="1C1E2E"/>
          <w:sz w:val="22"/>
        </w:rPr>
        <w:t>intelligible, appropriate speech</w:t>
      </w:r>
      <w:r>
        <w:rPr>
          <w:rFonts w:ascii="Inter" w:hAnsi="Inter" w:cs="Inter"/>
          <w:b w:val="0"/>
          <w:i w:val="0"/>
          <w:color w:val="1C1E2E"/>
          <w:sz w:val="22"/>
        </w:rPr>
        <w:t xml:space="preserve">, not approximation to a native accent. MLLDE turns this into an engine rule: </w:t>
      </w:r>
      <w:r>
        <w:rPr>
          <w:rFonts w:ascii="Inter" w:hAnsi="Inter" w:cs="Inter"/>
          <w:b/>
          <w:i w:val="0"/>
          <w:color w:val="1C1E2E"/>
          <w:sz w:val="22"/>
        </w:rPr>
        <w:t>accepted variants</w:t>
      </w:r>
      <w:r>
        <w:rPr>
          <w:rFonts w:ascii="Inter" w:hAnsi="Inter" w:cs="Inter"/>
          <w:b w:val="0"/>
          <w:i w:val="0"/>
          <w:color w:val="1C1E2E"/>
          <w:sz w:val="22"/>
        </w:rPr>
        <w:t xml:space="preserve"> (for instance </w:t>
      </w:r>
      <w:r>
        <w:rPr>
          <w:rFonts w:ascii="Inter" w:hAnsi="Inter" w:cs="Inter"/>
          <w:b w:val="0"/>
          <w:i/>
          <w:color w:val="1C1E2E"/>
          <w:sz w:val="22"/>
        </w:rPr>
        <w:t>seseo</w:t>
      </w:r>
      <w:r>
        <w:rPr>
          <w:rFonts w:ascii="Inter" w:hAnsi="Inter" w:cs="Inter"/>
          <w:b w:val="0"/>
          <w:i w:val="0"/>
          <w:color w:val="1C1E2E"/>
          <w:sz w:val="22"/>
        </w:rPr>
        <w:t xml:space="preserve"> / </w:t>
      </w:r>
      <w:r>
        <w:rPr>
          <w:rFonts w:ascii="Inter" w:hAnsi="Inter" w:cs="Inter"/>
          <w:b w:val="0"/>
          <w:i/>
          <w:color w:val="1C1E2E"/>
          <w:sz w:val="22"/>
        </w:rPr>
        <w:t>distinción</w:t>
      </w:r>
      <w:r>
        <w:rPr>
          <w:rFonts w:ascii="Inter" w:hAnsi="Inter" w:cs="Inter"/>
          <w:b w:val="0"/>
          <w:i w:val="0"/>
          <w:color w:val="1C1E2E"/>
          <w:sz w:val="22"/>
        </w:rPr>
        <w:t xml:space="preserve">) </w:t>
      </w:r>
      <w:r>
        <w:rPr>
          <w:rFonts w:ascii="Inter" w:hAnsi="Inter" w:cs="Inter"/>
          <w:b/>
          <w:i w:val="0"/>
          <w:color w:val="1C1E2E"/>
          <w:sz w:val="22"/>
        </w:rPr>
        <w:t>never</w:t>
      </w:r>
      <w:r>
        <w:rPr>
          <w:rFonts w:ascii="Inter" w:hAnsi="Inter" w:cs="Inter"/>
          <w:b w:val="0"/>
          <w:i w:val="0"/>
          <w:color w:val="1C1E2E"/>
          <w:sz w:val="22"/>
        </w:rPr>
        <w:t xml:space="preserve"> lower a score. It is an ethical decision as much as a technical one, with direct consequences for the Tier 3 phonemic inventory.</w:t>
      </w:r>
    </w:p>
    <w:p>
      <w:pPr>
        <w:spacing w:before="240" w:after="120"/>
      </w:pPr>
      <w:r>
        <w:rPr>
          <w:rFonts w:ascii="Inter" w:hAnsi="Inter" w:cs="Inter"/>
          <w:b/>
          <w:i w:val="0"/>
          <w:color w:val="1C1E2E"/>
          <w:sz w:val="26"/>
        </w:rPr>
        <w:t>3.5 Interoperable learning data</w:t>
      </w:r>
    </w:p>
    <w:p>
      <w:r>
        <w:rPr>
          <w:rFonts w:ascii="Inter" w:hAnsi="Inter" w:cs="Inter"/>
          <w:b w:val="0"/>
          <w:i w:val="0"/>
          <w:color w:val="1C1E2E"/>
          <w:sz w:val="22"/>
        </w:rPr>
        <w:t xml:space="preserve">xAPI (IEEE Std 9274.1.1-2023) and Learning Record Stores allow experiences to be recorded outside the LMS. What does not exist is a </w:t>
      </w:r>
      <w:r>
        <w:rPr>
          <w:rFonts w:ascii="Inter" w:hAnsi="Inter" w:cs="Inter"/>
          <w:b/>
          <w:i w:val="0"/>
          <w:color w:val="1C1E2E"/>
          <w:sz w:val="22"/>
        </w:rPr>
        <w:t>consolidated, open profile for language-competence evidence anchored to CEFR descriptors</w:t>
      </w:r>
      <w:r>
        <w:rPr>
          <w:rFonts w:ascii="Inter" w:hAnsi="Inter" w:cs="Inter"/>
          <w:b w:val="0"/>
          <w:i w:val="0"/>
          <w:color w:val="1C1E2E"/>
          <w:sz w:val="22"/>
        </w:rPr>
        <w:t>, with explicit declaration of the measurement model and the tier of every claim. Without that, two platforms are not comparable even when both say "B1".</w:t>
      </w:r>
    </w:p>
    <w:p>
      <w:pPr>
        <w:spacing w:before="240" w:after="120"/>
      </w:pPr>
      <w:r>
        <w:rPr>
          <w:rFonts w:ascii="Inter" w:hAnsi="Inter" w:cs="Inter"/>
          <w:b/>
          <w:i w:val="0"/>
          <w:color w:val="1C1E2E"/>
          <w:sz w:val="26"/>
        </w:rPr>
        <w:t>3.6 The gap</w:t>
      </w:r>
    </w:p>
    <w:p>
      <w:pPr>
        <w:pBdr>
          <w:left w:val="single" w:sz="18" w:space="8" w:color="9A5B00"/>
        </w:pBdr>
        <w:spacing w:before="120" w:after="200"/>
        <w:ind w:left="317"/>
      </w:pPr>
      <w:r>
        <w:rPr>
          <w:rFonts w:ascii="Inter" w:hAnsi="Inter" w:cs="Inter"/>
          <w:b w:val="0"/>
          <w:i w:val="0"/>
          <w:color w:val="5B5F77"/>
          <w:sz w:val="21"/>
        </w:rPr>
        <w:t xml:space="preserve">No </w:t>
      </w:r>
      <w:r>
        <w:rPr>
          <w:rFonts w:ascii="Inter" w:hAnsi="Inter" w:cs="Inter"/>
          <w:b/>
          <w:i w:val="0"/>
          <w:color w:val="5B5F77"/>
          <w:sz w:val="21"/>
        </w:rPr>
        <w:t>replicable, auditable method</w:t>
      </w:r>
      <w:r>
        <w:rPr>
          <w:rFonts w:ascii="Inter" w:hAnsi="Inter" w:cs="Inter"/>
          <w:b w:val="0"/>
          <w:i w:val="0"/>
          <w:color w:val="5B5F77"/>
          <w:sz w:val="21"/>
        </w:rPr>
        <w:t xml:space="preserve"> exists that (a) explicitly separates </w:t>
      </w:r>
      <w:r>
        <w:rPr>
          <w:rFonts w:ascii="Inter" w:hAnsi="Inter" w:cs="Inter"/>
          <w:b/>
          <w:i w:val="0"/>
          <w:color w:val="5B5F77"/>
          <w:sz w:val="21"/>
        </w:rPr>
        <w:t>observation from decision</w:t>
      </w:r>
      <w:r>
        <w:rPr>
          <w:rFonts w:ascii="Inter" w:hAnsi="Inter" w:cs="Inter"/>
          <w:b w:val="0"/>
          <w:i w:val="0"/>
          <w:color w:val="5B5F77"/>
          <w:sz w:val="21"/>
        </w:rPr>
        <w:t xml:space="preserve"> in AI-assisted assessment of spoken production, (b) anchors every metric to a named CEFR scale, (c) </w:t>
      </w:r>
      <w:r>
        <w:rPr>
          <w:rFonts w:ascii="Inter" w:hAnsi="Inter" w:cs="Inter"/>
          <w:b/>
          <w:i w:val="0"/>
          <w:color w:val="5B5F77"/>
          <w:sz w:val="21"/>
        </w:rPr>
        <w:t>declares the precision</w:t>
      </w:r>
      <w:r>
        <w:rPr>
          <w:rFonts w:ascii="Inter" w:hAnsi="Inter" w:cs="Inter"/>
          <w:b w:val="0"/>
          <w:i w:val="0"/>
          <w:color w:val="5B5F77"/>
          <w:sz w:val="21"/>
        </w:rPr>
        <w:t xml:space="preserve"> of each claim through a tier model, and (d) emits that evidence in an interoperable format allowing sessions, models and products to be compared. This thesis builds it and tests it on a system already in production.</w:t>
      </w:r>
    </w:p>
    <w:p>
      <w:pPr>
        <w:pBdr>
          <w:bottom w:val="single" w:sz="6" w:space="1" w:color="E6E8F2"/>
        </w:pBdr>
      </w:pPr>
    </w:p>
    <w:p>
      <w:pPr>
        <w:spacing w:before="320" w:after="120"/>
      </w:pPr>
      <w:r>
        <w:rPr>
          <w:rFonts w:ascii="Fraunces" w:hAnsi="Fraunces" w:cs="Fraunces"/>
          <w:b/>
          <w:i w:val="0"/>
          <w:color w:val="22307C"/>
          <w:sz w:val="32"/>
        </w:rPr>
        <w:t>4. The method: MLLDE and its Measurement Module</w:t>
      </w:r>
    </w:p>
    <w:p>
      <w:pPr>
        <w:spacing w:before="240" w:after="120"/>
      </w:pPr>
      <w:r>
        <w:rPr>
          <w:rFonts w:ascii="Inter" w:hAnsi="Inter" w:cs="Inter"/>
          <w:b/>
          <w:i w:val="0"/>
          <w:color w:val="1C1E2E"/>
          <w:sz w:val="26"/>
        </w:rPr>
        <w:t>4.1 Principles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4824"/>
        <w:gridCol w:w="4824"/>
      </w:tblGrid>
      <w:tr>
        <w:tc>
          <w:tcPr>
            <w:tcW w:type="dxa" w:w="4824"/>
            <w:shd w:val="clear" w:color="auto" w:fill="EEF2FD"/>
          </w:tcPr>
          <w:p>
            <w:pPr>
              <w:spacing w:after="40"/>
            </w:pPr>
            <w:r/>
            <w:r>
              <w:rPr>
                <w:rFonts w:ascii="Inter" w:hAnsi="Inter" w:cs="Inter"/>
                <w:b/>
                <w:i w:val="0"/>
                <w:color w:val="22307C"/>
                <w:sz w:val="19"/>
              </w:rPr>
              <w:t>Principle</w:t>
            </w:r>
          </w:p>
        </w:tc>
        <w:tc>
          <w:tcPr>
            <w:tcW w:type="dxa" w:w="4824"/>
            <w:shd w:val="clear" w:color="auto" w:fill="EEF2FD"/>
          </w:tcPr>
          <w:p>
            <w:pPr>
              <w:spacing w:after="40"/>
            </w:pPr>
            <w:r/>
            <w:r>
              <w:rPr>
                <w:rFonts w:ascii="Inter" w:hAnsi="Inter" w:cs="Inter"/>
                <w:b/>
                <w:i w:val="0"/>
                <w:color w:val="22307C"/>
                <w:sz w:val="19"/>
              </w:rPr>
              <w:t>What it means operationally</w:t>
            </w:r>
          </w:p>
        </w:tc>
      </w:tr>
      <w:tr>
        <w:tc>
          <w:tcPr>
            <w:tcW w:type="dxa" w:w="4824"/>
          </w:tcPr>
          <w:p>
            <w:pPr>
              <w:spacing w:after="40"/>
            </w:pPr>
            <w:r/>
            <w:r>
              <w:rPr>
                <w:rFonts w:ascii="Inter" w:hAnsi="Inter" w:cs="Inter"/>
                <w:b/>
                <w:i w:val="0"/>
                <w:color w:val="1C1E2E"/>
                <w:sz w:val="19"/>
              </w:rPr>
              <w:t>Measure ≠ Decide</w:t>
            </w:r>
          </w:p>
        </w:tc>
        <w:tc>
          <w:tcPr>
            <w:tcW w:type="dxa" w:w="4824"/>
          </w:tcPr>
          <w:p>
            <w:pPr>
              <w:spacing w:after="40"/>
            </w:pPr>
            <w:r/>
            <w:r>
              <w:rPr>
                <w:rFonts w:ascii="Inter" w:hAnsi="Inter" w:cs="Inter"/>
                <w:b w:val="0"/>
                <w:i w:val="0"/>
                <w:color w:val="1C1E2E"/>
                <w:sz w:val="19"/>
              </w:rPr>
              <w:t>The LLM describes; a deterministic engine computes the band. No figure comes from a generation.</w:t>
            </w:r>
          </w:p>
        </w:tc>
      </w:tr>
      <w:tr>
        <w:tc>
          <w:tcPr>
            <w:tcW w:type="dxa" w:w="4824"/>
          </w:tcPr>
          <w:p>
            <w:pPr>
              <w:spacing w:after="40"/>
            </w:pPr>
            <w:r/>
            <w:r>
              <w:rPr>
                <w:rFonts w:ascii="Inter" w:hAnsi="Inter" w:cs="Inter"/>
                <w:b/>
                <w:i w:val="0"/>
                <w:color w:val="1C1E2E"/>
                <w:sz w:val="19"/>
              </w:rPr>
              <w:t>No metric without a descriptor</w:t>
            </w:r>
          </w:p>
        </w:tc>
        <w:tc>
          <w:tcPr>
            <w:tcW w:type="dxa" w:w="4824"/>
          </w:tcPr>
          <w:p>
            <w:pPr>
              <w:spacing w:after="40"/>
            </w:pPr>
            <w:r/>
            <w:r>
              <w:rPr>
                <w:rFonts w:ascii="Inter" w:hAnsi="Inter" w:cs="Inter"/>
                <w:b w:val="0"/>
                <w:i w:val="0"/>
                <w:color w:val="1C1E2E"/>
                <w:sz w:val="19"/>
              </w:rPr>
              <w:t xml:space="preserve">Each metric cites a named </w:t>
            </w:r>
            <w:r>
              <w:rPr>
                <w:rFonts w:ascii="Inter" w:hAnsi="Inter" w:cs="Inter"/>
                <w:b w:val="0"/>
                <w:i/>
                <w:color w:val="1C1E2E"/>
                <w:sz w:val="19"/>
              </w:rPr>
              <w:t>Companion Volume</w:t>
            </w:r>
            <w:r>
              <w:rPr>
                <w:rFonts w:ascii="Inter" w:hAnsi="Inter" w:cs="Inter"/>
                <w:b w:val="0"/>
                <w:i w:val="0"/>
                <w:color w:val="1C1E2E"/>
                <w:sz w:val="19"/>
              </w:rPr>
              <w:t xml:space="preserve"> scale and its IRI in a single registry.</w:t>
            </w:r>
          </w:p>
        </w:tc>
      </w:tr>
      <w:tr>
        <w:tc>
          <w:tcPr>
            <w:tcW w:type="dxa" w:w="4824"/>
          </w:tcPr>
          <w:p>
            <w:pPr>
              <w:spacing w:after="40"/>
            </w:pPr>
            <w:r/>
            <w:r>
              <w:rPr>
                <w:rFonts w:ascii="Inter" w:hAnsi="Inter" w:cs="Inter"/>
                <w:b/>
                <w:i w:val="0"/>
                <w:color w:val="1C1E2E"/>
                <w:sz w:val="19"/>
              </w:rPr>
              <w:t>Engine + pack</w:t>
            </w:r>
          </w:p>
        </w:tc>
        <w:tc>
          <w:tcPr>
            <w:tcW w:type="dxa" w:w="4824"/>
          </w:tcPr>
          <w:p>
            <w:pPr>
              <w:spacing w:after="40"/>
            </w:pPr>
            <w:r/>
            <w:r>
              <w:rPr>
                <w:rFonts w:ascii="Inter" w:hAnsi="Inter" w:cs="Inter"/>
                <w:b w:val="0"/>
                <w:i w:val="0"/>
                <w:color w:val="1C1E2E"/>
                <w:sz w:val="19"/>
              </w:rPr>
              <w:t>Client-agnostic rules; each product supplies its tasks, levels and sound inventory.</w:t>
            </w:r>
          </w:p>
        </w:tc>
      </w:tr>
      <w:tr>
        <w:tc>
          <w:tcPr>
            <w:tcW w:type="dxa" w:w="4824"/>
          </w:tcPr>
          <w:p>
            <w:pPr>
              <w:spacing w:after="40"/>
            </w:pPr>
            <w:r/>
            <w:r>
              <w:rPr>
                <w:rFonts w:ascii="Inter" w:hAnsi="Inter" w:cs="Inter"/>
                <w:b/>
                <w:i w:val="0"/>
                <w:color w:val="1C1E2E"/>
                <w:sz w:val="19"/>
              </w:rPr>
              <w:t>Five skills</w:t>
            </w:r>
          </w:p>
        </w:tc>
        <w:tc>
          <w:tcPr>
            <w:tcW w:type="dxa" w:w="4824"/>
          </w:tcPr>
          <w:p>
            <w:pPr>
              <w:spacing w:after="40"/>
            </w:pPr>
            <w:r/>
            <w:r>
              <w:rPr>
                <w:rFonts w:ascii="Inter" w:hAnsi="Inter" w:cs="Inter"/>
                <w:b w:val="0"/>
                <w:i w:val="0"/>
                <w:color w:val="1C1E2E"/>
                <w:sz w:val="19"/>
              </w:rPr>
              <w:t xml:space="preserve">Reception, production, interaction and </w:t>
            </w:r>
            <w:r>
              <w:rPr>
                <w:rFonts w:ascii="Inter" w:hAnsi="Inter" w:cs="Inter"/>
                <w:b/>
                <w:i w:val="0"/>
                <w:color w:val="1C1E2E"/>
                <w:sz w:val="19"/>
              </w:rPr>
              <w:t>mediation</w:t>
            </w:r>
            <w:r>
              <w:rPr>
                <w:rFonts w:ascii="Inter" w:hAnsi="Inter" w:cs="Inter"/>
                <w:b w:val="0"/>
                <w:i w:val="0"/>
                <w:color w:val="1C1E2E"/>
                <w:sz w:val="19"/>
              </w:rPr>
              <w:t xml:space="preserve">, all anchored to the </w:t>
            </w:r>
            <w:r>
              <w:rPr>
                <w:rFonts w:ascii="Inter" w:hAnsi="Inter" w:cs="Inter"/>
                <w:b w:val="0"/>
                <w:i/>
                <w:color w:val="1C1E2E"/>
                <w:sz w:val="19"/>
              </w:rPr>
              <w:t>Companion Volume</w:t>
            </w:r>
            <w:r>
              <w:rPr>
                <w:rFonts w:ascii="Inter" w:hAnsi="Inter" w:cs="Inter"/>
                <w:b w:val="0"/>
                <w:i w:val="0"/>
                <w:color w:val="1C1E2E"/>
                <w:sz w:val="19"/>
              </w:rPr>
              <w:t>.</w:t>
            </w:r>
          </w:p>
        </w:tc>
      </w:tr>
      <w:tr>
        <w:tc>
          <w:tcPr>
            <w:tcW w:type="dxa" w:w="4824"/>
          </w:tcPr>
          <w:p>
            <w:pPr>
              <w:spacing w:after="40"/>
            </w:pPr>
            <w:r/>
            <w:r>
              <w:rPr>
                <w:rFonts w:ascii="Inter" w:hAnsi="Inter" w:cs="Inter"/>
                <w:b/>
                <w:i w:val="0"/>
                <w:color w:val="1C1E2E"/>
                <w:sz w:val="19"/>
              </w:rPr>
              <w:t>Traceability</w:t>
            </w:r>
          </w:p>
        </w:tc>
        <w:tc>
          <w:tcPr>
            <w:tcW w:type="dxa" w:w="4824"/>
          </w:tcPr>
          <w:p>
            <w:pPr>
              <w:spacing w:after="40"/>
            </w:pPr>
            <w:r/>
            <w:r>
              <w:rPr>
                <w:rFonts w:ascii="Inter" w:hAnsi="Inter" w:cs="Inter"/>
                <w:b w:val="0"/>
                <w:i w:val="0"/>
                <w:color w:val="1C1E2E"/>
                <w:sz w:val="19"/>
              </w:rPr>
              <w:t xml:space="preserve">All evidence is recorded as </w:t>
            </w:r>
            <w:r>
              <w:rPr>
                <w:rFonts w:ascii="Inter" w:hAnsi="Inter" w:cs="Inter"/>
                <w:b/>
                <w:i w:val="0"/>
                <w:color w:val="1C1E2E"/>
                <w:sz w:val="19"/>
              </w:rPr>
              <w:t>xAPI</w:t>
            </w:r>
            <w:r>
              <w:rPr>
                <w:rFonts w:ascii="Inter" w:hAnsi="Inter" w:cs="Inter"/>
                <w:b w:val="0"/>
                <w:i w:val="0"/>
                <w:color w:val="1C1E2E"/>
                <w:sz w:val="19"/>
              </w:rPr>
              <w:t xml:space="preserve"> in an LRS, with a pseudonymous actor.</w:t>
            </w:r>
          </w:p>
        </w:tc>
      </w:tr>
      <w:tr>
        <w:tc>
          <w:tcPr>
            <w:tcW w:type="dxa" w:w="4824"/>
          </w:tcPr>
          <w:p>
            <w:pPr>
              <w:spacing w:after="40"/>
            </w:pPr>
            <w:r/>
            <w:r>
              <w:rPr>
                <w:rFonts w:ascii="Inter" w:hAnsi="Inter" w:cs="Inter"/>
                <w:b/>
                <w:i w:val="0"/>
                <w:color w:val="1C1E2E"/>
                <w:sz w:val="19"/>
              </w:rPr>
              <w:t>Evidence honesty</w:t>
            </w:r>
          </w:p>
        </w:tc>
        <w:tc>
          <w:tcPr>
            <w:tcW w:type="dxa" w:w="4824"/>
          </w:tcPr>
          <w:p>
            <w:pPr>
              <w:spacing w:after="40"/>
            </w:pPr>
            <w:r/>
            <w:r>
              <w:rPr>
                <w:rFonts w:ascii="Inter" w:hAnsi="Inter" w:cs="Inter"/>
                <w:b w:val="0"/>
                <w:i w:val="0"/>
                <w:color w:val="1C1E2E"/>
                <w:sz w:val="19"/>
              </w:rPr>
              <w:t xml:space="preserve">Every claim declares its </w:t>
            </w:r>
            <w:r>
              <w:rPr>
                <w:rFonts w:ascii="Inter" w:hAnsi="Inter" w:cs="Inter"/>
                <w:b/>
                <w:i w:val="0"/>
                <w:color w:val="1C1E2E"/>
                <w:sz w:val="19"/>
              </w:rPr>
              <w:t>tier</w:t>
            </w:r>
            <w:r>
              <w:rPr>
                <w:rFonts w:ascii="Inter" w:hAnsi="Inter" w:cs="Inter"/>
                <w:b w:val="0"/>
                <w:i w:val="0"/>
                <w:color w:val="1C1E2E"/>
                <w:sz w:val="19"/>
              </w:rPr>
              <w:t xml:space="preserve"> and its per-session </w:t>
            </w:r>
            <w:r>
              <w:rPr>
                <w:rFonts w:ascii="Inter" w:hAnsi="Inter" w:cs="Inter"/>
                <w:b/>
                <w:i w:val="0"/>
                <w:color w:val="1C1E2E"/>
                <w:sz w:val="19"/>
              </w:rPr>
              <w:t>measurement model</w:t>
            </w:r>
            <w:r>
              <w:rPr>
                <w:rFonts w:ascii="Inter" w:hAnsi="Inter" w:cs="Inter"/>
                <w:b w:val="0"/>
                <w:i w:val="0"/>
                <w:color w:val="1C1E2E"/>
                <w:sz w:val="19"/>
              </w:rPr>
              <w:t>.</w:t>
            </w:r>
          </w:p>
        </w:tc>
      </w:tr>
    </w:tbl>
    <w:p/>
    <w:p>
      <w:r>
        <w:rPr>
          <w:rFonts w:ascii="Inter" w:hAnsi="Inter" w:cs="Inter"/>
          <w:b/>
          <w:i w:val="0"/>
          <w:color w:val="1C1E2E"/>
          <w:sz w:val="22"/>
        </w:rPr>
        <w:t>Scale.</w:t>
      </w:r>
      <w:r>
        <w:rPr>
          <w:rFonts w:ascii="Inter" w:hAnsi="Inter" w:cs="Inter"/>
          <w:b w:val="0"/>
          <w:i w:val="0"/>
          <w:color w:val="1C1E2E"/>
          <w:sz w:val="22"/>
        </w:rPr>
        <w:t xml:space="preserve"> 0–10 (pass ≥ 6, floors ≥ 4), with a Cambridge 0–5 view by rounding and halving.</w:t>
      </w:r>
    </w:p>
    <w:p>
      <w:pPr>
        <w:spacing w:before="240" w:after="120"/>
      </w:pPr>
      <w:r>
        <w:rPr>
          <w:rFonts w:ascii="Inter" w:hAnsi="Inter" w:cs="Inter"/>
          <w:b/>
          <w:i w:val="0"/>
          <w:color w:val="1C1E2E"/>
          <w:sz w:val="26"/>
        </w:rPr>
        <w:t>4.2 The Design pillar: modality as a declared variable</w:t>
      </w:r>
    </w:p>
    <w:p>
      <w:r>
        <w:rPr>
          <w:rFonts w:ascii="Inter" w:hAnsi="Inter" w:cs="Inter"/>
          <w:b w:val="0"/>
          <w:i w:val="0"/>
          <w:color w:val="1C1E2E"/>
          <w:sz w:val="22"/>
        </w:rPr>
        <w:t xml:space="preserve">The principle governing measurement governs design too: </w:t>
      </w:r>
      <w:r>
        <w:rPr>
          <w:rFonts w:ascii="Inter" w:hAnsi="Inter" w:cs="Inter"/>
          <w:b/>
          <w:i w:val="0"/>
          <w:color w:val="1C1E2E"/>
          <w:sz w:val="22"/>
        </w:rPr>
        <w:t>nothing implicit</w:t>
      </w:r>
      <w:r>
        <w:rPr>
          <w:rFonts w:ascii="Inter" w:hAnsi="Inter" w:cs="Inter"/>
          <w:b w:val="0"/>
          <w:i w:val="0"/>
          <w:color w:val="1C1E2E"/>
          <w:sz w:val="22"/>
        </w:rPr>
        <w:t xml:space="preserve">. If measurement requires every metric to cite its descriptor, design requires </w:t>
      </w:r>
      <w:r>
        <w:rPr>
          <w:rFonts w:ascii="Inter" w:hAnsi="Inter" w:cs="Inter"/>
          <w:b/>
          <w:i w:val="0"/>
          <w:color w:val="1C1E2E"/>
          <w:sz w:val="22"/>
        </w:rPr>
        <w:t>every lesson step to declare its modality and its CEFR mode</w:t>
      </w:r>
      <w:r>
        <w:rPr>
          <w:rFonts w:ascii="Inter" w:hAnsi="Inter" w:cs="Inter"/>
          <w:b w:val="0"/>
          <w:i w:val="0"/>
          <w:color w:val="1C1E2E"/>
          <w:sz w:val="22"/>
        </w:rPr>
        <w:t>.</w:t>
      </w:r>
    </w:p>
    <w:p>
      <w:r>
        <w:rPr>
          <w:rFonts w:ascii="Inter" w:hAnsi="Inter" w:cs="Inter"/>
          <w:b/>
          <w:i w:val="0"/>
          <w:color w:val="1C1E2E"/>
          <w:sz w:val="22"/>
        </w:rPr>
        <w:t>A lesson's input contract.</w:t>
      </w:r>
      <w:r>
        <w:rPr>
          <w:rFonts w:ascii="Inter" w:hAnsi="Inter" w:cs="Inter"/>
          <w:b w:val="0"/>
          <w:i w:val="0"/>
          <w:color w:val="1C1E2E"/>
          <w:sz w:val="22"/>
        </w:rPr>
        <w:t xml:space="preserve"> CEFR level + can-do descriptor + real-world scenario + </w:t>
      </w:r>
      <w:r>
        <w:rPr>
          <w:rFonts w:ascii="Inter" w:hAnsi="Inter" w:cs="Inter"/>
          <w:b/>
          <w:i w:val="0"/>
          <w:color w:val="1C1E2E"/>
          <w:sz w:val="22"/>
        </w:rPr>
        <w:t>modality profile</w:t>
      </w:r>
      <w:r>
        <w:rPr>
          <w:rFonts w:ascii="Inter" w:hAnsi="Inter" w:cs="Inter"/>
          <w:b w:val="0"/>
          <w:i w:val="0"/>
          <w:color w:val="1C1E2E"/>
          <w:sz w:val="22"/>
        </w:rPr>
        <w:t>. That fourth element is the Design pillar's contribution: the profile states, step by step, which channel carries the input, which supports practice, and in which one production is required.</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Lesson step</w:t>
            </w:r>
          </w:p>
        </w:tc>
        <w:tc>
          <w:tcPr>
            <w:tcW w:type="dxa" w:w="2412"/>
            <w:shd w:val="clear" w:color="auto" w:fill="EEF2FD"/>
          </w:tcPr>
          <w:p>
            <w:pPr>
              <w:spacing w:after="40"/>
            </w:pPr>
            <w:r/>
            <w:r>
              <w:rPr>
                <w:rFonts w:ascii="Inter" w:hAnsi="Inter" w:cs="Inter"/>
                <w:b/>
                <w:i w:val="0"/>
                <w:color w:val="22307C"/>
                <w:sz w:val="19"/>
              </w:rPr>
              <w:t>CEFR mode</w:t>
            </w:r>
          </w:p>
        </w:tc>
        <w:tc>
          <w:tcPr>
            <w:tcW w:type="dxa" w:w="2412"/>
            <w:shd w:val="clear" w:color="auto" w:fill="EEF2FD"/>
          </w:tcPr>
          <w:p>
            <w:pPr>
              <w:spacing w:after="40"/>
            </w:pPr>
            <w:r/>
            <w:r>
              <w:rPr>
                <w:rFonts w:ascii="Inter" w:hAnsi="Inter" w:cs="Inter"/>
                <w:b/>
                <w:i w:val="0"/>
                <w:color w:val="22307C"/>
                <w:sz w:val="19"/>
              </w:rPr>
              <w:t>Input modality</w:t>
            </w:r>
          </w:p>
        </w:tc>
        <w:tc>
          <w:tcPr>
            <w:tcW w:type="dxa" w:w="2412"/>
            <w:shd w:val="clear" w:color="auto" w:fill="EEF2FD"/>
          </w:tcPr>
          <w:p>
            <w:pPr>
              <w:spacing w:after="40"/>
            </w:pPr>
            <w:r/>
            <w:r>
              <w:rPr>
                <w:rFonts w:ascii="Inter" w:hAnsi="Inter" w:cs="Inter"/>
                <w:b/>
                <w:i w:val="0"/>
                <w:color w:val="22307C"/>
                <w:sz w:val="19"/>
              </w:rPr>
              <w:t>Production modality</w:t>
            </w:r>
          </w:p>
        </w:tc>
      </w:tr>
      <w:tr>
        <w:tc>
          <w:tcPr>
            <w:tcW w:type="dxa" w:w="2412"/>
          </w:tcPr>
          <w:p>
            <w:pPr>
              <w:spacing w:after="40"/>
            </w:pPr>
            <w:r/>
            <w:r>
              <w:rPr>
                <w:rFonts w:ascii="Inter" w:hAnsi="Inter" w:cs="Inter"/>
                <w:b w:val="0"/>
                <w:i w:val="0"/>
                <w:color w:val="1C1E2E"/>
                <w:sz w:val="19"/>
              </w:rPr>
              <w:t>Arrival — hook and objective</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text + image</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Vocabulary and chunks</w:t>
            </w:r>
          </w:p>
        </w:tc>
        <w:tc>
          <w:tcPr>
            <w:tcW w:type="dxa" w:w="2412"/>
          </w:tcPr>
          <w:p>
            <w:pPr>
              <w:spacing w:after="40"/>
            </w:pPr>
            <w:r/>
            <w:r>
              <w:rPr>
                <w:rFonts w:ascii="Inter" w:hAnsi="Inter" w:cs="Inter"/>
                <w:b w:val="0"/>
                <w:i w:val="0"/>
                <w:color w:val="1C1E2E"/>
                <w:sz w:val="19"/>
              </w:rPr>
              <w:t>Reception</w:t>
            </w:r>
          </w:p>
        </w:tc>
        <w:tc>
          <w:tcPr>
            <w:tcW w:type="dxa" w:w="2412"/>
          </w:tcPr>
          <w:p>
            <w:pPr>
              <w:spacing w:after="40"/>
            </w:pPr>
            <w:r/>
            <w:r>
              <w:rPr>
                <w:rFonts w:ascii="Inter" w:hAnsi="Inter" w:cs="Inter"/>
                <w:b w:val="0"/>
                <w:i w:val="0"/>
                <w:color w:val="1C1E2E"/>
                <w:sz w:val="19"/>
              </w:rPr>
              <w:t>audio + image (dual coding)</w:t>
            </w:r>
          </w:p>
        </w:tc>
        <w:tc>
          <w:tcPr>
            <w:tcW w:type="dxa" w:w="2412"/>
          </w:tcPr>
          <w:p>
            <w:pPr>
              <w:spacing w:after="40"/>
            </w:pPr>
            <w:r/>
            <w:r>
              <w:rPr>
                <w:rFonts w:ascii="Inter" w:hAnsi="Inter" w:cs="Inter"/>
                <w:b w:val="0"/>
                <w:i w:val="0"/>
                <w:color w:val="1C1E2E"/>
                <w:sz w:val="19"/>
              </w:rPr>
              <w:t>recognition</w:t>
            </w:r>
          </w:p>
        </w:tc>
      </w:tr>
      <w:tr>
        <w:tc>
          <w:tcPr>
            <w:tcW w:type="dxa" w:w="2412"/>
          </w:tcPr>
          <w:p>
            <w:pPr>
              <w:spacing w:after="40"/>
            </w:pPr>
            <w:r/>
            <w:r>
              <w:rPr>
                <w:rFonts w:ascii="Inter" w:hAnsi="Inter" w:cs="Inter"/>
                <w:b w:val="0"/>
                <w:i w:val="0"/>
                <w:color w:val="1C1E2E"/>
                <w:sz w:val="19"/>
              </w:rPr>
              <w:t>Model dialogue</w:t>
            </w:r>
          </w:p>
        </w:tc>
        <w:tc>
          <w:tcPr>
            <w:tcW w:type="dxa" w:w="2412"/>
          </w:tcPr>
          <w:p>
            <w:pPr>
              <w:spacing w:after="40"/>
            </w:pPr>
            <w:r/>
            <w:r>
              <w:rPr>
                <w:rFonts w:ascii="Inter" w:hAnsi="Inter" w:cs="Inter"/>
                <w:b w:val="0"/>
                <w:i w:val="0"/>
                <w:color w:val="1C1E2E"/>
                <w:sz w:val="19"/>
              </w:rPr>
              <w:t>Reception</w:t>
            </w:r>
          </w:p>
        </w:tc>
        <w:tc>
          <w:tcPr>
            <w:tcW w:type="dxa" w:w="2412"/>
          </w:tcPr>
          <w:p>
            <w:pPr>
              <w:spacing w:after="40"/>
            </w:pPr>
            <w:r/>
            <w:r>
              <w:rPr>
                <w:rFonts w:ascii="Inter" w:hAnsi="Inter" w:cs="Inter"/>
                <w:b/>
                <w:i w:val="0"/>
                <w:color w:val="1C1E2E"/>
                <w:sz w:val="19"/>
              </w:rPr>
              <w:t>voice</w:t>
            </w:r>
          </w:p>
        </w:tc>
        <w:tc>
          <w:tcPr>
            <w:tcW w:type="dxa" w:w="2412"/>
          </w:tcPr>
          <w:p>
            <w:pPr>
              <w:spacing w:after="40"/>
            </w:pPr>
            <w:r/>
            <w:r>
              <w:rPr>
                <w:rFonts w:ascii="Inter" w:hAnsi="Inter" w:cs="Inter"/>
                <w:b w:val="0"/>
                <w:i w:val="0"/>
                <w:color w:val="1C1E2E"/>
                <w:sz w:val="19"/>
              </w:rPr>
              <w:t>—</w:t>
            </w:r>
          </w:p>
        </w:tc>
      </w:tr>
      <w:tr>
        <w:tc>
          <w:tcPr>
            <w:tcW w:type="dxa" w:w="2412"/>
          </w:tcPr>
          <w:p>
            <w:pPr>
              <w:spacing w:after="40"/>
            </w:pPr>
            <w:r/>
            <w:r>
              <w:rPr>
                <w:rFonts w:ascii="Inter" w:hAnsi="Inter" w:cs="Inter"/>
                <w:b w:val="0"/>
                <w:i w:val="0"/>
                <w:color w:val="1C1E2E"/>
                <w:sz w:val="19"/>
              </w:rPr>
              <w:t>Guided practice</w:t>
            </w:r>
          </w:p>
        </w:tc>
        <w:tc>
          <w:tcPr>
            <w:tcW w:type="dxa" w:w="2412"/>
          </w:tcPr>
          <w:p>
            <w:pPr>
              <w:spacing w:after="40"/>
            </w:pPr>
            <w:r/>
            <w:r>
              <w:rPr>
                <w:rFonts w:ascii="Inter" w:hAnsi="Inter" w:cs="Inter"/>
                <w:b w:val="0"/>
                <w:i w:val="0"/>
                <w:color w:val="1C1E2E"/>
                <w:sz w:val="19"/>
              </w:rPr>
              <w:t>Processing</w:t>
            </w:r>
          </w:p>
        </w:tc>
        <w:tc>
          <w:tcPr>
            <w:tcW w:type="dxa" w:w="2412"/>
          </w:tcPr>
          <w:p>
            <w:pPr>
              <w:spacing w:after="40"/>
            </w:pPr>
            <w:r/>
            <w:r>
              <w:rPr>
                <w:rFonts w:ascii="Inter" w:hAnsi="Inter" w:cs="Inter"/>
                <w:b w:val="0"/>
                <w:i w:val="0"/>
                <w:color w:val="1C1E2E"/>
                <w:sz w:val="19"/>
              </w:rPr>
              <w:t>text or audio</w:t>
            </w:r>
          </w:p>
        </w:tc>
        <w:tc>
          <w:tcPr>
            <w:tcW w:type="dxa" w:w="2412"/>
          </w:tcPr>
          <w:p>
            <w:pPr>
              <w:spacing w:after="40"/>
            </w:pPr>
            <w:r/>
            <w:r>
              <w:rPr>
                <w:rFonts w:ascii="Inter" w:hAnsi="Inter" w:cs="Inter"/>
                <w:b w:val="0"/>
                <w:i w:val="0"/>
                <w:color w:val="1C1E2E"/>
                <w:sz w:val="19"/>
              </w:rPr>
              <w:t>text</w:t>
            </w:r>
          </w:p>
        </w:tc>
      </w:tr>
      <w:tr>
        <w:tc>
          <w:tcPr>
            <w:tcW w:type="dxa" w:w="2412"/>
          </w:tcPr>
          <w:p>
            <w:pPr>
              <w:spacing w:after="40"/>
            </w:pPr>
            <w:r/>
            <w:r>
              <w:rPr>
                <w:rFonts w:ascii="Inter" w:hAnsi="Inter" w:cs="Inter"/>
                <w:b w:val="0"/>
                <w:i w:val="0"/>
                <w:color w:val="1C1E2E"/>
                <w:sz w:val="19"/>
              </w:rPr>
              <w:t>Mission — authentic task</w:t>
            </w:r>
          </w:p>
        </w:tc>
        <w:tc>
          <w:tcPr>
            <w:tcW w:type="dxa" w:w="2412"/>
          </w:tcPr>
          <w:p>
            <w:pPr>
              <w:spacing w:after="40"/>
            </w:pPr>
            <w:r/>
            <w:r>
              <w:rPr>
                <w:rFonts w:ascii="Inter" w:hAnsi="Inter" w:cs="Inter"/>
                <w:b/>
                <w:i w:val="0"/>
                <w:color w:val="1C1E2E"/>
                <w:sz w:val="19"/>
              </w:rPr>
              <w:t>Interaction</w:t>
            </w:r>
          </w:p>
        </w:tc>
        <w:tc>
          <w:tcPr>
            <w:tcW w:type="dxa" w:w="2412"/>
          </w:tcPr>
          <w:p>
            <w:pPr>
              <w:spacing w:after="40"/>
            </w:pPr>
            <w:r/>
            <w:r>
              <w:rPr>
                <w:rFonts w:ascii="Inter" w:hAnsi="Inter" w:cs="Inter"/>
                <w:b/>
                <w:i w:val="0"/>
                <w:color w:val="1C1E2E"/>
                <w:sz w:val="19"/>
              </w:rPr>
              <w:t>voice</w:t>
            </w:r>
            <w:r>
              <w:rPr>
                <w:rFonts w:ascii="Inter" w:hAnsi="Inter" w:cs="Inter"/>
                <w:b w:val="0"/>
                <w:i w:val="0"/>
                <w:color w:val="1C1E2E"/>
                <w:sz w:val="19"/>
              </w:rPr>
              <w:t xml:space="preserve"> (agent)</w:t>
            </w:r>
          </w:p>
        </w:tc>
        <w:tc>
          <w:tcPr>
            <w:tcW w:type="dxa" w:w="2412"/>
          </w:tcPr>
          <w:p>
            <w:pPr>
              <w:spacing w:after="40"/>
            </w:pPr>
            <w:r/>
            <w:r>
              <w:rPr>
                <w:rFonts w:ascii="Inter" w:hAnsi="Inter" w:cs="Inter"/>
                <w:b/>
                <w:i w:val="0"/>
                <w:color w:val="1C1E2E"/>
                <w:sz w:val="19"/>
              </w:rPr>
              <w:t>voice</w:t>
            </w:r>
          </w:p>
        </w:tc>
      </w:tr>
      <w:tr>
        <w:tc>
          <w:tcPr>
            <w:tcW w:type="dxa" w:w="2412"/>
          </w:tcPr>
          <w:p>
            <w:pPr>
              <w:spacing w:after="40"/>
            </w:pPr>
            <w:r/>
            <w:r>
              <w:rPr>
                <w:rFonts w:ascii="Inter" w:hAnsi="Inter" w:cs="Inter"/>
                <w:b w:val="0"/>
                <w:i w:val="0"/>
                <w:color w:val="1C1E2E"/>
                <w:sz w:val="19"/>
              </w:rPr>
              <w:t>Transfer</w:t>
            </w:r>
          </w:p>
        </w:tc>
        <w:tc>
          <w:tcPr>
            <w:tcW w:type="dxa" w:w="2412"/>
          </w:tcPr>
          <w:p>
            <w:pPr>
              <w:spacing w:after="40"/>
            </w:pPr>
            <w:r/>
            <w:r>
              <w:rPr>
                <w:rFonts w:ascii="Inter" w:hAnsi="Inter" w:cs="Inter"/>
                <w:b w:val="0"/>
                <w:i w:val="0"/>
                <w:color w:val="1C1E2E"/>
                <w:sz w:val="19"/>
              </w:rPr>
              <w:t>Production</w:t>
            </w:r>
          </w:p>
        </w:tc>
        <w:tc>
          <w:tcPr>
            <w:tcW w:type="dxa" w:w="2412"/>
          </w:tcPr>
          <w:p>
            <w:pPr>
              <w:spacing w:after="40"/>
            </w:pPr>
            <w:r/>
            <w:r>
              <w:rPr>
                <w:rFonts w:ascii="Inter" w:hAnsi="Inter" w:cs="Inter"/>
                <w:b w:val="0"/>
                <w:i w:val="0"/>
                <w:color w:val="1C1E2E"/>
                <w:sz w:val="19"/>
              </w:rPr>
              <w:t>free</w:t>
            </w:r>
          </w:p>
        </w:tc>
        <w:tc>
          <w:tcPr>
            <w:tcW w:type="dxa" w:w="2412"/>
          </w:tcPr>
          <w:p>
            <w:pPr>
              <w:spacing w:after="40"/>
            </w:pPr>
            <w:r/>
            <w:r>
              <w:rPr>
                <w:rFonts w:ascii="Inter" w:hAnsi="Inter" w:cs="Inter"/>
                <w:b/>
                <w:i w:val="0"/>
                <w:color w:val="1C1E2E"/>
                <w:sz w:val="19"/>
              </w:rPr>
              <w:t>voice or writing, learner's choice</w:t>
            </w:r>
          </w:p>
        </w:tc>
      </w:tr>
      <w:tr>
        <w:tc>
          <w:tcPr>
            <w:tcW w:type="dxa" w:w="2412"/>
          </w:tcPr>
          <w:p>
            <w:pPr>
              <w:spacing w:after="40"/>
            </w:pPr>
            <w:r/>
            <w:r>
              <w:rPr>
                <w:rFonts w:ascii="Inter" w:hAnsi="Inter" w:cs="Inter"/>
                <w:b w:val="0"/>
                <w:i w:val="0"/>
                <w:color w:val="1C1E2E"/>
                <w:sz w:val="19"/>
              </w:rPr>
              <w:t>Culture and pragmatics</w:t>
            </w:r>
          </w:p>
        </w:tc>
        <w:tc>
          <w:tcPr>
            <w:tcW w:type="dxa" w:w="2412"/>
          </w:tcPr>
          <w:p>
            <w:pPr>
              <w:spacing w:after="40"/>
            </w:pPr>
            <w:r/>
            <w:r>
              <w:rPr>
                <w:rFonts w:ascii="Inter" w:hAnsi="Inter" w:cs="Inter"/>
                <w:b w:val="0"/>
                <w:i w:val="0"/>
                <w:color w:val="1C1E2E"/>
                <w:sz w:val="19"/>
              </w:rPr>
              <w:t>—</w:t>
            </w:r>
          </w:p>
        </w:tc>
        <w:tc>
          <w:tcPr>
            <w:tcW w:type="dxa" w:w="2412"/>
          </w:tcPr>
          <w:p>
            <w:pPr>
              <w:spacing w:after="40"/>
            </w:pPr>
            <w:r/>
            <w:r>
              <w:rPr>
                <w:rFonts w:ascii="Inter" w:hAnsi="Inter" w:cs="Inter"/>
                <w:b w:val="0"/>
                <w:i w:val="0"/>
                <w:color w:val="1C1E2E"/>
                <w:sz w:val="19"/>
              </w:rPr>
              <w:t>text + image</w:t>
            </w:r>
          </w:p>
        </w:tc>
        <w:tc>
          <w:tcPr>
            <w:tcW w:type="dxa" w:w="2412"/>
          </w:tcPr>
          <w:p>
            <w:pPr>
              <w:spacing w:after="40"/>
            </w:pPr>
            <w:r/>
            <w:r>
              <w:rPr>
                <w:rFonts w:ascii="Inter" w:hAnsi="Inter" w:cs="Inter"/>
                <w:b w:val="0"/>
                <w:i w:val="0"/>
                <w:color w:val="1C1E2E"/>
                <w:sz w:val="19"/>
              </w:rPr>
              <w:t>—</w:t>
            </w:r>
          </w:p>
        </w:tc>
      </w:tr>
    </w:tbl>
    <w:p/>
    <w:p>
      <w:r>
        <w:rPr>
          <w:rFonts w:ascii="Inter" w:hAnsi="Inter" w:cs="Inter"/>
          <w:b/>
          <w:i w:val="0"/>
          <w:color w:val="1C1E2E"/>
          <w:sz w:val="22"/>
        </w:rPr>
        <w:t>Why this matters for a thesis and not only for a product.</w:t>
      </w:r>
      <w:r>
        <w:rPr>
          <w:rFonts w:ascii="Inter" w:hAnsi="Inter" w:cs="Inter"/>
          <w:b w:val="0"/>
          <w:i w:val="0"/>
          <w:color w:val="1C1E2E"/>
          <w:sz w:val="22"/>
        </w:rPr>
        <w:t xml:space="preserve"> The mobile-learning literature describes </w:t>
      </w:r>
      <w:r>
        <w:rPr>
          <w:rFonts w:ascii="Inter" w:hAnsi="Inter" w:cs="Inter"/>
          <w:b w:val="0"/>
          <w:i/>
          <w:color w:val="1C1E2E"/>
          <w:sz w:val="22"/>
        </w:rPr>
        <w:t>principles</w:t>
      </w:r>
      <w:r>
        <w:rPr>
          <w:rFonts w:ascii="Inter" w:hAnsi="Inter" w:cs="Inter"/>
          <w:b w:val="0"/>
          <w:i w:val="0"/>
          <w:color w:val="1C1E2E"/>
          <w:sz w:val="22"/>
        </w:rPr>
        <w:t xml:space="preserve"> — brevity, context, microlearning — but rarely a </w:t>
      </w:r>
      <w:r>
        <w:rPr>
          <w:rFonts w:ascii="Inter" w:hAnsi="Inter" w:cs="Inter"/>
          <w:b/>
          <w:i w:val="0"/>
          <w:color w:val="1C1E2E"/>
          <w:sz w:val="22"/>
        </w:rPr>
        <w:t>procedure</w:t>
      </w:r>
      <w:r>
        <w:rPr>
          <w:rFonts w:ascii="Inter" w:hAnsi="Inter" w:cs="Inter"/>
          <w:b w:val="0"/>
          <w:i w:val="0"/>
          <w:color w:val="1C1E2E"/>
          <w:sz w:val="22"/>
        </w:rPr>
        <w:t xml:space="preserve"> another team could reproduce, and almost never treats modality as something decided and justified. Declaring it has three testable consequences: the lesson becomes </w:t>
      </w:r>
      <w:r>
        <w:rPr>
          <w:rFonts w:ascii="Inter" w:hAnsi="Inter" w:cs="Inter"/>
          <w:b/>
          <w:i w:val="0"/>
          <w:color w:val="1C1E2E"/>
          <w:sz w:val="22"/>
        </w:rPr>
        <w:t>auditable</w:t>
      </w:r>
      <w:r>
        <w:rPr>
          <w:rFonts w:ascii="Inter" w:hAnsi="Inter" w:cs="Inter"/>
          <w:b w:val="0"/>
          <w:i w:val="0"/>
          <w:color w:val="1C1E2E"/>
          <w:sz w:val="22"/>
        </w:rPr>
        <w:t xml:space="preserve"> (one can check that CEFR mode and channel agree), </w:t>
      </w:r>
      <w:r>
        <w:rPr>
          <w:rFonts w:ascii="Inter" w:hAnsi="Inter" w:cs="Inter"/>
          <w:b/>
          <w:i w:val="0"/>
          <w:color w:val="1C1E2E"/>
          <w:sz w:val="22"/>
        </w:rPr>
        <w:t>replicable</w:t>
      </w:r>
      <w:r>
        <w:rPr>
          <w:rFonts w:ascii="Inter" w:hAnsi="Inter" w:cs="Inter"/>
          <w:b w:val="0"/>
          <w:i w:val="0"/>
          <w:color w:val="1C1E2E"/>
          <w:sz w:val="22"/>
        </w:rPr>
        <w:t xml:space="preserve"> (two designers starting from the same descriptor and profile should produce equivalent lessons) and </w:t>
      </w:r>
      <w:r>
        <w:rPr>
          <w:rFonts w:ascii="Inter" w:hAnsi="Inter" w:cs="Inter"/>
          <w:b/>
          <w:i w:val="0"/>
          <w:color w:val="1C1E2E"/>
          <w:sz w:val="22"/>
        </w:rPr>
        <w:t>measurable</w:t>
      </w:r>
      <w:r>
        <w:rPr>
          <w:rFonts w:ascii="Inter" w:hAnsi="Inter" w:cs="Inter"/>
          <w:b w:val="0"/>
          <w:i w:val="0"/>
          <w:color w:val="1C1E2E"/>
          <w:sz w:val="22"/>
        </w:rPr>
        <w:t xml:space="preserve"> (the evidence each step emits already knows which mode it belongs to).</w:t>
      </w:r>
    </w:p>
    <w:p>
      <w:r>
        <w:rPr>
          <w:rFonts w:ascii="Inter" w:hAnsi="Inter" w:cs="Inter"/>
          <w:b/>
          <w:i w:val="0"/>
          <w:color w:val="1C1E2E"/>
          <w:sz w:val="22"/>
        </w:rPr>
        <w:t>Engine + pack, in design too.</w:t>
      </w:r>
      <w:r>
        <w:rPr>
          <w:rFonts w:ascii="Inter" w:hAnsi="Inter" w:cs="Inter"/>
          <w:b w:val="0"/>
          <w:i w:val="0"/>
          <w:color w:val="1C1E2E"/>
          <w:sz w:val="22"/>
        </w:rPr>
        <w:t xml:space="preserve"> The lesson cycle is a shared </w:t>
      </w:r>
      <w:r>
        <w:rPr>
          <w:rFonts w:ascii="Inter" w:hAnsi="Inter" w:cs="Inter"/>
          <w:b/>
          <w:i w:val="0"/>
          <w:color w:val="1C1E2E"/>
          <w:sz w:val="22"/>
        </w:rPr>
        <w:t>engine</w:t>
      </w:r>
      <w:r>
        <w:rPr>
          <w:rFonts w:ascii="Inter" w:hAnsi="Inter" w:cs="Inter"/>
          <w:b w:val="0"/>
          <w:i w:val="0"/>
          <w:color w:val="1C1E2E"/>
          <w:sz w:val="22"/>
        </w:rPr>
        <w:t xml:space="preserve">; a given lesson is a </w:t>
      </w:r>
      <w:r>
        <w:rPr>
          <w:rFonts w:ascii="Inter" w:hAnsi="Inter" w:cs="Inter"/>
          <w:b/>
          <w:i w:val="0"/>
          <w:color w:val="1C1E2E"/>
          <w:sz w:val="22"/>
        </w:rPr>
        <w:t>data object</w:t>
      </w:r>
      <w:r>
        <w:rPr>
          <w:rFonts w:ascii="Inter" w:hAnsi="Inter" w:cs="Inter"/>
          <w:b w:val="0"/>
          <w:i w:val="0"/>
          <w:color w:val="1C1E2E"/>
          <w:sz w:val="22"/>
        </w:rPr>
        <w:t xml:space="preserve">. Building a new lesson — or a new language — is </w:t>
      </w:r>
      <w:r>
        <w:rPr>
          <w:rFonts w:ascii="Inter" w:hAnsi="Inter" w:cs="Inter"/>
          <w:b/>
          <w:i w:val="0"/>
          <w:color w:val="1C1E2E"/>
          <w:sz w:val="22"/>
        </w:rPr>
        <w:t>filling in data, not rewriting logic</w:t>
      </w:r>
      <w:r>
        <w:rPr>
          <w:rFonts w:ascii="Inter" w:hAnsi="Inter" w:cs="Inter"/>
          <w:b w:val="0"/>
          <w:i w:val="0"/>
          <w:color w:val="1C1E2E"/>
          <w:sz w:val="22"/>
        </w:rPr>
        <w:t>. It is the same replicability claim that underpins the evaluation pillar, and it faces the same test (RQ6).</w:t>
      </w:r>
    </w:p>
    <w:p>
      <w:r>
        <w:rPr>
          <w:rFonts w:ascii="Inter" w:hAnsi="Inter" w:cs="Inter"/>
          <w:b/>
          <w:i w:val="0"/>
          <w:color w:val="1C1E2E"/>
          <w:sz w:val="22"/>
        </w:rPr>
        <w:t>Frameworks the Design pillar synthesises</w:t>
      </w:r>
      <w:r>
        <w:rPr>
          <w:rFonts w:ascii="Inter" w:hAnsi="Inter" w:cs="Inter"/>
          <w:b w:val="0"/>
          <w:i w:val="0"/>
          <w:color w:val="1C1E2E"/>
          <w:sz w:val="22"/>
        </w:rPr>
        <w:t xml:space="preserve">, all established and none invented: the gamified </w:t>
      </w:r>
      <w:r>
        <w:rPr>
          <w:rFonts w:ascii="Inter" w:hAnsi="Inter" w:cs="Inter"/>
          <w:b/>
          <w:i w:val="0"/>
          <w:color w:val="1C1E2E"/>
          <w:sz w:val="22"/>
        </w:rPr>
        <w:t>IPO</w:t>
      </w:r>
      <w:r>
        <w:rPr>
          <w:rFonts w:ascii="Inter" w:hAnsi="Inter" w:cs="Inter"/>
          <w:b w:val="0"/>
          <w:i w:val="0"/>
          <w:color w:val="1C1E2E"/>
          <w:sz w:val="22"/>
        </w:rPr>
        <w:t xml:space="preserve"> cycle (Casañ-Pitarch, 2017); the </w:t>
      </w:r>
      <w:r>
        <w:rPr>
          <w:rFonts w:ascii="Inter" w:hAnsi="Inter" w:cs="Inter"/>
          <w:b/>
          <w:i w:val="0"/>
          <w:color w:val="1C1E2E"/>
          <w:sz w:val="22"/>
        </w:rPr>
        <w:t>CLIL 4Cs</w:t>
      </w:r>
      <w:r>
        <w:rPr>
          <w:rFonts w:ascii="Inter" w:hAnsi="Inter" w:cs="Inter"/>
          <w:b w:val="0"/>
          <w:i w:val="0"/>
          <w:color w:val="1C1E2E"/>
          <w:sz w:val="22"/>
        </w:rPr>
        <w:t xml:space="preserve"> (Coyle, 2007); </w:t>
      </w:r>
      <w:r>
        <w:rPr>
          <w:rFonts w:ascii="Inter" w:hAnsi="Inter" w:cs="Inter"/>
          <w:b/>
          <w:i w:val="0"/>
          <w:color w:val="1C1E2E"/>
          <w:sz w:val="22"/>
        </w:rPr>
        <w:t>ESA</w:t>
      </w:r>
      <w:r>
        <w:rPr>
          <w:rFonts w:ascii="Inter" w:hAnsi="Inter" w:cs="Inter"/>
          <w:b w:val="0"/>
          <w:i w:val="0"/>
          <w:color w:val="1C1E2E"/>
          <w:sz w:val="22"/>
        </w:rPr>
        <w:t xml:space="preserve"> (Harmer, 2007); </w:t>
      </w:r>
      <w:r>
        <w:rPr>
          <w:rFonts w:ascii="Inter" w:hAnsi="Inter" w:cs="Inter"/>
          <w:b/>
          <w:i w:val="0"/>
          <w:color w:val="1C1E2E"/>
          <w:sz w:val="22"/>
        </w:rPr>
        <w:t>CTL / REACT</w:t>
      </w:r>
      <w:r>
        <w:rPr>
          <w:rFonts w:ascii="Inter" w:hAnsi="Inter" w:cs="Inter"/>
          <w:b w:val="0"/>
          <w:i w:val="0"/>
          <w:color w:val="1C1E2E"/>
          <w:sz w:val="22"/>
        </w:rPr>
        <w:t xml:space="preserve"> (Johnson, 2002; Crawford, 2001) for task authenticity; the </w:t>
      </w:r>
      <w:r>
        <w:rPr>
          <w:rFonts w:ascii="Inter" w:hAnsi="Inter" w:cs="Inter"/>
          <w:b/>
          <w:i w:val="0"/>
          <w:color w:val="1C1E2E"/>
          <w:sz w:val="22"/>
        </w:rPr>
        <w:t>lexical approach</w:t>
      </w:r>
      <w:r>
        <w:rPr>
          <w:rFonts w:ascii="Inter" w:hAnsi="Inter" w:cs="Inter"/>
          <w:b w:val="0"/>
          <w:i w:val="0"/>
          <w:color w:val="1C1E2E"/>
          <w:sz w:val="22"/>
        </w:rPr>
        <w:t xml:space="preserve"> (Lewis, 1993) for teaching in chunks; and the </w:t>
      </w:r>
      <w:r>
        <w:rPr>
          <w:rFonts w:ascii="Inter" w:hAnsi="Inter" w:cs="Inter"/>
          <w:b/>
          <w:i w:val="0"/>
          <w:color w:val="1C1E2E"/>
          <w:sz w:val="22"/>
        </w:rPr>
        <w:t>cognitive theory of multimedia learning</w:t>
      </w:r>
      <w:r>
        <w:rPr>
          <w:rFonts w:ascii="Inter" w:hAnsi="Inter" w:cs="Inter"/>
          <w:b w:val="0"/>
          <w:i w:val="0"/>
          <w:color w:val="1C1E2E"/>
          <w:sz w:val="22"/>
        </w:rPr>
        <w:t xml:space="preserve"> (Mayer, 2009), which is precisely what grounds treating modality as a decision rather than decoration. The originality lies in none of them, but in </w:t>
      </w:r>
      <w:r>
        <w:rPr>
          <w:rFonts w:ascii="Inter" w:hAnsi="Inter" w:cs="Inter"/>
          <w:b/>
          <w:i w:val="0"/>
          <w:color w:val="1C1E2E"/>
          <w:sz w:val="22"/>
        </w:rPr>
        <w:t>the operationalised synthesis and the explicit modality declaration</w:t>
      </w:r>
      <w:r>
        <w:rPr>
          <w:rFonts w:ascii="Inter" w:hAnsi="Inter" w:cs="Inter"/>
          <w:b w:val="0"/>
          <w:i w:val="0"/>
          <w:color w:val="1C1E2E"/>
          <w:sz w:val="22"/>
        </w:rPr>
        <w:t>.</w:t>
      </w:r>
    </w:p>
    <w:p>
      <w:pPr>
        <w:spacing w:before="240" w:after="120"/>
      </w:pPr>
      <w:r>
        <w:rPr>
          <w:rFonts w:ascii="Inter" w:hAnsi="Inter" w:cs="Inter"/>
          <w:b/>
          <w:i w:val="0"/>
          <w:color w:val="1C1E2E"/>
          <w:sz w:val="26"/>
        </w:rPr>
        <w:t>4.3 Voice-tutor architecture</w:t>
      </w:r>
    </w:p>
    <w:p>
      <w:r>
        <w:rPr>
          <w:rFonts w:ascii="Inter" w:hAnsi="Inter" w:cs="Inter"/>
          <w:b w:val="0"/>
          <w:i w:val="0"/>
          <w:color w:val="1C1E2E"/>
          <w:sz w:val="22"/>
        </w:rPr>
        <w:t xml:space="preserve">The learner practises by </w:t>
      </w:r>
      <w:r>
        <w:rPr>
          <w:rFonts w:ascii="Inter" w:hAnsi="Inter" w:cs="Inter"/>
          <w:b/>
          <w:i w:val="0"/>
          <w:color w:val="1C1E2E"/>
          <w:sz w:val="22"/>
        </w:rPr>
        <w:t>speaking</w:t>
      </w:r>
      <w:r>
        <w:rPr>
          <w:rFonts w:ascii="Inter" w:hAnsi="Inter" w:cs="Inter"/>
          <w:b w:val="0"/>
          <w:i w:val="0"/>
          <w:color w:val="1C1E2E"/>
          <w:sz w:val="22"/>
        </w:rPr>
        <w:t xml:space="preserve"> real workplace situations with "Capi". The measurement loop:</w:t>
      </w:r>
    </w:p>
    <w:p>
      <w:pPr>
        <w:pBdr>
          <w:left w:val="single" w:sz="18" w:space="8" w:color="9A5B00"/>
        </w:pBdr>
        <w:spacing w:before="120" w:after="200"/>
        <w:ind w:left="317"/>
      </w:pPr>
      <w:r>
        <w:rPr>
          <w:rFonts w:ascii="Inter" w:hAnsi="Inter" w:cs="Inter"/>
          <w:b/>
          <w:i w:val="0"/>
          <w:color w:val="5B5F77"/>
          <w:sz w:val="21"/>
        </w:rPr>
        <w:t>Capi (role-play)</w:t>
      </w:r>
      <w:r>
        <w:rPr>
          <w:rFonts w:ascii="Inter" w:hAnsi="Inter" w:cs="Inter"/>
          <w:b w:val="0"/>
          <w:i w:val="0"/>
          <w:color w:val="5B5F77"/>
          <w:sz w:val="21"/>
        </w:rPr>
        <w:t xml:space="preserve"> → </w:t>
      </w:r>
      <w:r>
        <w:rPr>
          <w:rFonts w:ascii="Inter" w:hAnsi="Inter" w:cs="Inter"/>
          <w:b/>
          <w:i w:val="0"/>
          <w:color w:val="5B5F77"/>
          <w:sz w:val="21"/>
        </w:rPr>
        <w:t>MLLDE evaluator</w:t>
      </w:r>
      <w:r>
        <w:rPr>
          <w:rFonts w:ascii="Inter" w:hAnsi="Inter" w:cs="Inter"/>
          <w:b w:val="0"/>
          <w:i w:val="0"/>
          <w:color w:val="5B5F77"/>
          <w:sz w:val="21"/>
        </w:rPr>
        <w:t xml:space="preserve"> (band 0–10 + weak </w:t>
      </w:r>
      <w:r>
        <w:rPr>
          <w:rFonts w:ascii="Inter" w:hAnsi="Inter" w:cs="Inter"/>
          <w:b w:val="0"/>
          <w:i/>
          <w:color w:val="5B5F77"/>
          <w:sz w:val="21"/>
        </w:rPr>
        <w:t>i+1</w:t>
      </w:r>
      <w:r>
        <w:rPr>
          <w:rFonts w:ascii="Inter" w:hAnsi="Inter" w:cs="Inter"/>
          <w:b w:val="0"/>
          <w:i w:val="0"/>
          <w:color w:val="5B5F77"/>
          <w:sz w:val="21"/>
        </w:rPr>
        <w:t xml:space="preserve"> descriptor) → </w:t>
      </w:r>
      <w:r>
        <w:rPr>
          <w:rFonts w:ascii="Inter" w:hAnsi="Inter" w:cs="Inter"/>
          <w:b/>
          <w:i w:val="0"/>
          <w:color w:val="5B5F77"/>
          <w:sz w:val="21"/>
        </w:rPr>
        <w:t>Practice</w:t>
      </w:r>
      <w:r>
        <w:rPr>
          <w:rFonts w:ascii="Inter" w:hAnsi="Inter" w:cs="Inter"/>
          <w:b w:val="0"/>
          <w:i w:val="0"/>
          <w:color w:val="5B5F77"/>
          <w:sz w:val="21"/>
        </w:rPr>
        <w:t xml:space="preserve"> (drills, cards, mediation) → </w:t>
      </w:r>
      <w:r>
        <w:rPr>
          <w:rFonts w:ascii="Inter" w:hAnsi="Inter" w:cs="Inter"/>
          <w:b/>
          <w:i w:val="0"/>
          <w:color w:val="5B5F77"/>
          <w:sz w:val="21"/>
        </w:rPr>
        <w:t>Capi</w:t>
      </w:r>
      <w:r>
        <w:rPr>
          <w:rFonts w:ascii="Inter" w:hAnsi="Inter" w:cs="Inter"/>
          <w:b w:val="0"/>
          <w:i w:val="0"/>
          <w:color w:val="5B5F77"/>
          <w:sz w:val="21"/>
        </w:rPr>
        <w:t xml:space="preserve"> → the band rises </w:t>
      </w:r>
      <w:r>
        <w:rPr>
          <w:rFonts w:ascii="Inter" w:hAnsi="Inter" w:cs="Inter"/>
          <w:b/>
          <w:i w:val="0"/>
          <w:color w:val="5B5F77"/>
          <w:sz w:val="21"/>
        </w:rPr>
        <w:t>in the next conversation</w:t>
      </w:r>
      <w:r>
        <w:rPr>
          <w:rFonts w:ascii="Inter" w:hAnsi="Inter" w:cs="Inter"/>
          <w:b w:val="0"/>
          <w:i w:val="0"/>
          <w:color w:val="5B5F77"/>
          <w:sz w:val="21"/>
        </w:rPr>
        <w:t>.</w:t>
      </w:r>
    </w:p>
    <w:p>
      <w:pPr>
        <w:pStyle w:val="ListBullet"/>
        <w:spacing w:after="60"/>
        <w:ind w:left="403"/>
      </w:pPr>
      <w:r>
        <w:rPr>
          <w:rFonts w:ascii="Inter" w:hAnsi="Inter" w:cs="Inter"/>
          <w:b/>
          <w:i w:val="0"/>
          <w:color w:val="1C1E2E"/>
          <w:sz w:val="22"/>
        </w:rPr>
        <w:t>Three observing agents</w:t>
      </w:r>
      <w:r>
        <w:rPr>
          <w:rFonts w:ascii="Inter" w:hAnsi="Inter" w:cs="Inter"/>
          <w:b w:val="0"/>
          <w:i w:val="0"/>
          <w:color w:val="1C1E2E"/>
          <w:sz w:val="22"/>
        </w:rPr>
        <w:t xml:space="preserve"> (Capi · corrector · evaluator) and a </w:t>
      </w:r>
      <w:r>
        <w:rPr>
          <w:rFonts w:ascii="Inter" w:hAnsi="Inter" w:cs="Inter"/>
          <w:b/>
          <w:i w:val="0"/>
          <w:color w:val="1C1E2E"/>
          <w:sz w:val="22"/>
        </w:rPr>
        <w:t>consolidator written in code</w:t>
      </w:r>
      <w:r>
        <w:rPr>
          <w:rFonts w:ascii="Inter" w:hAnsi="Inter" w:cs="Inter"/>
          <w:b w:val="0"/>
          <w:i w:val="0"/>
          <w:color w:val="1C1E2E"/>
          <w:sz w:val="22"/>
        </w:rPr>
        <w:t xml:space="preserve"> — not a fourth LLM — which computes the cumulative level (</w:t>
      </w:r>
      <w:r>
        <w:rPr>
          <w:rFonts w:ascii="Consolas" w:hAnsi="Consolas" w:cs="Consolas"/>
          <w:b w:val="0"/>
          <w:i w:val="0"/>
          <w:color w:val="5B5F77"/>
          <w:sz w:val="21"/>
        </w:rPr>
        <w:t>Global×5 + analytics×2 ÷ pool × 10</w:t>
      </w:r>
      <w:r>
        <w:rPr>
          <w:rFonts w:ascii="Inter" w:hAnsi="Inter" w:cs="Inter"/>
          <w:b w:val="0"/>
          <w:i w:val="0"/>
          <w:color w:val="1C1E2E"/>
          <w:sz w:val="22"/>
        </w:rPr>
        <w:t xml:space="preserve">) and emits </w:t>
      </w:r>
      <w:r>
        <w:rPr>
          <w:rFonts w:ascii="Inter" w:hAnsi="Inter" w:cs="Inter"/>
          <w:b/>
          <w:i w:val="0"/>
          <w:color w:val="1C1E2E"/>
          <w:sz w:val="22"/>
        </w:rPr>
        <w:t>a single entry</w:t>
      </w:r>
      <w:r>
        <w:rPr>
          <w:rFonts w:ascii="Inter" w:hAnsi="Inter" w:cs="Inter"/>
          <w:b w:val="0"/>
          <w:i w:val="0"/>
          <w:color w:val="1C1E2E"/>
          <w:sz w:val="22"/>
        </w:rPr>
        <w:t xml:space="preserve"> to the LRS. A </w:t>
      </w:r>
      <w:r>
        <w:rPr>
          <w:rFonts w:ascii="Inter" w:hAnsi="Inter" w:cs="Inter"/>
          <w:b/>
          <w:i w:val="0"/>
          <w:color w:val="1C1E2E"/>
          <w:sz w:val="22"/>
        </w:rPr>
        <w:t>writer</w:t>
      </w:r>
      <w:r>
        <w:rPr>
          <w:rFonts w:ascii="Inter" w:hAnsi="Inter" w:cs="Inter"/>
          <w:b w:val="0"/>
          <w:i w:val="0"/>
          <w:color w:val="1C1E2E"/>
          <w:sz w:val="22"/>
        </w:rPr>
        <w:t xml:space="preserve"> drafts the summary; it does not measure. </w:t>
      </w:r>
      <w:r>
        <w:rPr>
          <w:rFonts w:ascii="Inter" w:hAnsi="Inter" w:cs="Inter"/>
          <w:b/>
          <w:i w:val="0"/>
          <w:color w:val="1C1E2E"/>
          <w:sz w:val="22"/>
        </w:rPr>
        <w:t>Generators</w:t>
      </w:r>
      <w:r>
        <w:rPr>
          <w:rFonts w:ascii="Inter" w:hAnsi="Inter" w:cs="Inter"/>
          <w:b w:val="0"/>
          <w:i w:val="0"/>
          <w:color w:val="1C1E2E"/>
          <w:sz w:val="22"/>
        </w:rPr>
        <w:t xml:space="preserve"> create content: code picks the descriptor, the LLM writes it.</w:t>
      </w:r>
    </w:p>
    <w:p>
      <w:pPr>
        <w:pStyle w:val="ListBullet"/>
        <w:spacing w:after="60"/>
        <w:ind w:left="403"/>
      </w:pPr>
      <w:r>
        <w:rPr>
          <w:rFonts w:ascii="Inter" w:hAnsi="Inter" w:cs="Inter"/>
          <w:b/>
          <w:i w:val="0"/>
          <w:color w:val="1C1E2E"/>
          <w:sz w:val="22"/>
        </w:rPr>
        <w:t>Two flows that never cross:</w:t>
      </w:r>
      <w:r>
        <w:rPr>
          <w:rFonts w:ascii="Inter" w:hAnsi="Inter" w:cs="Inter"/>
          <w:b w:val="0"/>
          <w:i w:val="0"/>
          <w:color w:val="1C1E2E"/>
          <w:sz w:val="22"/>
        </w:rPr>
        <w:t xml:space="preserve"> </w:t>
      </w:r>
      <w:r>
        <w:rPr>
          <w:rFonts w:ascii="Inter" w:hAnsi="Inter" w:cs="Inter"/>
          <w:b w:val="0"/>
          <w:i/>
          <w:color w:val="1C1E2E"/>
          <w:sz w:val="22"/>
        </w:rPr>
        <w:t>measurement</w:t>
      </w:r>
      <w:r>
        <w:rPr>
          <w:rFonts w:ascii="Inter" w:hAnsi="Inter" w:cs="Inter"/>
          <w:b w:val="0"/>
          <w:i w:val="0"/>
          <w:color w:val="1C1E2E"/>
          <w:sz w:val="22"/>
        </w:rPr>
        <w:t xml:space="preserve"> (once per session: </w:t>
      </w:r>
      <w:r>
        <w:rPr>
          <w:rFonts w:ascii="Consolas" w:hAnsi="Consolas" w:cs="Consolas"/>
          <w:b w:val="0"/>
          <w:i w:val="0"/>
          <w:color w:val="5B5F77"/>
          <w:sz w:val="21"/>
        </w:rPr>
        <w:t>completed</w:t>
      </w:r>
      <w:r>
        <w:rPr>
          <w:rFonts w:ascii="Inter" w:hAnsi="Inter" w:cs="Inter"/>
          <w:b w:val="0"/>
          <w:i w:val="0"/>
          <w:color w:val="1C1E2E"/>
          <w:sz w:val="22"/>
        </w:rPr>
        <w:t xml:space="preserve"> + rubric) and </w:t>
      </w:r>
      <w:r>
        <w:rPr>
          <w:rFonts w:ascii="Inter" w:hAnsi="Inter" w:cs="Inter"/>
          <w:b w:val="0"/>
          <w:i/>
          <w:color w:val="1C1E2E"/>
          <w:sz w:val="22"/>
        </w:rPr>
        <w:t>pedagogy</w:t>
      </w:r>
      <w:r>
        <w:rPr>
          <w:rFonts w:ascii="Inter" w:hAnsi="Inter" w:cs="Inter"/>
          <w:b w:val="0"/>
          <w:i w:val="0"/>
          <w:color w:val="1C1E2E"/>
          <w:sz w:val="22"/>
        </w:rPr>
        <w:t xml:space="preserve"> (per turn: </w:t>
      </w:r>
      <w:r>
        <w:rPr>
          <w:rFonts w:ascii="Consolas" w:hAnsi="Consolas" w:cs="Consolas"/>
          <w:b w:val="0"/>
          <w:i w:val="0"/>
          <w:color w:val="5B5F77"/>
          <w:sz w:val="21"/>
        </w:rPr>
        <w:t>adapted</w:t>
      </w:r>
      <w:r>
        <w:rPr>
          <w:rFonts w:ascii="Inter" w:hAnsi="Inter" w:cs="Inter"/>
          <w:b w:val="0"/>
          <w:i w:val="0"/>
          <w:color w:val="1C1E2E"/>
          <w:sz w:val="22"/>
        </w:rPr>
        <w:t xml:space="preserve"> + </w:t>
      </w:r>
      <w:r>
        <w:rPr>
          <w:rFonts w:ascii="Consolas" w:hAnsi="Consolas" w:cs="Consolas"/>
          <w:b w:val="0"/>
          <w:i w:val="0"/>
          <w:color w:val="5B5F77"/>
          <w:sz w:val="21"/>
        </w:rPr>
        <w:t>pedagogical-action</w:t>
      </w:r>
      <w:r>
        <w:rPr>
          <w:rFonts w:ascii="Inter" w:hAnsi="Inter" w:cs="Inter"/>
          <w:b w:val="0"/>
          <w:i w:val="0"/>
          <w:color w:val="1C1E2E"/>
          <w:sz w:val="22"/>
        </w:rPr>
        <w:t xml:space="preserve"> + </w:t>
      </w:r>
      <w:r>
        <w:rPr>
          <w:rFonts w:ascii="Consolas" w:hAnsi="Consolas" w:cs="Consolas"/>
          <w:b w:val="0"/>
          <w:i w:val="0"/>
          <w:color w:val="5B5F77"/>
          <w:sz w:val="21"/>
        </w:rPr>
        <w:t>learning-target</w:t>
      </w:r>
      <w:r>
        <w:rPr>
          <w:rFonts w:ascii="Inter" w:hAnsi="Inter" w:cs="Inter"/>
          <w:b w:val="0"/>
          <w:i w:val="0"/>
          <w:color w:val="1C1E2E"/>
          <w:sz w:val="22"/>
        </w:rPr>
        <w:t xml:space="preserve">). </w:t>
      </w:r>
      <w:r>
        <w:rPr>
          <w:rFonts w:ascii="Inter" w:hAnsi="Inter" w:cs="Inter"/>
          <w:b/>
          <w:i w:val="0"/>
          <w:color w:val="1C1E2E"/>
          <w:sz w:val="22"/>
        </w:rPr>
        <w:t>Correction is pedagogy and never scores</w:t>
      </w:r>
      <w:r>
        <w:rPr>
          <w:rFonts w:ascii="Inter" w:hAnsi="Inter" w:cs="Inter"/>
          <w:b w:val="0"/>
          <w:i w:val="0"/>
          <w:color w:val="1C1E2E"/>
          <w:sz w:val="22"/>
        </w:rPr>
        <w:t xml:space="preserve"> — the firewall that makes the system auditable.</w:t>
      </w:r>
    </w:p>
    <w:p>
      <w:pPr>
        <w:pStyle w:val="ListBullet"/>
        <w:spacing w:after="60"/>
        <w:ind w:left="403"/>
      </w:pPr>
      <w:r>
        <w:rPr>
          <w:rFonts w:ascii="Inter" w:hAnsi="Inter" w:cs="Inter"/>
          <w:b/>
          <w:i w:val="0"/>
          <w:color w:val="1C1E2E"/>
          <w:sz w:val="22"/>
        </w:rPr>
        <w:t>Acoustic gate (ASR 0.70).</w:t>
      </w:r>
      <w:r>
        <w:rPr>
          <w:rFonts w:ascii="Inter" w:hAnsi="Inter" w:cs="Inter"/>
          <w:b w:val="0"/>
          <w:i w:val="0"/>
          <w:color w:val="1C1E2E"/>
          <w:sz w:val="22"/>
        </w:rPr>
        <w:t xml:space="preserve"> Below that recognition confidence the turn is logged as an </w:t>
      </w:r>
      <w:r>
        <w:rPr>
          <w:rFonts w:ascii="Inter" w:hAnsi="Inter" w:cs="Inter"/>
          <w:b/>
          <w:i w:val="0"/>
          <w:color w:val="1C1E2E"/>
          <w:sz w:val="22"/>
        </w:rPr>
        <w:t>incident</w:t>
      </w:r>
      <w:r>
        <w:rPr>
          <w:rFonts w:ascii="Inter" w:hAnsi="Inter" w:cs="Inter"/>
          <w:b w:val="0"/>
          <w:i w:val="0"/>
          <w:color w:val="1C1E2E"/>
          <w:sz w:val="22"/>
        </w:rPr>
        <w:t xml:space="preserve"> and does not score. It is the explicit boundary between what is measurable and what is not.</w:t>
      </w:r>
    </w:p>
    <w:p>
      <w:pPr>
        <w:spacing w:before="240" w:after="120"/>
      </w:pPr>
      <w:r>
        <w:rPr>
          <w:rFonts w:ascii="Inter" w:hAnsi="Inter" w:cs="Inter"/>
          <w:b/>
          <w:i w:val="0"/>
          <w:color w:val="1C1E2E"/>
          <w:sz w:val="26"/>
        </w:rPr>
        <w:t>4.4 The three tiers of evidence</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1930"/>
        <w:gridCol w:w="1930"/>
        <w:gridCol w:w="1930"/>
        <w:gridCol w:w="1930"/>
        <w:gridCol w:w="1930"/>
      </w:tblGrid>
      <w:tr>
        <w:tc>
          <w:tcPr>
            <w:tcW w:type="dxa" w:w="1930"/>
            <w:shd w:val="clear" w:color="auto" w:fill="EEF2FD"/>
          </w:tcPr>
          <w:p>
            <w:pPr>
              <w:spacing w:after="40"/>
            </w:pPr>
            <w:r/>
            <w:r>
              <w:rPr>
                <w:rFonts w:ascii="Inter" w:hAnsi="Inter" w:cs="Inter"/>
                <w:b/>
                <w:i w:val="0"/>
                <w:color w:val="22307C"/>
                <w:sz w:val="19"/>
              </w:rPr>
              <w:t>Tier</w:t>
            </w:r>
          </w:p>
        </w:tc>
        <w:tc>
          <w:tcPr>
            <w:tcW w:type="dxa" w:w="1930"/>
            <w:shd w:val="clear" w:color="auto" w:fill="EEF2FD"/>
          </w:tcPr>
          <w:p>
            <w:pPr>
              <w:spacing w:after="40"/>
            </w:pPr>
            <w:r/>
            <w:r>
              <w:rPr>
                <w:rFonts w:ascii="Inter" w:hAnsi="Inter" w:cs="Inter"/>
                <w:b/>
                <w:i w:val="0"/>
                <w:color w:val="22307C"/>
                <w:sz w:val="19"/>
              </w:rPr>
              <w:t>Name</w:t>
            </w:r>
          </w:p>
        </w:tc>
        <w:tc>
          <w:tcPr>
            <w:tcW w:type="dxa" w:w="1930"/>
            <w:shd w:val="clear" w:color="auto" w:fill="EEF2FD"/>
          </w:tcPr>
          <w:p>
            <w:pPr>
              <w:spacing w:after="40"/>
            </w:pPr>
            <w:r/>
            <w:r>
              <w:rPr>
                <w:rFonts w:ascii="Inter" w:hAnsi="Inter" w:cs="Inter"/>
                <w:b/>
                <w:i w:val="0"/>
                <w:color w:val="22307C"/>
                <w:sz w:val="19"/>
              </w:rPr>
              <w:t>What it measures</w:t>
            </w:r>
          </w:p>
        </w:tc>
        <w:tc>
          <w:tcPr>
            <w:tcW w:type="dxa" w:w="1930"/>
            <w:shd w:val="clear" w:color="auto" w:fill="EEF2FD"/>
          </w:tcPr>
          <w:p>
            <w:pPr>
              <w:spacing w:after="40"/>
            </w:pPr>
            <w:r/>
            <w:r>
              <w:rPr>
                <w:rFonts w:ascii="Inter" w:hAnsi="Inter" w:cs="Inter"/>
                <w:b/>
                <w:i w:val="0"/>
                <w:color w:val="22307C"/>
                <w:sz w:val="19"/>
              </w:rPr>
              <w:t>How</w:t>
            </w:r>
          </w:p>
        </w:tc>
        <w:tc>
          <w:tcPr>
            <w:tcW w:type="dxa" w:w="1930"/>
            <w:shd w:val="clear" w:color="auto" w:fill="EEF2FD"/>
          </w:tcPr>
          <w:p>
            <w:pPr>
              <w:spacing w:after="40"/>
            </w:pPr>
            <w:r/>
            <w:r>
              <w:rPr>
                <w:rFonts w:ascii="Inter" w:hAnsi="Inter" w:cs="Inter"/>
                <w:b/>
                <w:i w:val="0"/>
                <w:color w:val="22307C"/>
                <w:sz w:val="19"/>
              </w:rPr>
              <w:t>Status</w:t>
            </w:r>
          </w:p>
        </w:tc>
      </w:tr>
      <w:tr>
        <w:tc>
          <w:tcPr>
            <w:tcW w:type="dxa" w:w="1930"/>
          </w:tcPr>
          <w:p>
            <w:pPr>
              <w:spacing w:after="40"/>
            </w:pPr>
            <w:r/>
            <w:r>
              <w:rPr>
                <w:rFonts w:ascii="Inter" w:hAnsi="Inter" w:cs="Inter"/>
                <w:b/>
                <w:i w:val="0"/>
                <w:color w:val="1C1E2E"/>
                <w:sz w:val="19"/>
              </w:rPr>
              <w:t>1</w:t>
            </w:r>
          </w:p>
        </w:tc>
        <w:tc>
          <w:tcPr>
            <w:tcW w:type="dxa" w:w="1930"/>
          </w:tcPr>
          <w:p>
            <w:pPr>
              <w:spacing w:after="40"/>
            </w:pPr>
            <w:r/>
            <w:r>
              <w:rPr>
                <w:rFonts w:ascii="Inter" w:hAnsi="Inter" w:cs="Inter"/>
                <w:b/>
                <w:i w:val="0"/>
                <w:color w:val="1C1E2E"/>
                <w:sz w:val="19"/>
              </w:rPr>
              <w:t>Voice rubric</w:t>
            </w:r>
            <w:r>
              <w:rPr>
                <w:rFonts w:ascii="Inter" w:hAnsi="Inter" w:cs="Inter"/>
                <w:b w:val="0"/>
                <w:i w:val="0"/>
                <w:color w:val="1C1E2E"/>
                <w:sz w:val="19"/>
              </w:rPr>
              <w:t xml:space="preserve"> </w:t>
            </w:r>
            <w:r>
              <w:rPr>
                <w:rFonts w:ascii="Inter" w:hAnsi="Inter" w:cs="Inter"/>
                <w:b w:val="0"/>
                <w:i/>
                <w:color w:val="1C1E2E"/>
                <w:sz w:val="19"/>
              </w:rPr>
              <w:t>(measurable today)</w:t>
            </w:r>
          </w:p>
        </w:tc>
        <w:tc>
          <w:tcPr>
            <w:tcW w:type="dxa" w:w="1930"/>
          </w:tcPr>
          <w:p>
            <w:pPr>
              <w:spacing w:after="40"/>
            </w:pPr>
            <w:r/>
            <w:r>
              <w:rPr>
                <w:rFonts w:ascii="Consolas" w:hAnsi="Consolas" w:cs="Consolas"/>
                <w:b w:val="0"/>
                <w:i w:val="0"/>
                <w:color w:val="5B5F77"/>
                <w:sz w:val="18"/>
              </w:rPr>
              <w:t>grammar_accuracy</w:t>
            </w:r>
            <w:r>
              <w:rPr>
                <w:rFonts w:ascii="Inter" w:hAnsi="Inter" w:cs="Inter"/>
                <w:b w:val="0"/>
                <w:i w:val="0"/>
                <w:color w:val="1C1E2E"/>
                <w:sz w:val="19"/>
              </w:rPr>
              <w:t xml:space="preserve"> · </w:t>
            </w:r>
            <w:r>
              <w:rPr>
                <w:rFonts w:ascii="Consolas" w:hAnsi="Consolas" w:cs="Consolas"/>
                <w:b w:val="0"/>
                <w:i w:val="0"/>
                <w:color w:val="5B5F77"/>
                <w:sz w:val="18"/>
              </w:rPr>
              <w:t>vocabulary_range</w:t>
            </w:r>
            <w:r>
              <w:rPr>
                <w:rFonts w:ascii="Inter" w:hAnsi="Inter" w:cs="Inter"/>
                <w:b w:val="0"/>
                <w:i w:val="0"/>
                <w:color w:val="1C1E2E"/>
                <w:sz w:val="19"/>
              </w:rPr>
              <w:t xml:space="preserve"> · </w:t>
            </w:r>
            <w:r>
              <w:rPr>
                <w:rFonts w:ascii="Consolas" w:hAnsi="Consolas" w:cs="Consolas"/>
                <w:b w:val="0"/>
                <w:i w:val="0"/>
                <w:color w:val="5B5F77"/>
                <w:sz w:val="18"/>
              </w:rPr>
              <w:t>discourse_management</w:t>
            </w:r>
            <w:r>
              <w:rPr>
                <w:rFonts w:ascii="Inter" w:hAnsi="Inter" w:cs="Inter"/>
                <w:b w:val="0"/>
                <w:i w:val="0"/>
                <w:color w:val="1C1E2E"/>
                <w:sz w:val="19"/>
              </w:rPr>
              <w:t xml:space="preserve"> · </w:t>
            </w:r>
            <w:r>
              <w:rPr>
                <w:rFonts w:ascii="Consolas" w:hAnsi="Consolas" w:cs="Consolas"/>
                <w:b w:val="0"/>
                <w:i w:val="0"/>
                <w:color w:val="5B5F77"/>
                <w:sz w:val="18"/>
              </w:rPr>
              <w:t>interaction</w:t>
            </w:r>
            <w:r>
              <w:rPr>
                <w:rFonts w:ascii="Inter" w:hAnsi="Inter" w:cs="Inter"/>
                <w:b w:val="0"/>
                <w:i w:val="0"/>
                <w:color w:val="1C1E2E"/>
                <w:sz w:val="19"/>
              </w:rPr>
              <w:t xml:space="preserve"> · </w:t>
            </w:r>
            <w:r>
              <w:rPr>
                <w:rFonts w:ascii="Consolas" w:hAnsi="Consolas" w:cs="Consolas"/>
                <w:b w:val="0"/>
                <w:i w:val="0"/>
                <w:color w:val="5B5F77"/>
                <w:sz w:val="18"/>
              </w:rPr>
              <w:t>global_achievement</w:t>
            </w:r>
          </w:p>
        </w:tc>
        <w:tc>
          <w:tcPr>
            <w:tcW w:type="dxa" w:w="1930"/>
          </w:tcPr>
          <w:p>
            <w:pPr>
              <w:spacing w:after="40"/>
            </w:pPr>
            <w:r/>
            <w:r>
              <w:rPr>
                <w:rFonts w:ascii="Inter" w:hAnsi="Inter" w:cs="Inter"/>
                <w:b w:val="0"/>
                <w:i w:val="0"/>
                <w:color w:val="1C1E2E"/>
                <w:sz w:val="19"/>
              </w:rPr>
              <w:t xml:space="preserve">Rubric-judge over the </w:t>
            </w:r>
            <w:r>
              <w:rPr>
                <w:rFonts w:ascii="Inter" w:hAnsi="Inter" w:cs="Inter"/>
                <w:b/>
                <w:i w:val="0"/>
                <w:color w:val="1C1E2E"/>
                <w:sz w:val="19"/>
              </w:rPr>
              <w:t>ASR transcript</w:t>
            </w:r>
            <w:r>
              <w:rPr>
                <w:rFonts w:ascii="Inter" w:hAnsi="Inter" w:cs="Inter"/>
                <w:b w:val="0"/>
                <w:i w:val="0"/>
                <w:color w:val="1C1E2E"/>
                <w:sz w:val="19"/>
              </w:rPr>
              <w:t xml:space="preserve">. </w:t>
            </w:r>
            <w:r>
              <w:rPr>
                <w:rFonts w:ascii="Inter" w:hAnsi="Inter" w:cs="Inter"/>
                <w:b/>
                <w:i w:val="0"/>
                <w:color w:val="1C1E2E"/>
                <w:sz w:val="19"/>
              </w:rPr>
              <w:t>Does not measure pronunciation.</w:t>
            </w:r>
          </w:p>
        </w:tc>
        <w:tc>
          <w:tcPr>
            <w:tcW w:type="dxa" w:w="1930"/>
          </w:tcPr>
          <w:p>
            <w:pPr>
              <w:spacing w:after="40"/>
            </w:pPr>
            <w:r/>
            <w:r>
              <w:rPr>
                <w:rFonts w:ascii="Inter" w:hAnsi="Inter" w:cs="Inter"/>
                <w:b/>
                <w:i w:val="0"/>
                <w:color w:val="1C1E2E"/>
                <w:sz w:val="19"/>
              </w:rPr>
              <w:t>In production</w:t>
            </w:r>
            <w:r>
              <w:rPr>
                <w:rFonts w:ascii="Inter" w:hAnsi="Inter" w:cs="Inter"/>
                <w:b w:val="0"/>
                <w:i w:val="0"/>
                <w:color w:val="1C1E2E"/>
                <w:sz w:val="19"/>
              </w:rPr>
              <w:t>, verified against a live LRS</w:t>
            </w:r>
          </w:p>
        </w:tc>
      </w:tr>
      <w:tr>
        <w:tc>
          <w:tcPr>
            <w:tcW w:type="dxa" w:w="1930"/>
          </w:tcPr>
          <w:p>
            <w:pPr>
              <w:spacing w:after="40"/>
            </w:pPr>
            <w:r/>
            <w:r>
              <w:rPr>
                <w:rFonts w:ascii="Inter" w:hAnsi="Inter" w:cs="Inter"/>
                <w:b/>
                <w:i w:val="0"/>
                <w:color w:val="1C1E2E"/>
                <w:sz w:val="19"/>
              </w:rPr>
              <w:t>2</w:t>
            </w:r>
          </w:p>
        </w:tc>
        <w:tc>
          <w:tcPr>
            <w:tcW w:type="dxa" w:w="1930"/>
          </w:tcPr>
          <w:p>
            <w:pPr>
              <w:spacing w:after="40"/>
            </w:pPr>
            <w:r/>
            <w:r>
              <w:rPr>
                <w:rFonts w:ascii="Inter" w:hAnsi="Inter" w:cs="Inter"/>
                <w:b/>
                <w:i w:val="0"/>
                <w:color w:val="1C1E2E"/>
                <w:sz w:val="19"/>
              </w:rPr>
              <w:t>Instrumented</w:t>
            </w:r>
          </w:p>
        </w:tc>
        <w:tc>
          <w:tcPr>
            <w:tcW w:type="dxa" w:w="1930"/>
          </w:tcPr>
          <w:p>
            <w:pPr>
              <w:spacing w:after="40"/>
            </w:pPr>
            <w:r/>
            <w:r>
              <w:rPr>
                <w:rFonts w:ascii="Inter" w:hAnsi="Inter" w:cs="Inter"/>
                <w:b/>
                <w:i w:val="0"/>
                <w:color w:val="1C1E2E"/>
                <w:sz w:val="19"/>
              </w:rPr>
              <w:t>Pronunciation</w:t>
            </w:r>
            <w:r>
              <w:rPr>
                <w:rFonts w:ascii="Inter" w:hAnsi="Inter" w:cs="Inter"/>
                <w:b w:val="0"/>
                <w:i w:val="0"/>
                <w:color w:val="1C1E2E"/>
                <w:sz w:val="19"/>
              </w:rPr>
              <w:t xml:space="preserve"> at word and utterance level: intelligibility and appropriacy</w:t>
            </w:r>
          </w:p>
        </w:tc>
        <w:tc>
          <w:tcPr>
            <w:tcW w:type="dxa" w:w="1930"/>
          </w:tcPr>
          <w:p>
            <w:pPr>
              <w:spacing w:after="40"/>
            </w:pPr>
            <w:r/>
            <w:r>
              <w:rPr>
                <w:rFonts w:ascii="Inter" w:hAnsi="Inter" w:cs="Inter"/>
                <w:b w:val="0"/>
                <w:i w:val="0"/>
                <w:color w:val="1C1E2E"/>
                <w:sz w:val="19"/>
              </w:rPr>
              <w:t>Vendor pronunciation assessment (GOP-style acoustic scoring)</w:t>
            </w:r>
          </w:p>
        </w:tc>
        <w:tc>
          <w:tcPr>
            <w:tcW w:type="dxa" w:w="1930"/>
          </w:tcPr>
          <w:p>
            <w:pPr>
              <w:spacing w:after="40"/>
            </w:pPr>
            <w:r/>
            <w:r>
              <w:rPr>
                <w:rFonts w:ascii="Inter" w:hAnsi="Inter" w:cs="Inter"/>
                <w:b/>
                <w:i w:val="0"/>
                <w:color w:val="1C1E2E"/>
                <w:sz w:val="19"/>
              </w:rPr>
              <w:t>Planned</w:t>
            </w:r>
            <w:r>
              <w:rPr>
                <w:rFonts w:ascii="Inter" w:hAnsi="Inter" w:cs="Inter"/>
                <w:b w:val="0"/>
                <w:i w:val="0"/>
                <w:color w:val="1C1E2E"/>
                <w:sz w:val="19"/>
              </w:rPr>
              <w:t xml:space="preserve"> — acoustic layer</w:t>
            </w:r>
          </w:p>
        </w:tc>
      </w:tr>
      <w:tr>
        <w:tc>
          <w:tcPr>
            <w:tcW w:type="dxa" w:w="1930"/>
          </w:tcPr>
          <w:p>
            <w:pPr>
              <w:spacing w:after="40"/>
            </w:pPr>
            <w:r/>
            <w:r>
              <w:rPr>
                <w:rFonts w:ascii="Inter" w:hAnsi="Inter" w:cs="Inter"/>
                <w:b/>
                <w:i w:val="0"/>
                <w:color w:val="1C1E2E"/>
                <w:sz w:val="19"/>
              </w:rPr>
              <w:t>3</w:t>
            </w:r>
          </w:p>
        </w:tc>
        <w:tc>
          <w:tcPr>
            <w:tcW w:type="dxa" w:w="1930"/>
          </w:tcPr>
          <w:p>
            <w:pPr>
              <w:spacing w:after="40"/>
            </w:pPr>
            <w:r/>
            <w:r>
              <w:rPr>
                <w:rFonts w:ascii="Inter" w:hAnsi="Inter" w:cs="Inter"/>
                <w:b/>
                <w:i w:val="0"/>
                <w:color w:val="1C1E2E"/>
                <w:sz w:val="19"/>
              </w:rPr>
              <w:t>Custom GOP</w:t>
            </w:r>
            <w:r>
              <w:rPr>
                <w:rFonts w:ascii="Inter" w:hAnsi="Inter" w:cs="Inter"/>
                <w:b w:val="0"/>
                <w:i w:val="0"/>
                <w:color w:val="1C1E2E"/>
                <w:sz w:val="19"/>
              </w:rPr>
              <w:t xml:space="preserve"> </w:t>
            </w:r>
            <w:r>
              <w:rPr>
                <w:rFonts w:ascii="Inter" w:hAnsi="Inter" w:cs="Inter"/>
                <w:b w:val="0"/>
                <w:i/>
                <w:color w:val="1C1E2E"/>
                <w:sz w:val="19"/>
              </w:rPr>
              <w:t>(research)</w:t>
            </w:r>
          </w:p>
        </w:tc>
        <w:tc>
          <w:tcPr>
            <w:tcW w:type="dxa" w:w="1930"/>
          </w:tcPr>
          <w:p>
            <w:pPr>
              <w:spacing w:after="40"/>
            </w:pPr>
            <w:r/>
            <w:r>
              <w:rPr>
                <w:rFonts w:ascii="Inter" w:hAnsi="Inter" w:cs="Inter"/>
                <w:b/>
                <w:i w:val="0"/>
                <w:color w:val="1C1E2E"/>
                <w:sz w:val="19"/>
              </w:rPr>
              <w:t>Phonemic pronunciation</w:t>
            </w:r>
            <w:r>
              <w:rPr>
                <w:rFonts w:ascii="Inter" w:hAnsi="Inter" w:cs="Inter"/>
                <w:b w:val="0"/>
                <w:i w:val="0"/>
                <w:color w:val="1C1E2E"/>
                <w:sz w:val="19"/>
              </w:rPr>
              <w:t>: target features per level, accepted variants</w:t>
            </w:r>
          </w:p>
        </w:tc>
        <w:tc>
          <w:tcPr>
            <w:tcW w:type="dxa" w:w="1930"/>
          </w:tcPr>
          <w:p>
            <w:pPr>
              <w:spacing w:after="40"/>
            </w:pPr>
            <w:r/>
            <w:r>
              <w:rPr>
                <w:rFonts w:ascii="Inter" w:hAnsi="Inter" w:cs="Inter"/>
                <w:b/>
                <w:i w:val="0"/>
                <w:color w:val="1C1E2E"/>
                <w:sz w:val="19"/>
              </w:rPr>
              <w:t>IPA inventory</w:t>
            </w:r>
            <w:r>
              <w:rPr>
                <w:rFonts w:ascii="Inter" w:hAnsi="Inter" w:cs="Inter"/>
                <w:b w:val="0"/>
                <w:i w:val="0"/>
                <w:color w:val="1C1E2E"/>
                <w:sz w:val="19"/>
              </w:rPr>
              <w:t xml:space="preserve"> per level + bespoke acoustic engineering (Witt &amp; Young, 2000)</w:t>
            </w:r>
          </w:p>
        </w:tc>
        <w:tc>
          <w:tcPr>
            <w:tcW w:type="dxa" w:w="1930"/>
          </w:tcPr>
          <w:p>
            <w:pPr>
              <w:spacing w:after="40"/>
            </w:pPr>
            <w:r/>
            <w:r>
              <w:rPr>
                <w:rFonts w:ascii="Inter" w:hAnsi="Inter" w:cs="Inter"/>
                <w:b/>
                <w:i w:val="0"/>
                <w:color w:val="1C1E2E"/>
                <w:sz w:val="19"/>
              </w:rPr>
              <w:t>Research</w:t>
            </w:r>
            <w:r>
              <w:rPr>
                <w:rFonts w:ascii="Inter" w:hAnsi="Inter" w:cs="Inter"/>
                <w:b w:val="0"/>
                <w:i w:val="0"/>
                <w:color w:val="1C1E2E"/>
                <w:sz w:val="19"/>
              </w:rPr>
              <w:t xml:space="preserve"> — the thesis's deep contribution</w:t>
            </w:r>
          </w:p>
        </w:tc>
      </w:tr>
    </w:tbl>
    <w:p/>
    <w:p>
      <w:r>
        <w:rPr>
          <w:rFonts w:ascii="Inter" w:hAnsi="Inter" w:cs="Inter"/>
          <w:b/>
          <w:i w:val="0"/>
          <w:color w:val="1C1E2E"/>
          <w:sz w:val="22"/>
        </w:rPr>
        <w:t>Cross-cutting rules.</w:t>
      </w:r>
      <w:r>
        <w:rPr>
          <w:rFonts w:ascii="Inter" w:hAnsi="Inter" w:cs="Inter"/>
          <w:b w:val="0"/>
          <w:i w:val="0"/>
          <w:color w:val="1C1E2E"/>
          <w:sz w:val="22"/>
        </w:rPr>
        <w:t xml:space="preserve"> </w:t>
      </w:r>
      <w:r>
        <w:rPr>
          <w:rFonts w:ascii="Inter" w:hAnsi="Inter" w:cs="Inter"/>
          <w:b w:val="0"/>
          <w:i/>
          <w:color w:val="1C1E2E"/>
          <w:sz w:val="22"/>
        </w:rPr>
        <w:t>(i)</w:t>
      </w:r>
      <w:r>
        <w:rPr>
          <w:rFonts w:ascii="Inter" w:hAnsi="Inter" w:cs="Inter"/>
          <w:b w:val="0"/>
          <w:i w:val="0"/>
          <w:color w:val="1C1E2E"/>
          <w:sz w:val="22"/>
        </w:rPr>
        <w:t xml:space="preserve"> A report </w:t>
      </w:r>
      <w:r>
        <w:rPr>
          <w:rFonts w:ascii="Inter" w:hAnsi="Inter" w:cs="Inter"/>
          <w:b/>
          <w:i w:val="0"/>
          <w:color w:val="1C1E2E"/>
          <w:sz w:val="22"/>
        </w:rPr>
        <w:t>declares the tier</w:t>
      </w:r>
      <w:r>
        <w:rPr>
          <w:rFonts w:ascii="Inter" w:hAnsi="Inter" w:cs="Inter"/>
          <w:b w:val="0"/>
          <w:i w:val="0"/>
          <w:color w:val="1C1E2E"/>
          <w:sz w:val="22"/>
        </w:rPr>
        <w:t xml:space="preserve"> of each claim and never asserts the precision of a higher tier; where a skill has no anchored metric it shows </w:t>
      </w:r>
      <w:r>
        <w:rPr>
          <w:rFonts w:ascii="Inter" w:hAnsi="Inter" w:cs="Inter"/>
          <w:b/>
          <w:i w:val="0"/>
          <w:color w:val="1C1E2E"/>
          <w:sz w:val="22"/>
        </w:rPr>
        <w:t>"—"</w:t>
      </w:r>
      <w:r>
        <w:rPr>
          <w:rFonts w:ascii="Inter" w:hAnsi="Inter" w:cs="Inter"/>
          <w:b w:val="0"/>
          <w:i w:val="0"/>
          <w:color w:val="1C1E2E"/>
          <w:sz w:val="22"/>
        </w:rPr>
        <w:t xml:space="preserve">, never a value (today: pronunciation = "—" until Tier 2). </w:t>
      </w:r>
      <w:r>
        <w:rPr>
          <w:rFonts w:ascii="Inter" w:hAnsi="Inter" w:cs="Inter"/>
          <w:b w:val="0"/>
          <w:i/>
          <w:color w:val="1C1E2E"/>
          <w:sz w:val="22"/>
        </w:rPr>
        <w:t>(ii)</w:t>
      </w:r>
      <w:r>
        <w:rPr>
          <w:rFonts w:ascii="Inter" w:hAnsi="Inter" w:cs="Inter"/>
          <w:b w:val="0"/>
          <w:i w:val="0"/>
          <w:color w:val="1C1E2E"/>
          <w:sz w:val="22"/>
        </w:rPr>
        <w:t xml:space="preserve"> </w:t>
      </w:r>
      <w:r>
        <w:rPr>
          <w:rFonts w:ascii="Inter" w:hAnsi="Inter" w:cs="Inter"/>
          <w:b/>
          <w:i w:val="0"/>
          <w:color w:val="1C1E2E"/>
          <w:sz w:val="22"/>
        </w:rPr>
        <w:t>Intelligibility, not native accent</w:t>
      </w:r>
      <w:r>
        <w:rPr>
          <w:rFonts w:ascii="Inter" w:hAnsi="Inter" w:cs="Inter"/>
          <w:b w:val="0"/>
          <w:i w:val="0"/>
          <w:color w:val="1C1E2E"/>
          <w:sz w:val="22"/>
        </w:rPr>
        <w:t xml:space="preserve">: accepted variants never lower a score. </w:t>
      </w:r>
      <w:r>
        <w:rPr>
          <w:rFonts w:ascii="Inter" w:hAnsi="Inter" w:cs="Inter"/>
          <w:b w:val="0"/>
          <w:i/>
          <w:color w:val="1C1E2E"/>
          <w:sz w:val="22"/>
        </w:rPr>
        <w:t>(iii)</w:t>
      </w:r>
      <w:r>
        <w:rPr>
          <w:rFonts w:ascii="Inter" w:hAnsi="Inter" w:cs="Inter"/>
          <w:b w:val="0"/>
          <w:i w:val="0"/>
          <w:color w:val="1C1E2E"/>
          <w:sz w:val="22"/>
        </w:rPr>
        <w:t xml:space="preserve"> </w:t>
      </w:r>
      <w:r>
        <w:rPr>
          <w:rFonts w:ascii="Inter" w:hAnsi="Inter" w:cs="Inter"/>
          <w:b/>
          <w:i w:val="0"/>
          <w:color w:val="1C1E2E"/>
          <w:sz w:val="22"/>
        </w:rPr>
        <w:t>Incremental gain</w:t>
      </w:r>
      <w:r>
        <w:rPr>
          <w:rFonts w:ascii="Inter" w:hAnsi="Inter" w:cs="Inter"/>
          <w:b w:val="0"/>
          <w:i w:val="0"/>
          <w:color w:val="1C1E2E"/>
          <w:sz w:val="22"/>
        </w:rPr>
        <w:t xml:space="preserve">: each tier adds signal without breaking the previous ones. </w:t>
      </w:r>
      <w:r>
        <w:rPr>
          <w:rFonts w:ascii="Inter" w:hAnsi="Inter" w:cs="Inter"/>
          <w:b w:val="0"/>
          <w:i/>
          <w:color w:val="1C1E2E"/>
          <w:sz w:val="22"/>
        </w:rPr>
        <w:t>(iv)</w:t>
      </w:r>
      <w:r>
        <w:rPr>
          <w:rFonts w:ascii="Inter" w:hAnsi="Inter" w:cs="Inter"/>
          <w:b w:val="0"/>
          <w:i w:val="0"/>
          <w:color w:val="1C1E2E"/>
          <w:sz w:val="22"/>
        </w:rPr>
        <w:t xml:space="preserve"> </w:t>
      </w:r>
      <w:r>
        <w:rPr>
          <w:rFonts w:ascii="Inter" w:hAnsi="Inter" w:cs="Inter"/>
          <w:b/>
          <w:i w:val="0"/>
          <w:color w:val="1C1E2E"/>
          <w:sz w:val="22"/>
        </w:rPr>
        <w:t>Comparability</w:t>
      </w:r>
      <w:r>
        <w:rPr>
          <w:rFonts w:ascii="Inter" w:hAnsi="Inter" w:cs="Inter"/>
          <w:b w:val="0"/>
          <w:i w:val="0"/>
          <w:color w:val="1C1E2E"/>
          <w:sz w:val="22"/>
        </w:rPr>
        <w:t xml:space="preserve">: each session declares its </w:t>
      </w:r>
      <w:r>
        <w:rPr>
          <w:rFonts w:ascii="Consolas" w:hAnsi="Consolas" w:cs="Consolas"/>
          <w:b w:val="0"/>
          <w:i w:val="0"/>
          <w:color w:val="5B5F77"/>
          <w:sz w:val="21"/>
        </w:rPr>
        <w:t>measure_model</w:t>
      </w:r>
      <w:r>
        <w:rPr>
          <w:rFonts w:ascii="Inter" w:hAnsi="Inter" w:cs="Inter"/>
          <w:b w:val="0"/>
          <w:i w:val="0"/>
          <w:color w:val="1C1E2E"/>
          <w:sz w:val="22"/>
        </w:rPr>
        <w:t>, so sessions from different tiers or models are never mixed.</w:t>
      </w:r>
    </w:p>
    <w:p>
      <w:pPr>
        <w:pBdr>
          <w:bottom w:val="single" w:sz="6" w:space="1" w:color="E6E8F2"/>
        </w:pBdr>
      </w:pPr>
    </w:p>
    <w:p>
      <w:pPr>
        <w:spacing w:before="320" w:after="120"/>
      </w:pPr>
      <w:r>
        <w:rPr>
          <w:rFonts w:ascii="Fraunces" w:hAnsi="Fraunces" w:cs="Fraunces"/>
          <w:b/>
          <w:i w:val="0"/>
          <w:color w:val="22307C"/>
          <w:sz w:val="32"/>
        </w:rPr>
        <w:t>5. Research questions, objectives and hypotheses</w:t>
      </w:r>
    </w:p>
    <w:p>
      <w:pPr>
        <w:spacing w:before="240" w:after="120"/>
      </w:pPr>
      <w:r>
        <w:rPr>
          <w:rFonts w:ascii="Inter" w:hAnsi="Inter" w:cs="Inter"/>
          <w:b/>
          <w:i w:val="0"/>
          <w:color w:val="1C1E2E"/>
          <w:sz w:val="26"/>
        </w:rPr>
        <w:t>5.1 Questions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w:t>
            </w:r>
          </w:p>
        </w:tc>
        <w:tc>
          <w:tcPr>
            <w:tcW w:type="dxa" w:w="3216"/>
            <w:shd w:val="clear" w:color="auto" w:fill="EEF2FD"/>
          </w:tcPr>
          <w:p>
            <w:pPr>
              <w:spacing w:after="40"/>
            </w:pPr>
            <w:r/>
            <w:r>
              <w:rPr>
                <w:rFonts w:ascii="Inter" w:hAnsi="Inter" w:cs="Inter"/>
                <w:b/>
                <w:i w:val="0"/>
                <w:color w:val="22307C"/>
                <w:sz w:val="19"/>
              </w:rPr>
              <w:t>Question</w:t>
            </w:r>
          </w:p>
        </w:tc>
        <w:tc>
          <w:tcPr>
            <w:tcW w:type="dxa" w:w="3216"/>
            <w:shd w:val="clear" w:color="auto" w:fill="EEF2FD"/>
          </w:tcPr>
          <w:p>
            <w:pPr>
              <w:spacing w:after="40"/>
            </w:pPr>
            <w:r/>
            <w:r>
              <w:rPr>
                <w:rFonts w:ascii="Inter" w:hAnsi="Inter" w:cs="Inter"/>
                <w:b/>
                <w:i w:val="0"/>
                <w:color w:val="22307C"/>
                <w:sz w:val="19"/>
              </w:rPr>
              <w:t>Cycle</w:t>
            </w:r>
          </w:p>
        </w:tc>
      </w:tr>
      <w:tr>
        <w:tc>
          <w:tcPr>
            <w:tcW w:type="dxa" w:w="3216"/>
          </w:tcPr>
          <w:p>
            <w:pPr>
              <w:spacing w:after="40"/>
            </w:pPr>
            <w:r/>
            <w:r>
              <w:rPr>
                <w:rFonts w:ascii="Inter" w:hAnsi="Inter" w:cs="Inter"/>
                <w:b/>
                <w:i w:val="0"/>
                <w:color w:val="1C1E2E"/>
                <w:sz w:val="19"/>
              </w:rPr>
              <w:t>RQ1 · Validity</w:t>
            </w:r>
          </w:p>
        </w:tc>
        <w:tc>
          <w:tcPr>
            <w:tcW w:type="dxa" w:w="3216"/>
          </w:tcPr>
          <w:p>
            <w:pPr>
              <w:spacing w:after="40"/>
            </w:pPr>
            <w:r/>
            <w:r>
              <w:rPr>
                <w:rFonts w:ascii="Inter" w:hAnsi="Inter" w:cs="Inter"/>
                <w:b w:val="0"/>
                <w:i w:val="0"/>
                <w:color w:val="1C1E2E"/>
                <w:sz w:val="19"/>
              </w:rPr>
              <w:t xml:space="preserve">Does a CEFR rubric applied by an LLM over an ASR transcript (Tier 1) produce </w:t>
            </w:r>
            <w:r>
              <w:rPr>
                <w:rFonts w:ascii="Inter" w:hAnsi="Inter" w:cs="Inter"/>
                <w:b/>
                <w:i w:val="0"/>
                <w:color w:val="1C1E2E"/>
                <w:sz w:val="19"/>
              </w:rPr>
              <w:t>reliable and stable</w:t>
            </w:r>
            <w:r>
              <w:rPr>
                <w:rFonts w:ascii="Inter" w:hAnsi="Inter" w:cs="Inter"/>
                <w:b w:val="0"/>
                <w:i w:val="0"/>
                <w:color w:val="1C1E2E"/>
                <w:sz w:val="19"/>
              </w:rPr>
              <w:t xml:space="preserve"> bands against expert human assessment? Does it vary with model size?</w:t>
            </w:r>
          </w:p>
        </w:tc>
        <w:tc>
          <w:tcPr>
            <w:tcW w:type="dxa" w:w="3216"/>
          </w:tcPr>
          <w:p>
            <w:pPr>
              <w:spacing w:after="40"/>
            </w:pPr>
            <w:r/>
            <w:r>
              <w:rPr>
                <w:rFonts w:ascii="Inter" w:hAnsi="Inter" w:cs="Inter"/>
                <w:b w:val="0"/>
                <w:i w:val="0"/>
                <w:color w:val="1C1E2E"/>
                <w:sz w:val="19"/>
              </w:rPr>
              <w:t>C1</w:t>
            </w:r>
          </w:p>
        </w:tc>
      </w:tr>
      <w:tr>
        <w:tc>
          <w:tcPr>
            <w:tcW w:type="dxa" w:w="3216"/>
          </w:tcPr>
          <w:p>
            <w:pPr>
              <w:spacing w:after="40"/>
            </w:pPr>
            <w:r/>
            <w:r>
              <w:rPr>
                <w:rFonts w:ascii="Inter" w:hAnsi="Inter" w:cs="Inter"/>
                <w:b/>
                <w:i w:val="0"/>
                <w:color w:val="1C1E2E"/>
                <w:sz w:val="19"/>
              </w:rPr>
              <w:t>RQ2 · Honesty as method</w:t>
            </w:r>
          </w:p>
        </w:tc>
        <w:tc>
          <w:tcPr>
            <w:tcW w:type="dxa" w:w="3216"/>
          </w:tcPr>
          <w:p>
            <w:pPr>
              <w:spacing w:after="40"/>
            </w:pPr>
            <w:r/>
            <w:r>
              <w:rPr>
                <w:rFonts w:ascii="Inter" w:hAnsi="Inter" w:cs="Inter"/>
                <w:b w:val="0"/>
                <w:i w:val="0"/>
                <w:color w:val="1C1E2E"/>
                <w:sz w:val="19"/>
              </w:rPr>
              <w:t xml:space="preserve">Does </w:t>
            </w:r>
            <w:r>
              <w:rPr>
                <w:rFonts w:ascii="Inter" w:hAnsi="Inter" w:cs="Inter"/>
                <w:b/>
                <w:i w:val="0"/>
                <w:color w:val="1C1E2E"/>
                <w:sz w:val="19"/>
              </w:rPr>
              <w:t>unifying all surfaces on a single source of truth</w:t>
            </w:r>
            <w:r>
              <w:rPr>
                <w:rFonts w:ascii="Inter" w:hAnsi="Inter" w:cs="Inter"/>
                <w:b w:val="0"/>
                <w:i w:val="0"/>
                <w:color w:val="1C1E2E"/>
                <w:sz w:val="19"/>
              </w:rPr>
              <w:t xml:space="preserve"> (the LRS) work as an anti-hallucination test — if every screen agrees, does the margin hold?</w:t>
            </w:r>
          </w:p>
        </w:tc>
        <w:tc>
          <w:tcPr>
            <w:tcW w:type="dxa" w:w="3216"/>
          </w:tcPr>
          <w:p>
            <w:pPr>
              <w:spacing w:after="40"/>
            </w:pPr>
            <w:r/>
            <w:r>
              <w:rPr>
                <w:rFonts w:ascii="Inter" w:hAnsi="Inter" w:cs="Inter"/>
                <w:b w:val="0"/>
                <w:i w:val="0"/>
                <w:color w:val="1C1E2E"/>
                <w:sz w:val="19"/>
              </w:rPr>
              <w:t>C1–C2</w:t>
            </w:r>
          </w:p>
        </w:tc>
      </w:tr>
      <w:tr>
        <w:tc>
          <w:tcPr>
            <w:tcW w:type="dxa" w:w="3216"/>
          </w:tcPr>
          <w:p>
            <w:pPr>
              <w:spacing w:after="40"/>
            </w:pPr>
            <w:r/>
            <w:r>
              <w:rPr>
                <w:rFonts w:ascii="Inter" w:hAnsi="Inter" w:cs="Inter"/>
                <w:b/>
                <w:i w:val="0"/>
                <w:color w:val="1C1E2E"/>
                <w:sz w:val="19"/>
              </w:rPr>
              <w:t>RQ3 · Feedback</w:t>
            </w:r>
          </w:p>
        </w:tc>
        <w:tc>
          <w:tcPr>
            <w:tcW w:type="dxa" w:w="3216"/>
          </w:tcPr>
          <w:p>
            <w:pPr>
              <w:spacing w:after="40"/>
            </w:pPr>
            <w:r/>
            <w:r>
              <w:rPr>
                <w:rFonts w:ascii="Inter" w:hAnsi="Inter" w:cs="Inter"/>
                <w:b w:val="0"/>
                <w:i w:val="0"/>
                <w:color w:val="1C1E2E"/>
                <w:sz w:val="19"/>
              </w:rPr>
              <w:t xml:space="preserve">Does the </w:t>
            </w:r>
            <w:r>
              <w:rPr>
                <w:rFonts w:ascii="Inter" w:hAnsi="Inter" w:cs="Inter"/>
                <w:b/>
                <w:i w:val="0"/>
                <w:color w:val="1C1E2E"/>
                <w:sz w:val="19"/>
              </w:rPr>
              <w:t>noticing scale</w:t>
            </w:r>
            <w:r>
              <w:rPr>
                <w:rFonts w:ascii="Inter" w:hAnsi="Inter" w:cs="Inter"/>
                <w:b w:val="0"/>
                <w:i w:val="0"/>
                <w:color w:val="1C1E2E"/>
                <w:sz w:val="19"/>
              </w:rPr>
              <w:t xml:space="preserve"> — dosing salience by level — improve </w:t>
            </w:r>
            <w:r>
              <w:rPr>
                <w:rFonts w:ascii="Inter" w:hAnsi="Inter" w:cs="Inter"/>
                <w:b/>
                <w:i w:val="0"/>
                <w:color w:val="1C1E2E"/>
                <w:sz w:val="19"/>
              </w:rPr>
              <w:t>*uptake</w:t>
            </w:r>
            <w:r>
              <w:rPr>
                <w:rFonts w:ascii="Inter" w:hAnsi="Inter" w:cs="Inter"/>
                <w:b w:val="0"/>
                <w:i w:val="0"/>
                <w:color w:val="1C1E2E"/>
                <w:sz w:val="19"/>
              </w:rPr>
              <w:t>* (self-repair at B2+, form registration at A2–B1) without raising the affective filter?</w:t>
            </w:r>
          </w:p>
        </w:tc>
        <w:tc>
          <w:tcPr>
            <w:tcW w:type="dxa" w:w="3216"/>
          </w:tcPr>
          <w:p>
            <w:pPr>
              <w:spacing w:after="40"/>
            </w:pPr>
            <w:r/>
            <w:r>
              <w:rPr>
                <w:rFonts w:ascii="Inter" w:hAnsi="Inter" w:cs="Inter"/>
                <w:b w:val="0"/>
                <w:i w:val="0"/>
                <w:color w:val="1C1E2E"/>
                <w:sz w:val="19"/>
              </w:rPr>
              <w:t>C2</w:t>
            </w:r>
          </w:p>
        </w:tc>
      </w:tr>
      <w:tr>
        <w:tc>
          <w:tcPr>
            <w:tcW w:type="dxa" w:w="3216"/>
          </w:tcPr>
          <w:p>
            <w:pPr>
              <w:spacing w:after="40"/>
            </w:pPr>
            <w:r/>
            <w:r>
              <w:rPr>
                <w:rFonts w:ascii="Inter" w:hAnsi="Inter" w:cs="Inter"/>
                <w:b/>
                <w:i w:val="0"/>
                <w:color w:val="1C1E2E"/>
                <w:sz w:val="19"/>
              </w:rPr>
              <w:t>RQ4 · Pronunciation by tier</w:t>
            </w:r>
          </w:p>
        </w:tc>
        <w:tc>
          <w:tcPr>
            <w:tcW w:type="dxa" w:w="3216"/>
          </w:tcPr>
          <w:p>
            <w:pPr>
              <w:spacing w:after="40"/>
            </w:pPr>
            <w:r/>
            <w:r>
              <w:rPr>
                <w:rFonts w:ascii="Inter" w:hAnsi="Inter" w:cs="Inter"/>
                <w:b w:val="0"/>
                <w:i w:val="0"/>
                <w:color w:val="1C1E2E"/>
                <w:sz w:val="19"/>
              </w:rPr>
              <w:t xml:space="preserve">What does validity gain in moving Tier 1 → 2 → 3? What is the defensible </w:t>
            </w:r>
            <w:r>
              <w:rPr>
                <w:rFonts w:ascii="Inter" w:hAnsi="Inter" w:cs="Inter"/>
                <w:b/>
                <w:i w:val="0"/>
                <w:color w:val="1C1E2E"/>
                <w:sz w:val="19"/>
              </w:rPr>
              <w:t>intelligibility floor</w:t>
            </w:r>
            <w:r>
              <w:rPr>
                <w:rFonts w:ascii="Inter" w:hAnsi="Inter" w:cs="Inter"/>
                <w:b w:val="0"/>
                <w:i w:val="0"/>
                <w:color w:val="1C1E2E"/>
                <w:sz w:val="19"/>
              </w:rPr>
              <w:t xml:space="preserve"> at each tier?</w:t>
            </w:r>
          </w:p>
        </w:tc>
        <w:tc>
          <w:tcPr>
            <w:tcW w:type="dxa" w:w="3216"/>
          </w:tcPr>
          <w:p>
            <w:pPr>
              <w:spacing w:after="40"/>
            </w:pPr>
            <w:r/>
            <w:r>
              <w:rPr>
                <w:rFonts w:ascii="Inter" w:hAnsi="Inter" w:cs="Inter"/>
                <w:b w:val="0"/>
                <w:i w:val="0"/>
                <w:color w:val="1C1E2E"/>
                <w:sz w:val="19"/>
              </w:rPr>
              <w:t>C2–C3</w:t>
            </w:r>
          </w:p>
        </w:tc>
      </w:tr>
      <w:tr>
        <w:tc>
          <w:tcPr>
            <w:tcW w:type="dxa" w:w="3216"/>
          </w:tcPr>
          <w:p>
            <w:pPr>
              <w:spacing w:after="40"/>
            </w:pPr>
            <w:r/>
            <w:r>
              <w:rPr>
                <w:rFonts w:ascii="Inter" w:hAnsi="Inter" w:cs="Inter"/>
                <w:b/>
                <w:i w:val="0"/>
                <w:color w:val="1C1E2E"/>
                <w:sz w:val="19"/>
              </w:rPr>
              <w:t>RQ5 · Modality-declared design</w:t>
            </w:r>
          </w:p>
        </w:tc>
        <w:tc>
          <w:tcPr>
            <w:tcW w:type="dxa" w:w="3216"/>
          </w:tcPr>
          <w:p>
            <w:pPr>
              <w:spacing w:after="40"/>
            </w:pPr>
            <w:r/>
            <w:r>
              <w:rPr>
                <w:rFonts w:ascii="Inter" w:hAnsi="Inter" w:cs="Inter"/>
                <w:b w:val="0"/>
                <w:i w:val="0"/>
                <w:color w:val="1C1E2E"/>
                <w:sz w:val="19"/>
              </w:rPr>
              <w:t xml:space="preserve">Does the </w:t>
            </w:r>
            <w:r>
              <w:rPr>
                <w:rFonts w:ascii="Inter" w:hAnsi="Inter" w:cs="Inter"/>
                <w:b/>
                <w:i w:val="0"/>
                <w:color w:val="1C1E2E"/>
                <w:sz w:val="19"/>
              </w:rPr>
              <w:t>declared modality profile</w:t>
            </w:r>
            <w:r>
              <w:rPr>
                <w:rFonts w:ascii="Inter" w:hAnsi="Inter" w:cs="Inter"/>
                <w:b w:val="0"/>
                <w:i w:val="0"/>
                <w:color w:val="1C1E2E"/>
                <w:sz w:val="19"/>
              </w:rPr>
              <w:t xml:space="preserve"> yield equivalent lessons across different designers starting from the same descriptor? And does the modality choice affect progression in the CEFR mode the lesson sets out to develop?</w:t>
            </w:r>
          </w:p>
        </w:tc>
        <w:tc>
          <w:tcPr>
            <w:tcW w:type="dxa" w:w="3216"/>
          </w:tcPr>
          <w:p>
            <w:pPr>
              <w:spacing w:after="40"/>
            </w:pPr>
            <w:r/>
            <w:r>
              <w:rPr>
                <w:rFonts w:ascii="Inter" w:hAnsi="Inter" w:cs="Inter"/>
                <w:b w:val="0"/>
                <w:i w:val="0"/>
                <w:color w:val="1C1E2E"/>
                <w:sz w:val="19"/>
              </w:rPr>
              <w:t>C1–C2</w:t>
            </w:r>
          </w:p>
        </w:tc>
      </w:tr>
      <w:tr>
        <w:tc>
          <w:tcPr>
            <w:tcW w:type="dxa" w:w="3216"/>
          </w:tcPr>
          <w:p>
            <w:pPr>
              <w:spacing w:after="40"/>
            </w:pPr>
            <w:r/>
            <w:r>
              <w:rPr>
                <w:rFonts w:ascii="Inter" w:hAnsi="Inter" w:cs="Inter"/>
                <w:b/>
                <w:i w:val="0"/>
                <w:color w:val="1C1E2E"/>
                <w:sz w:val="19"/>
              </w:rPr>
              <w:t>RQ6 · Replicability</w:t>
            </w:r>
          </w:p>
        </w:tc>
        <w:tc>
          <w:tcPr>
            <w:tcW w:type="dxa" w:w="3216"/>
          </w:tcPr>
          <w:p>
            <w:pPr>
              <w:spacing w:after="40"/>
            </w:pPr>
            <w:r/>
            <w:r>
              <w:rPr>
                <w:rFonts w:ascii="Inter" w:hAnsi="Inter" w:cs="Inter"/>
                <w:b w:val="0"/>
                <w:i w:val="0"/>
                <w:color w:val="1C1E2E"/>
                <w:sz w:val="19"/>
              </w:rPr>
              <w:t xml:space="preserve">Can an independent team instantiate </w:t>
            </w:r>
            <w:r>
              <w:rPr>
                <w:rFonts w:ascii="Inter" w:hAnsi="Inter" w:cs="Inter"/>
                <w:b/>
                <w:i w:val="0"/>
                <w:color w:val="1C1E2E"/>
                <w:sz w:val="19"/>
              </w:rPr>
              <w:t>both the design and the measurement engines</w:t>
            </w:r>
            <w:r>
              <w:rPr>
                <w:rFonts w:ascii="Inter" w:hAnsi="Inter" w:cs="Inter"/>
                <w:b w:val="0"/>
                <w:i w:val="0"/>
                <w:color w:val="1C1E2E"/>
                <w:sz w:val="19"/>
              </w:rPr>
              <w:t xml:space="preserve"> in a second application by </w:t>
            </w:r>
            <w:r>
              <w:rPr>
                <w:rFonts w:ascii="Inter" w:hAnsi="Inter" w:cs="Inter"/>
                <w:b/>
                <w:i w:val="0"/>
                <w:color w:val="1C1E2E"/>
                <w:sz w:val="19"/>
              </w:rPr>
              <w:t>filling a pack</w:t>
            </w:r>
            <w:r>
              <w:rPr>
                <w:rFonts w:ascii="Inter" w:hAnsi="Inter" w:cs="Inter"/>
                <w:b w:val="0"/>
                <w:i w:val="0"/>
                <w:color w:val="1C1E2E"/>
                <w:sz w:val="19"/>
              </w:rPr>
              <w:t>, without touching the engine, and obtain comparable lessons and measures?</w:t>
            </w:r>
          </w:p>
        </w:tc>
        <w:tc>
          <w:tcPr>
            <w:tcW w:type="dxa" w:w="3216"/>
          </w:tcPr>
          <w:p>
            <w:pPr>
              <w:spacing w:after="40"/>
            </w:pPr>
            <w:r/>
            <w:r>
              <w:rPr>
                <w:rFonts w:ascii="Inter" w:hAnsi="Inter" w:cs="Inter"/>
                <w:b w:val="0"/>
                <w:i w:val="0"/>
                <w:color w:val="1C1E2E"/>
                <w:sz w:val="19"/>
              </w:rPr>
              <w:t>C3</w:t>
            </w:r>
          </w:p>
        </w:tc>
      </w:tr>
    </w:tbl>
    <w:p/>
    <w:p>
      <w:pPr>
        <w:spacing w:before="240" w:after="120"/>
      </w:pPr>
      <w:r>
        <w:rPr>
          <w:rFonts w:ascii="Inter" w:hAnsi="Inter" w:cs="Inter"/>
          <w:b/>
          <w:i w:val="0"/>
          <w:color w:val="1C1E2E"/>
          <w:sz w:val="26"/>
        </w:rPr>
        <w:t>5.2 Objectives</w:t>
      </w:r>
    </w:p>
    <w:p>
      <w:pPr>
        <w:pStyle w:val="ListNumber"/>
        <w:spacing w:after="60"/>
        <w:ind w:left="403"/>
      </w:pPr>
      <w:r>
        <w:rPr>
          <w:rFonts w:ascii="Inter" w:hAnsi="Inter" w:cs="Inter"/>
          <w:b/>
          <w:i w:val="0"/>
          <w:color w:val="1C1E2E"/>
          <w:sz w:val="22"/>
        </w:rPr>
        <w:t>O1</w:t>
      </w:r>
      <w:r>
        <w:rPr>
          <w:rFonts w:ascii="Inter" w:hAnsi="Inter" w:cs="Inter"/>
          <w:b w:val="0"/>
          <w:i w:val="0"/>
          <w:color w:val="1C1E2E"/>
          <w:sz w:val="22"/>
        </w:rPr>
        <w:t xml:space="preserve"> — Formalise the MLLDE Measurement Module (principles, scale registry, pack schema, consolidator rules) into a specification third parties can verify.</w:t>
      </w:r>
    </w:p>
    <w:p>
      <w:pPr>
        <w:pStyle w:val="ListNumber"/>
        <w:spacing w:after="60"/>
        <w:ind w:left="403"/>
      </w:pPr>
      <w:r>
        <w:rPr>
          <w:rFonts w:ascii="Inter" w:hAnsi="Inter" w:cs="Inter"/>
          <w:b/>
          <w:i w:val="0"/>
          <w:color w:val="1C1E2E"/>
          <w:sz w:val="22"/>
        </w:rPr>
        <w:t>O2</w:t>
      </w:r>
      <w:r>
        <w:rPr>
          <w:rFonts w:ascii="Inter" w:hAnsi="Inter" w:cs="Inter"/>
          <w:b w:val="0"/>
          <w:i w:val="0"/>
          <w:color w:val="1C1E2E"/>
          <w:sz w:val="22"/>
        </w:rPr>
        <w:t xml:space="preserve"> — Establish </w:t>
      </w:r>
      <w:r>
        <w:rPr>
          <w:rFonts w:ascii="Inter" w:hAnsi="Inter" w:cs="Inter"/>
          <w:b/>
          <w:i w:val="0"/>
          <w:color w:val="1C1E2E"/>
          <w:sz w:val="22"/>
        </w:rPr>
        <w:t>Tier 1 validity</w:t>
      </w:r>
      <w:r>
        <w:rPr>
          <w:rFonts w:ascii="Inter" w:hAnsi="Inter" w:cs="Inter"/>
          <w:b w:val="0"/>
          <w:i w:val="0"/>
          <w:color w:val="1C1E2E"/>
          <w:sz w:val="22"/>
        </w:rPr>
        <w:t>: agreement with expert human assessment, test-retest stability, and sensitivity to model size.</w:t>
      </w:r>
    </w:p>
    <w:p>
      <w:pPr>
        <w:pStyle w:val="ListNumber"/>
        <w:spacing w:after="60"/>
        <w:ind w:left="403"/>
      </w:pPr>
      <w:r>
        <w:rPr>
          <w:rFonts w:ascii="Inter" w:hAnsi="Inter" w:cs="Inter"/>
          <w:b/>
          <w:i w:val="0"/>
          <w:color w:val="1C1E2E"/>
          <w:sz w:val="22"/>
        </w:rPr>
        <w:t>O3</w:t>
      </w:r>
      <w:r>
        <w:rPr>
          <w:rFonts w:ascii="Inter" w:hAnsi="Inter" w:cs="Inter"/>
          <w:b w:val="0"/>
          <w:i w:val="0"/>
          <w:color w:val="1C1E2E"/>
          <w:sz w:val="22"/>
        </w:rPr>
        <w:t xml:space="preserve"> — Instrument and validate </w:t>
      </w:r>
      <w:r>
        <w:rPr>
          <w:rFonts w:ascii="Inter" w:hAnsi="Inter" w:cs="Inter"/>
          <w:b/>
          <w:i w:val="0"/>
          <w:color w:val="1C1E2E"/>
          <w:sz w:val="22"/>
        </w:rPr>
        <w:t>Tier 2</w:t>
      </w:r>
      <w:r>
        <w:rPr>
          <w:rFonts w:ascii="Inter" w:hAnsi="Inter" w:cs="Inter"/>
          <w:b w:val="0"/>
          <w:i w:val="0"/>
          <w:color w:val="1C1E2E"/>
          <w:sz w:val="22"/>
        </w:rPr>
        <w:t>, switching on the pronunciation band currently shown as "—", and determine its intelligibility floor.</w:t>
      </w:r>
    </w:p>
    <w:p>
      <w:pPr>
        <w:pStyle w:val="ListNumber"/>
        <w:spacing w:after="60"/>
        <w:ind w:left="403"/>
      </w:pPr>
      <w:r>
        <w:rPr>
          <w:rFonts w:ascii="Inter" w:hAnsi="Inter" w:cs="Inter"/>
          <w:b/>
          <w:i w:val="0"/>
          <w:color w:val="1C1E2E"/>
          <w:sz w:val="22"/>
        </w:rPr>
        <w:t>O4</w:t>
      </w:r>
      <w:r>
        <w:rPr>
          <w:rFonts w:ascii="Inter" w:hAnsi="Inter" w:cs="Inter"/>
          <w:b w:val="0"/>
          <w:i w:val="0"/>
          <w:color w:val="1C1E2E"/>
          <w:sz w:val="22"/>
        </w:rPr>
        <w:t xml:space="preserve"> — Develop </w:t>
      </w:r>
      <w:r>
        <w:rPr>
          <w:rFonts w:ascii="Inter" w:hAnsi="Inter" w:cs="Inter"/>
          <w:b/>
          <w:i w:val="0"/>
          <w:color w:val="1C1E2E"/>
          <w:sz w:val="22"/>
        </w:rPr>
        <w:t>Tier 3</w:t>
      </w:r>
      <w:r>
        <w:rPr>
          <w:rFonts w:ascii="Inter" w:hAnsi="Inter" w:cs="Inter"/>
          <w:b w:val="0"/>
          <w:i w:val="0"/>
          <w:color w:val="1C1E2E"/>
          <w:sz w:val="22"/>
        </w:rPr>
        <w:t>: an IPA inventory per level with accepted variants, and a bespoke GOP that is explainable and does not penalise legitimate varieties.</w:t>
      </w:r>
    </w:p>
    <w:p>
      <w:pPr>
        <w:pStyle w:val="ListNumber"/>
        <w:spacing w:after="60"/>
        <w:ind w:left="403"/>
      </w:pPr>
      <w:r>
        <w:rPr>
          <w:rFonts w:ascii="Inter" w:hAnsi="Inter" w:cs="Inter"/>
          <w:b/>
          <w:i w:val="0"/>
          <w:color w:val="1C1E2E"/>
          <w:sz w:val="22"/>
        </w:rPr>
        <w:t>O5</w:t>
      </w:r>
      <w:r>
        <w:rPr>
          <w:rFonts w:ascii="Inter" w:hAnsi="Inter" w:cs="Inter"/>
          <w:b w:val="0"/>
          <w:i w:val="0"/>
          <w:color w:val="1C1E2E"/>
          <w:sz w:val="22"/>
        </w:rPr>
        <w:t xml:space="preserve"> — Formalise the </w:t>
      </w:r>
      <w:r>
        <w:rPr>
          <w:rFonts w:ascii="Inter" w:hAnsi="Inter" w:cs="Inter"/>
          <w:b/>
          <w:i w:val="0"/>
          <w:color w:val="1C1E2E"/>
          <w:sz w:val="22"/>
        </w:rPr>
        <w:t>Design pillar</w:t>
      </w:r>
      <w:r>
        <w:rPr>
          <w:rFonts w:ascii="Inter" w:hAnsi="Inter" w:cs="Inter"/>
          <w:b w:val="0"/>
          <w:i w:val="0"/>
          <w:color w:val="1C1E2E"/>
          <w:sz w:val="22"/>
        </w:rPr>
        <w:t>: input contract with modality profile, planning template and conformance rubric, validated through an expert panel and a designer-equivalence test.</w:t>
      </w:r>
    </w:p>
    <w:p>
      <w:pPr>
        <w:pStyle w:val="ListNumber"/>
        <w:spacing w:after="60"/>
        <w:ind w:left="403"/>
      </w:pPr>
      <w:r>
        <w:rPr>
          <w:rFonts w:ascii="Inter" w:hAnsi="Inter" w:cs="Inter"/>
          <w:b/>
          <w:i w:val="0"/>
          <w:color w:val="1C1E2E"/>
          <w:sz w:val="22"/>
        </w:rPr>
        <w:t>O6</w:t>
      </w:r>
      <w:r>
        <w:rPr>
          <w:rFonts w:ascii="Inter" w:hAnsi="Inter" w:cs="Inter"/>
          <w:b w:val="0"/>
          <w:i w:val="0"/>
          <w:color w:val="1C1E2E"/>
          <w:sz w:val="22"/>
        </w:rPr>
        <w:t xml:space="preserve"> — Publish the </w:t>
      </w:r>
      <w:r>
        <w:rPr>
          <w:rFonts w:ascii="Inter" w:hAnsi="Inter" w:cs="Inter"/>
          <w:b/>
          <w:i w:val="0"/>
          <w:color w:val="1C1E2E"/>
          <w:sz w:val="22"/>
        </w:rPr>
        <w:t>xAPI profile</w:t>
      </w:r>
      <w:r>
        <w:rPr>
          <w:rFonts w:ascii="Inter" w:hAnsi="Inter" w:cs="Inter"/>
          <w:b w:val="0"/>
          <w:i w:val="0"/>
          <w:color w:val="1C1E2E"/>
          <w:sz w:val="22"/>
        </w:rPr>
        <w:t xml:space="preserve"> for CEFR-anchored competence evidence, carrying tier and measurement-model declarations, and demonstrate </w:t>
      </w:r>
      <w:r>
        <w:rPr>
          <w:rFonts w:ascii="Inter" w:hAnsi="Inter" w:cs="Inter"/>
          <w:b/>
          <w:i w:val="0"/>
          <w:color w:val="1C1E2E"/>
          <w:sz w:val="22"/>
        </w:rPr>
        <w:t>engine + pack</w:t>
      </w:r>
      <w:r>
        <w:rPr>
          <w:rFonts w:ascii="Inter" w:hAnsi="Inter" w:cs="Inter"/>
          <w:b w:val="0"/>
          <w:i w:val="0"/>
          <w:color w:val="1C1E2E"/>
          <w:sz w:val="22"/>
        </w:rPr>
        <w:t xml:space="preserve"> replicability — design and measurement — in a second application.</w:t>
      </w:r>
    </w:p>
    <w:p>
      <w:pPr>
        <w:spacing w:before="240" w:after="120"/>
      </w:pPr>
      <w:r>
        <w:rPr>
          <w:rFonts w:ascii="Inter" w:hAnsi="Inter" w:cs="Inter"/>
          <w:b/>
          <w:i w:val="0"/>
          <w:color w:val="1C1E2E"/>
          <w:sz w:val="26"/>
        </w:rPr>
        <w:t>5.3 Hypotheses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w:t>
            </w:r>
          </w:p>
        </w:tc>
        <w:tc>
          <w:tcPr>
            <w:tcW w:type="dxa" w:w="3216"/>
            <w:shd w:val="clear" w:color="auto" w:fill="EEF2FD"/>
          </w:tcPr>
          <w:p>
            <w:pPr>
              <w:spacing w:after="40"/>
            </w:pPr>
            <w:r/>
            <w:r>
              <w:rPr>
                <w:rFonts w:ascii="Inter" w:hAnsi="Inter" w:cs="Inter"/>
                <w:b/>
                <w:i w:val="0"/>
                <w:color w:val="22307C"/>
                <w:sz w:val="19"/>
              </w:rPr>
              <w:t>Hypothesis</w:t>
            </w:r>
          </w:p>
        </w:tc>
        <w:tc>
          <w:tcPr>
            <w:tcW w:type="dxa" w:w="3216"/>
            <w:shd w:val="clear" w:color="auto" w:fill="EEF2FD"/>
          </w:tcPr>
          <w:p>
            <w:pPr>
              <w:spacing w:after="40"/>
            </w:pPr>
            <w:r/>
            <w:r>
              <w:rPr>
                <w:rFonts w:ascii="Inter" w:hAnsi="Inter" w:cs="Inter"/>
                <w:b/>
                <w:i w:val="0"/>
                <w:color w:val="22307C"/>
                <w:sz w:val="19"/>
              </w:rPr>
              <w:t>Test</w:t>
            </w:r>
          </w:p>
        </w:tc>
      </w:tr>
      <w:tr>
        <w:tc>
          <w:tcPr>
            <w:tcW w:type="dxa" w:w="3216"/>
          </w:tcPr>
          <w:p>
            <w:pPr>
              <w:spacing w:after="40"/>
            </w:pPr>
            <w:r/>
            <w:r>
              <w:rPr>
                <w:rFonts w:ascii="Inter" w:hAnsi="Inter" w:cs="Inter"/>
                <w:b/>
                <w:i w:val="0"/>
                <w:color w:val="1C1E2E"/>
                <w:sz w:val="19"/>
              </w:rPr>
              <w:t>H1</w:t>
            </w:r>
          </w:p>
        </w:tc>
        <w:tc>
          <w:tcPr>
            <w:tcW w:type="dxa" w:w="3216"/>
          </w:tcPr>
          <w:p>
            <w:pPr>
              <w:spacing w:after="40"/>
            </w:pPr>
            <w:r/>
            <w:r>
              <w:rPr>
                <w:rFonts w:ascii="Inter" w:hAnsi="Inter" w:cs="Inter"/>
                <w:b w:val="0"/>
                <w:i w:val="0"/>
                <w:color w:val="1C1E2E"/>
                <w:sz w:val="19"/>
              </w:rPr>
              <w:t xml:space="preserve">Agreement between the Tier 1 band and expert human assessment reaches reliability acceptable for formative use, and is </w:t>
            </w:r>
            <w:r>
              <w:rPr>
                <w:rFonts w:ascii="Inter" w:hAnsi="Inter" w:cs="Inter"/>
                <w:b/>
                <w:i w:val="0"/>
                <w:color w:val="1C1E2E"/>
                <w:sz w:val="19"/>
              </w:rPr>
              <w:t>stable</w:t>
            </w:r>
            <w:r>
              <w:rPr>
                <w:rFonts w:ascii="Inter" w:hAnsi="Inter" w:cs="Inter"/>
                <w:b w:val="0"/>
                <w:i w:val="0"/>
                <w:color w:val="1C1E2E"/>
                <w:sz w:val="19"/>
              </w:rPr>
              <w:t xml:space="preserve"> on test-retest.</w:t>
            </w:r>
          </w:p>
        </w:tc>
        <w:tc>
          <w:tcPr>
            <w:tcW w:type="dxa" w:w="3216"/>
          </w:tcPr>
          <w:p>
            <w:pPr>
              <w:spacing w:after="40"/>
            </w:pPr>
            <w:r/>
            <w:r>
              <w:rPr>
                <w:rFonts w:ascii="Inter" w:hAnsi="Inter" w:cs="Inter"/>
                <w:b w:val="0"/>
                <w:i w:val="0"/>
                <w:color w:val="1C1E2E"/>
                <w:sz w:val="19"/>
              </w:rPr>
              <w:t>ICC / weighted κ; test-retest</w:t>
            </w:r>
          </w:p>
        </w:tc>
      </w:tr>
      <w:tr>
        <w:tc>
          <w:tcPr>
            <w:tcW w:type="dxa" w:w="3216"/>
          </w:tcPr>
          <w:p>
            <w:pPr>
              <w:spacing w:after="40"/>
            </w:pPr>
            <w:r/>
            <w:r>
              <w:rPr>
                <w:rFonts w:ascii="Inter" w:hAnsi="Inter" w:cs="Inter"/>
                <w:b/>
                <w:i w:val="0"/>
                <w:color w:val="1C1E2E"/>
                <w:sz w:val="19"/>
              </w:rPr>
              <w:t>H2</w:t>
            </w:r>
          </w:p>
        </w:tc>
        <w:tc>
          <w:tcPr>
            <w:tcW w:type="dxa" w:w="3216"/>
          </w:tcPr>
          <w:p>
            <w:pPr>
              <w:spacing w:after="40"/>
            </w:pPr>
            <w:r/>
            <w:r>
              <w:rPr>
                <w:rFonts w:ascii="Inter" w:hAnsi="Inter" w:cs="Inter"/>
                <w:b w:val="0"/>
                <w:i w:val="0"/>
                <w:color w:val="1C1E2E"/>
                <w:sz w:val="19"/>
              </w:rPr>
              <w:t xml:space="preserve">The Tier 1 band is </w:t>
            </w:r>
            <w:r>
              <w:rPr>
                <w:rFonts w:ascii="Inter" w:hAnsi="Inter" w:cs="Inter"/>
                <w:b/>
                <w:i w:val="0"/>
                <w:color w:val="1C1E2E"/>
                <w:sz w:val="19"/>
              </w:rPr>
              <w:t>sensitive to model size</w:t>
            </w:r>
            <w:r>
              <w:rPr>
                <w:rFonts w:ascii="Inter" w:hAnsi="Inter" w:cs="Inter"/>
                <w:b w:val="0"/>
                <w:i w:val="0"/>
                <w:color w:val="1C1E2E"/>
                <w:sz w:val="19"/>
              </w:rPr>
              <w:t xml:space="preserve">, which is why </w:t>
            </w:r>
            <w:r>
              <w:rPr>
                <w:rFonts w:ascii="Consolas" w:hAnsi="Consolas" w:cs="Consolas"/>
                <w:b w:val="0"/>
                <w:i w:val="0"/>
                <w:color w:val="5B5F77"/>
                <w:sz w:val="18"/>
              </w:rPr>
              <w:t>measure_model</w:t>
            </w:r>
            <w:r>
              <w:rPr>
                <w:rFonts w:ascii="Inter" w:hAnsi="Inter" w:cs="Inter"/>
                <w:b w:val="0"/>
                <w:i w:val="0"/>
                <w:color w:val="1C1E2E"/>
                <w:sz w:val="19"/>
              </w:rPr>
              <w:t xml:space="preserve"> must be declared for sessions to be comparable.</w:t>
            </w:r>
          </w:p>
        </w:tc>
        <w:tc>
          <w:tcPr>
            <w:tcW w:type="dxa" w:w="3216"/>
          </w:tcPr>
          <w:p>
            <w:pPr>
              <w:spacing w:after="40"/>
            </w:pPr>
            <w:r/>
            <w:r>
              <w:rPr>
                <w:rFonts w:ascii="Inter" w:hAnsi="Inter" w:cs="Inter"/>
                <w:b w:val="0"/>
                <w:i w:val="0"/>
                <w:color w:val="1C1E2E"/>
                <w:sz w:val="19"/>
              </w:rPr>
              <w:t>Between-model comparison on the same sessions</w:t>
            </w:r>
          </w:p>
        </w:tc>
      </w:tr>
      <w:tr>
        <w:tc>
          <w:tcPr>
            <w:tcW w:type="dxa" w:w="3216"/>
          </w:tcPr>
          <w:p>
            <w:pPr>
              <w:spacing w:after="40"/>
            </w:pPr>
            <w:r/>
            <w:r>
              <w:rPr>
                <w:rFonts w:ascii="Inter" w:hAnsi="Inter" w:cs="Inter"/>
                <w:b/>
                <w:i w:val="0"/>
                <w:color w:val="1C1E2E"/>
                <w:sz w:val="19"/>
              </w:rPr>
              <w:t>H3</w:t>
            </w:r>
          </w:p>
        </w:tc>
        <w:tc>
          <w:tcPr>
            <w:tcW w:type="dxa" w:w="3216"/>
          </w:tcPr>
          <w:p>
            <w:pPr>
              <w:spacing w:after="40"/>
            </w:pPr>
            <w:r/>
            <w:r>
              <w:rPr>
                <w:rFonts w:ascii="Inter" w:hAnsi="Inter" w:cs="Inter"/>
                <w:b w:val="0"/>
                <w:i w:val="0"/>
                <w:color w:val="1C1E2E"/>
                <w:sz w:val="19"/>
              </w:rPr>
              <w:t xml:space="preserve">Level-dosed noticing increases </w:t>
            </w:r>
            <w:r>
              <w:rPr>
                <w:rFonts w:ascii="Inter" w:hAnsi="Inter" w:cs="Inter"/>
                <w:b/>
                <w:i w:val="0"/>
                <w:color w:val="1C1E2E"/>
                <w:sz w:val="19"/>
              </w:rPr>
              <w:t>*uptake</w:t>
            </w:r>
            <w:r>
              <w:rPr>
                <w:rFonts w:ascii="Inter" w:hAnsi="Inter" w:cs="Inter"/>
                <w:b w:val="0"/>
                <w:i w:val="0"/>
                <w:color w:val="1C1E2E"/>
                <w:sz w:val="19"/>
              </w:rPr>
              <w:t>* relative to uniform feedback, without increasing drop-off.</w:t>
            </w:r>
          </w:p>
        </w:tc>
        <w:tc>
          <w:tcPr>
            <w:tcW w:type="dxa" w:w="3216"/>
          </w:tcPr>
          <w:p>
            <w:pPr>
              <w:spacing w:after="40"/>
            </w:pPr>
            <w:r/>
            <w:r>
              <w:rPr>
                <w:rFonts w:ascii="Inter" w:hAnsi="Inter" w:cs="Inter"/>
                <w:b w:val="0"/>
                <w:i w:val="0"/>
                <w:color w:val="1C1E2E"/>
                <w:sz w:val="19"/>
              </w:rPr>
              <w:t>Between-condition contrast + persistence metrics</w:t>
            </w:r>
          </w:p>
        </w:tc>
      </w:tr>
      <w:tr>
        <w:tc>
          <w:tcPr>
            <w:tcW w:type="dxa" w:w="3216"/>
          </w:tcPr>
          <w:p>
            <w:pPr>
              <w:spacing w:after="40"/>
            </w:pPr>
            <w:r/>
            <w:r>
              <w:rPr>
                <w:rFonts w:ascii="Inter" w:hAnsi="Inter" w:cs="Inter"/>
                <w:b/>
                <w:i w:val="0"/>
                <w:color w:val="1C1E2E"/>
                <w:sz w:val="19"/>
              </w:rPr>
              <w:t>H4</w:t>
            </w:r>
          </w:p>
        </w:tc>
        <w:tc>
          <w:tcPr>
            <w:tcW w:type="dxa" w:w="3216"/>
          </w:tcPr>
          <w:p>
            <w:pPr>
              <w:spacing w:after="40"/>
            </w:pPr>
            <w:r/>
            <w:r>
              <w:rPr>
                <w:rFonts w:ascii="Inter" w:hAnsi="Inter" w:cs="Inter"/>
                <w:b w:val="0"/>
                <w:i w:val="0"/>
                <w:color w:val="1C1E2E"/>
                <w:sz w:val="19"/>
              </w:rPr>
              <w:t xml:space="preserve">Moving to Tier 2 improves the validity of the pronunciation claim against human intelligibility judgement; Tier 3 additionally makes it </w:t>
            </w:r>
            <w:r>
              <w:rPr>
                <w:rFonts w:ascii="Inter" w:hAnsi="Inter" w:cs="Inter"/>
                <w:b/>
                <w:i w:val="0"/>
                <w:color w:val="1C1E2E"/>
                <w:sz w:val="19"/>
              </w:rPr>
              <w:t>explainable</w:t>
            </w:r>
            <w:r>
              <w:rPr>
                <w:rFonts w:ascii="Inter" w:hAnsi="Inter" w:cs="Inter"/>
                <w:b w:val="0"/>
                <w:i w:val="0"/>
                <w:color w:val="1C1E2E"/>
                <w:sz w:val="19"/>
              </w:rPr>
              <w:t xml:space="preserve"> at phoneme level.</w:t>
            </w:r>
          </w:p>
        </w:tc>
        <w:tc>
          <w:tcPr>
            <w:tcW w:type="dxa" w:w="3216"/>
          </w:tcPr>
          <w:p>
            <w:pPr>
              <w:spacing w:after="40"/>
            </w:pPr>
            <w:r/>
            <w:r>
              <w:rPr>
                <w:rFonts w:ascii="Inter" w:hAnsi="Inter" w:cs="Inter"/>
                <w:b w:val="0"/>
                <w:i w:val="0"/>
                <w:color w:val="1C1E2E"/>
                <w:sz w:val="19"/>
              </w:rPr>
              <w:t>Concurrent validity by tier</w:t>
            </w:r>
          </w:p>
        </w:tc>
      </w:tr>
      <w:tr>
        <w:tc>
          <w:tcPr>
            <w:tcW w:type="dxa" w:w="3216"/>
          </w:tcPr>
          <w:p>
            <w:pPr>
              <w:spacing w:after="40"/>
            </w:pPr>
            <w:r/>
            <w:r>
              <w:rPr>
                <w:rFonts w:ascii="Inter" w:hAnsi="Inter" w:cs="Inter"/>
                <w:b/>
                <w:i w:val="0"/>
                <w:color w:val="1C1E2E"/>
                <w:sz w:val="19"/>
              </w:rPr>
              <w:t>H5</w:t>
            </w:r>
          </w:p>
        </w:tc>
        <w:tc>
          <w:tcPr>
            <w:tcW w:type="dxa" w:w="3216"/>
          </w:tcPr>
          <w:p>
            <w:pPr>
              <w:spacing w:after="40"/>
            </w:pPr>
            <w:r/>
            <w:r>
              <w:rPr>
                <w:rFonts w:ascii="Inter" w:hAnsi="Inter" w:cs="Inter"/>
                <w:b w:val="0"/>
                <w:i w:val="0"/>
                <w:color w:val="1C1E2E"/>
                <w:sz w:val="19"/>
              </w:rPr>
              <w:t xml:space="preserve">Different designers starting from the same descriptor and modality profile produce lessons with </w:t>
            </w:r>
            <w:r>
              <w:rPr>
                <w:rFonts w:ascii="Inter" w:hAnsi="Inter" w:cs="Inter"/>
                <w:b/>
                <w:i w:val="0"/>
                <w:color w:val="1C1E2E"/>
                <w:sz w:val="19"/>
              </w:rPr>
              <w:t>high agreement</w:t>
            </w:r>
            <w:r>
              <w:rPr>
                <w:rFonts w:ascii="Inter" w:hAnsi="Inter" w:cs="Inter"/>
                <w:b w:val="0"/>
                <w:i w:val="0"/>
                <w:color w:val="1C1E2E"/>
                <w:sz w:val="19"/>
              </w:rPr>
              <w:t xml:space="preserve"> on mode, competence and channel.</w:t>
            </w:r>
          </w:p>
        </w:tc>
        <w:tc>
          <w:tcPr>
            <w:tcW w:type="dxa" w:w="3216"/>
          </w:tcPr>
          <w:p>
            <w:pPr>
              <w:spacing w:after="40"/>
            </w:pPr>
            <w:r/>
            <w:r>
              <w:rPr>
                <w:rFonts w:ascii="Inter" w:hAnsi="Inter" w:cs="Inter"/>
                <w:b w:val="0"/>
                <w:i w:val="0"/>
                <w:color w:val="1C1E2E"/>
                <w:sz w:val="19"/>
              </w:rPr>
              <w:t>Inter-rater agreement on a conformance rubric</w:t>
            </w:r>
          </w:p>
        </w:tc>
      </w:tr>
      <w:tr>
        <w:tc>
          <w:tcPr>
            <w:tcW w:type="dxa" w:w="3216"/>
          </w:tcPr>
          <w:p>
            <w:pPr>
              <w:spacing w:after="40"/>
            </w:pPr>
            <w:r/>
            <w:r>
              <w:rPr>
                <w:rFonts w:ascii="Inter" w:hAnsi="Inter" w:cs="Inter"/>
                <w:b/>
                <w:i w:val="0"/>
                <w:color w:val="1C1E2E"/>
                <w:sz w:val="19"/>
              </w:rPr>
              <w:t>H6</w:t>
            </w:r>
          </w:p>
        </w:tc>
        <w:tc>
          <w:tcPr>
            <w:tcW w:type="dxa" w:w="3216"/>
          </w:tcPr>
          <w:p>
            <w:pPr>
              <w:spacing w:after="40"/>
            </w:pPr>
            <w:r/>
            <w:r>
              <w:rPr>
                <w:rFonts w:ascii="Inter" w:hAnsi="Inter" w:cs="Inter"/>
                <w:b w:val="0"/>
                <w:i w:val="0"/>
                <w:color w:val="1C1E2E"/>
                <w:sz w:val="19"/>
              </w:rPr>
              <w:t xml:space="preserve">An independent team reproduces comparable </w:t>
            </w:r>
            <w:r>
              <w:rPr>
                <w:rFonts w:ascii="Inter" w:hAnsi="Inter" w:cs="Inter"/>
                <w:b/>
                <w:i w:val="0"/>
                <w:color w:val="1C1E2E"/>
                <w:sz w:val="19"/>
              </w:rPr>
              <w:t>lessons and measures</w:t>
            </w:r>
            <w:r>
              <w:rPr>
                <w:rFonts w:ascii="Inter" w:hAnsi="Inter" w:cs="Inter"/>
                <w:b w:val="0"/>
                <w:i w:val="0"/>
                <w:color w:val="1C1E2E"/>
                <w:sz w:val="19"/>
              </w:rPr>
              <w:t xml:space="preserve"> by </w:t>
            </w:r>
            <w:r>
              <w:rPr>
                <w:rFonts w:ascii="Inter" w:hAnsi="Inter" w:cs="Inter"/>
                <w:b/>
                <w:i w:val="0"/>
                <w:color w:val="1C1E2E"/>
                <w:sz w:val="19"/>
              </w:rPr>
              <w:t>filling a pack</w:t>
            </w:r>
            <w:r>
              <w:rPr>
                <w:rFonts w:ascii="Inter" w:hAnsi="Inter" w:cs="Inter"/>
                <w:b w:val="0"/>
                <w:i w:val="0"/>
                <w:color w:val="1C1E2E"/>
                <w:sz w:val="19"/>
              </w:rPr>
              <w:t>, without modifying the engine.</w:t>
            </w:r>
          </w:p>
        </w:tc>
        <w:tc>
          <w:tcPr>
            <w:tcW w:type="dxa" w:w="3216"/>
          </w:tcPr>
          <w:p>
            <w:pPr>
              <w:spacing w:after="40"/>
            </w:pPr>
            <w:r/>
            <w:r>
              <w:rPr>
                <w:rFonts w:ascii="Inter" w:hAnsi="Inter" w:cs="Inter"/>
                <w:b w:val="0"/>
                <w:i w:val="0"/>
                <w:color w:val="1C1E2E"/>
                <w:sz w:val="19"/>
              </w:rPr>
              <w:t>End-to-end replicability test</w:t>
            </w:r>
          </w:p>
        </w:tc>
      </w:tr>
    </w:tbl>
    <w:p/>
    <w:p>
      <w:pPr>
        <w:pBdr>
          <w:bottom w:val="single" w:sz="6" w:space="1" w:color="E6E8F2"/>
        </w:pBdr>
      </w:pPr>
    </w:p>
    <w:p>
      <w:pPr>
        <w:spacing w:before="320" w:after="120"/>
      </w:pPr>
      <w:r>
        <w:rPr>
          <w:rFonts w:ascii="Fraunces" w:hAnsi="Fraunces" w:cs="Fraunces"/>
          <w:b/>
          <w:i w:val="0"/>
          <w:color w:val="22307C"/>
          <w:sz w:val="32"/>
        </w:rPr>
        <w:t>6. Methodology</w:t>
      </w:r>
    </w:p>
    <w:p>
      <w:pPr>
        <w:spacing w:before="240" w:after="120"/>
      </w:pPr>
      <w:r>
        <w:rPr>
          <w:rFonts w:ascii="Inter" w:hAnsi="Inter" w:cs="Inter"/>
          <w:b/>
          <w:i w:val="0"/>
          <w:color w:val="1C1E2E"/>
          <w:sz w:val="26"/>
        </w:rPr>
        <w:t>6.1 Design</w:t>
      </w:r>
    </w:p>
    <w:p>
      <w:r>
        <w:rPr>
          <w:rFonts w:ascii="Inter" w:hAnsi="Inter" w:cs="Inter"/>
          <w:b/>
          <w:i w:val="0"/>
          <w:color w:val="1C1E2E"/>
          <w:sz w:val="22"/>
        </w:rPr>
        <w:t>Design-based research with validation in production.</w:t>
      </w:r>
      <w:r>
        <w:rPr>
          <w:rFonts w:ascii="Inter" w:hAnsi="Inter" w:cs="Inter"/>
          <w:b w:val="0"/>
          <w:i w:val="0"/>
          <w:color w:val="1C1E2E"/>
          <w:sz w:val="22"/>
        </w:rPr>
        <w:t xml:space="preserve"> The object is at once an artefact (the module) and a body of knowledge (the principles sustaining it). That Tier 1 is </w:t>
      </w:r>
      <w:r>
        <w:rPr>
          <w:rFonts w:ascii="Inter" w:hAnsi="Inter" w:cs="Inter"/>
          <w:b/>
          <w:i w:val="0"/>
          <w:color w:val="1C1E2E"/>
          <w:sz w:val="22"/>
        </w:rPr>
        <w:t>already deployed</w:t>
      </w:r>
      <w:r>
        <w:rPr>
          <w:rFonts w:ascii="Inter" w:hAnsi="Inter" w:cs="Inter"/>
          <w:b w:val="0"/>
          <w:i w:val="0"/>
          <w:color w:val="1C1E2E"/>
          <w:sz w:val="22"/>
        </w:rPr>
        <w:t xml:space="preserve"> distinguishes this proposal from a laboratory study: the validity data come from real use, not simulation.</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2412"/>
        <w:gridCol w:w="2412"/>
        <w:gridCol w:w="2412"/>
        <w:gridCol w:w="2412"/>
      </w:tblGrid>
      <w:tr>
        <w:tc>
          <w:tcPr>
            <w:tcW w:type="dxa" w:w="2412"/>
            <w:shd w:val="clear" w:color="auto" w:fill="EEF2FD"/>
          </w:tcPr>
          <w:p>
            <w:pPr>
              <w:spacing w:after="40"/>
            </w:pPr>
            <w:r/>
            <w:r>
              <w:rPr>
                <w:rFonts w:ascii="Inter" w:hAnsi="Inter" w:cs="Inter"/>
                <w:b/>
                <w:i w:val="0"/>
                <w:color w:val="22307C"/>
                <w:sz w:val="19"/>
              </w:rPr>
              <w:t>Cycle</w:t>
            </w:r>
          </w:p>
        </w:tc>
        <w:tc>
          <w:tcPr>
            <w:tcW w:type="dxa" w:w="2412"/>
            <w:shd w:val="clear" w:color="auto" w:fill="EEF2FD"/>
          </w:tcPr>
          <w:p>
            <w:pPr>
              <w:spacing w:after="40"/>
            </w:pPr>
            <w:r/>
            <w:r>
              <w:rPr>
                <w:rFonts w:ascii="Inter" w:hAnsi="Inter" w:cs="Inter"/>
                <w:b/>
                <w:i w:val="0"/>
                <w:color w:val="22307C"/>
                <w:sz w:val="19"/>
              </w:rPr>
              <w:t>Focus</w:t>
            </w:r>
          </w:p>
        </w:tc>
        <w:tc>
          <w:tcPr>
            <w:tcW w:type="dxa" w:w="2412"/>
            <w:shd w:val="clear" w:color="auto" w:fill="EEF2FD"/>
          </w:tcPr>
          <w:p>
            <w:pPr>
              <w:spacing w:after="40"/>
            </w:pPr>
            <w:r/>
            <w:r>
              <w:rPr>
                <w:rFonts w:ascii="Inter" w:hAnsi="Inter" w:cs="Inter"/>
                <w:b/>
                <w:i w:val="0"/>
                <w:color w:val="22307C"/>
                <w:sz w:val="19"/>
              </w:rPr>
              <w:t>Objectives</w:t>
            </w:r>
          </w:p>
        </w:tc>
        <w:tc>
          <w:tcPr>
            <w:tcW w:type="dxa" w:w="2412"/>
            <w:shd w:val="clear" w:color="auto" w:fill="EEF2FD"/>
          </w:tcPr>
          <w:p>
            <w:pPr>
              <w:spacing w:after="40"/>
            </w:pPr>
            <w:r/>
            <w:r>
              <w:rPr>
                <w:rFonts w:ascii="Inter" w:hAnsi="Inter" w:cs="Inter"/>
                <w:b/>
                <w:i w:val="0"/>
                <w:color w:val="22307C"/>
                <w:sz w:val="19"/>
              </w:rPr>
              <w:t>Methods</w:t>
            </w:r>
          </w:p>
        </w:tc>
      </w:tr>
      <w:tr>
        <w:tc>
          <w:tcPr>
            <w:tcW w:type="dxa" w:w="2412"/>
          </w:tcPr>
          <w:p>
            <w:pPr>
              <w:spacing w:after="40"/>
            </w:pPr>
            <w:r/>
            <w:r>
              <w:rPr>
                <w:rFonts w:ascii="Inter" w:hAnsi="Inter" w:cs="Inter"/>
                <w:b/>
                <w:i w:val="0"/>
                <w:color w:val="1C1E2E"/>
                <w:sz w:val="19"/>
              </w:rPr>
              <w:t>C1 — Formalisation and Tier 1 validity</w:t>
            </w:r>
          </w:p>
        </w:tc>
        <w:tc>
          <w:tcPr>
            <w:tcW w:type="dxa" w:w="2412"/>
          </w:tcPr>
          <w:p>
            <w:pPr>
              <w:spacing w:after="40"/>
            </w:pPr>
            <w:r/>
            <w:r>
              <w:rPr>
                <w:rFonts w:ascii="Inter" w:hAnsi="Inter" w:cs="Inter"/>
                <w:b w:val="0"/>
                <w:i w:val="0"/>
                <w:color w:val="1C1E2E"/>
                <w:sz w:val="19"/>
              </w:rPr>
              <w:t>The method, and the measure that already exists</w:t>
            </w:r>
          </w:p>
        </w:tc>
        <w:tc>
          <w:tcPr>
            <w:tcW w:type="dxa" w:w="2412"/>
          </w:tcPr>
          <w:p>
            <w:pPr>
              <w:spacing w:after="40"/>
            </w:pPr>
            <w:r/>
            <w:r>
              <w:rPr>
                <w:rFonts w:ascii="Inter" w:hAnsi="Inter" w:cs="Inter"/>
                <w:b w:val="0"/>
                <w:i w:val="0"/>
                <w:color w:val="1C1E2E"/>
                <w:sz w:val="19"/>
              </w:rPr>
              <w:t>O1, O2, O5</w:t>
            </w:r>
          </w:p>
        </w:tc>
        <w:tc>
          <w:tcPr>
            <w:tcW w:type="dxa" w:w="2412"/>
          </w:tcPr>
          <w:p>
            <w:pPr>
              <w:spacing w:after="40"/>
            </w:pPr>
            <w:r/>
            <w:r>
              <w:rPr>
                <w:rFonts w:ascii="Inter" w:hAnsi="Inter" w:cs="Inter"/>
                <w:b w:val="0"/>
                <w:i w:val="0"/>
                <w:color w:val="1C1E2E"/>
                <w:sz w:val="19"/>
              </w:rPr>
              <w:t xml:space="preserve">Formalisation of both pillars; </w:t>
            </w:r>
            <w:r>
              <w:rPr>
                <w:rFonts w:ascii="Inter" w:hAnsi="Inter" w:cs="Inter"/>
                <w:b/>
                <w:i w:val="0"/>
                <w:color w:val="1C1E2E"/>
                <w:sz w:val="19"/>
              </w:rPr>
              <w:t>Delphi panel</w:t>
            </w:r>
            <w:r>
              <w:rPr>
                <w:rFonts w:ascii="Inter" w:hAnsi="Inter" w:cs="Inter"/>
                <w:b w:val="0"/>
                <w:i w:val="0"/>
                <w:color w:val="1C1E2E"/>
                <w:sz w:val="19"/>
              </w:rPr>
              <w:t xml:space="preserve"> on the design contract; </w:t>
            </w:r>
            <w:r>
              <w:rPr>
                <w:rFonts w:ascii="Inter" w:hAnsi="Inter" w:cs="Inter"/>
                <w:b/>
                <w:i w:val="0"/>
                <w:color w:val="1C1E2E"/>
                <w:sz w:val="19"/>
              </w:rPr>
              <w:t>equivalence test</w:t>
            </w:r>
            <w:r>
              <w:rPr>
                <w:rFonts w:ascii="Inter" w:hAnsi="Inter" w:cs="Inter"/>
                <w:b w:val="0"/>
                <w:i w:val="0"/>
                <w:color w:val="1C1E2E"/>
                <w:sz w:val="19"/>
              </w:rPr>
              <w:t xml:space="preserve"> with independent designers; sampling of LRS sessions; </w:t>
            </w:r>
            <w:r>
              <w:rPr>
                <w:rFonts w:ascii="Inter" w:hAnsi="Inter" w:cs="Inter"/>
                <w:b/>
                <w:i w:val="0"/>
                <w:color w:val="1C1E2E"/>
                <w:sz w:val="19"/>
              </w:rPr>
              <w:t>double expert human assessment</w:t>
            </w:r>
            <w:r>
              <w:rPr>
                <w:rFonts w:ascii="Inter" w:hAnsi="Inter" w:cs="Inter"/>
                <w:b w:val="0"/>
                <w:i w:val="0"/>
                <w:color w:val="1C1E2E"/>
                <w:sz w:val="19"/>
              </w:rPr>
              <w:t xml:space="preserve"> with inter-rater agreement; test-retest; model-size sensitivity; integrity audit</w:t>
            </w:r>
          </w:p>
        </w:tc>
      </w:tr>
      <w:tr>
        <w:tc>
          <w:tcPr>
            <w:tcW w:type="dxa" w:w="2412"/>
          </w:tcPr>
          <w:p>
            <w:pPr>
              <w:spacing w:after="40"/>
            </w:pPr>
            <w:r/>
            <w:r>
              <w:rPr>
                <w:rFonts w:ascii="Inter" w:hAnsi="Inter" w:cs="Inter"/>
                <w:b/>
                <w:i w:val="0"/>
                <w:color w:val="1C1E2E"/>
                <w:sz w:val="19"/>
              </w:rPr>
              <w:t>C2 — Instrumentation and feedback</w:t>
            </w:r>
          </w:p>
        </w:tc>
        <w:tc>
          <w:tcPr>
            <w:tcW w:type="dxa" w:w="2412"/>
          </w:tcPr>
          <w:p>
            <w:pPr>
              <w:spacing w:after="40"/>
            </w:pPr>
            <w:r/>
            <w:r>
              <w:rPr>
                <w:rFonts w:ascii="Inter" w:hAnsi="Inter" w:cs="Inter"/>
                <w:b w:val="0"/>
                <w:i w:val="0"/>
                <w:color w:val="1C1E2E"/>
                <w:sz w:val="19"/>
              </w:rPr>
              <w:t>Tier 2 pronunciation + noticing</w:t>
            </w:r>
          </w:p>
        </w:tc>
        <w:tc>
          <w:tcPr>
            <w:tcW w:type="dxa" w:w="2412"/>
          </w:tcPr>
          <w:p>
            <w:pPr>
              <w:spacing w:after="40"/>
            </w:pPr>
            <w:r/>
            <w:r>
              <w:rPr>
                <w:rFonts w:ascii="Inter" w:hAnsi="Inter" w:cs="Inter"/>
                <w:b w:val="0"/>
                <w:i w:val="0"/>
                <w:color w:val="1C1E2E"/>
                <w:sz w:val="19"/>
              </w:rPr>
              <w:t>O3</w:t>
            </w:r>
          </w:p>
        </w:tc>
        <w:tc>
          <w:tcPr>
            <w:tcW w:type="dxa" w:w="2412"/>
          </w:tcPr>
          <w:p>
            <w:pPr>
              <w:spacing w:after="40"/>
            </w:pPr>
            <w:r/>
            <w:r>
              <w:rPr>
                <w:rFonts w:ascii="Inter" w:hAnsi="Inter" w:cs="Inter"/>
                <w:b w:val="0"/>
                <w:i w:val="0"/>
                <w:color w:val="1C1E2E"/>
                <w:sz w:val="19"/>
              </w:rPr>
              <w:t>Acoustic-layer integration; concurrent validity against intelligibility judgement; uptake study with contrasted salience conditions; think-alouds</w:t>
            </w:r>
          </w:p>
        </w:tc>
      </w:tr>
      <w:tr>
        <w:tc>
          <w:tcPr>
            <w:tcW w:type="dxa" w:w="2412"/>
          </w:tcPr>
          <w:p>
            <w:pPr>
              <w:spacing w:after="40"/>
            </w:pPr>
            <w:r/>
            <w:r>
              <w:rPr>
                <w:rFonts w:ascii="Inter" w:hAnsi="Inter" w:cs="Inter"/>
                <w:b/>
                <w:i w:val="0"/>
                <w:color w:val="1C1E2E"/>
                <w:sz w:val="19"/>
              </w:rPr>
              <w:t>C3 — Tier 3 and replicability</w:t>
            </w:r>
          </w:p>
        </w:tc>
        <w:tc>
          <w:tcPr>
            <w:tcW w:type="dxa" w:w="2412"/>
          </w:tcPr>
          <w:p>
            <w:pPr>
              <w:spacing w:after="40"/>
            </w:pPr>
            <w:r/>
            <w:r>
              <w:rPr>
                <w:rFonts w:ascii="Inter" w:hAnsi="Inter" w:cs="Inter"/>
                <w:b w:val="0"/>
                <w:i w:val="0"/>
                <w:color w:val="1C1E2E"/>
                <w:sz w:val="19"/>
              </w:rPr>
              <w:t>The phonemic contribution, and the test of the method</w:t>
            </w:r>
          </w:p>
        </w:tc>
        <w:tc>
          <w:tcPr>
            <w:tcW w:type="dxa" w:w="2412"/>
          </w:tcPr>
          <w:p>
            <w:pPr>
              <w:spacing w:after="40"/>
            </w:pPr>
            <w:r/>
            <w:r>
              <w:rPr>
                <w:rFonts w:ascii="Inter" w:hAnsi="Inter" w:cs="Inter"/>
                <w:b w:val="0"/>
                <w:i w:val="0"/>
                <w:color w:val="1C1E2E"/>
                <w:sz w:val="19"/>
              </w:rPr>
              <w:t>O4, O6</w:t>
            </w:r>
          </w:p>
        </w:tc>
        <w:tc>
          <w:tcPr>
            <w:tcW w:type="dxa" w:w="2412"/>
          </w:tcPr>
          <w:p>
            <w:pPr>
              <w:spacing w:after="40"/>
            </w:pPr>
            <w:r/>
            <w:r>
              <w:rPr>
                <w:rFonts w:ascii="Inter" w:hAnsi="Inter" w:cs="Inter"/>
                <w:b w:val="0"/>
                <w:i w:val="0"/>
                <w:color w:val="1C1E2E"/>
                <w:sz w:val="19"/>
              </w:rPr>
              <w:t xml:space="preserve">IPA inventory per level; bespoke GOP; phonemic validation; </w:t>
            </w:r>
            <w:r>
              <w:rPr>
                <w:rFonts w:ascii="Inter" w:hAnsi="Inter" w:cs="Inter"/>
                <w:b/>
                <w:i w:val="0"/>
                <w:color w:val="1C1E2E"/>
                <w:sz w:val="19"/>
              </w:rPr>
              <w:t>end-to-end replicability test</w:t>
            </w:r>
            <w:r>
              <w:rPr>
                <w:rFonts w:ascii="Inter" w:hAnsi="Inter" w:cs="Inter"/>
                <w:b w:val="0"/>
                <w:i w:val="0"/>
                <w:color w:val="1C1E2E"/>
                <w:sz w:val="19"/>
              </w:rPr>
              <w:t xml:space="preserve"> (design + measurement) with an independent team filling a pack; publication of the xAPI profile</w:t>
            </w:r>
          </w:p>
        </w:tc>
      </w:tr>
    </w:tbl>
    <w:p/>
    <w:p>
      <w:pPr>
        <w:spacing w:before="240" w:after="120"/>
      </w:pPr>
      <w:r>
        <w:rPr>
          <w:rFonts w:ascii="Inter" w:hAnsi="Inter" w:cs="Inter"/>
          <w:b/>
          <w:i w:val="0"/>
          <w:color w:val="1C1E2E"/>
          <w:sz w:val="26"/>
        </w:rPr>
        <w:t>6.2 Data and instruments</w:t>
      </w:r>
    </w:p>
    <w:p>
      <w:pPr>
        <w:pStyle w:val="ListBullet"/>
        <w:spacing w:after="60"/>
        <w:ind w:left="403"/>
      </w:pPr>
      <w:r>
        <w:rPr>
          <w:rFonts w:ascii="Inter" w:hAnsi="Inter" w:cs="Inter"/>
          <w:b/>
          <w:i w:val="0"/>
          <w:color w:val="1C1E2E"/>
          <w:sz w:val="22"/>
        </w:rPr>
        <w:t>Learning evidence:</w:t>
      </w:r>
      <w:r>
        <w:rPr>
          <w:rFonts w:ascii="Inter" w:hAnsi="Inter" w:cs="Inter"/>
          <w:b w:val="0"/>
          <w:i w:val="0"/>
          <w:color w:val="1C1E2E"/>
          <w:sz w:val="22"/>
        </w:rPr>
        <w:t xml:space="preserve"> </w:t>
      </w:r>
      <w:r>
        <w:rPr>
          <w:rFonts w:ascii="Inter" w:hAnsi="Inter" w:cs="Inter"/>
          <w:b/>
          <w:i w:val="0"/>
          <w:color w:val="1C1E2E"/>
          <w:sz w:val="22"/>
        </w:rPr>
        <w:t>xAPI</w:t>
      </w:r>
      <w:r>
        <w:rPr>
          <w:rFonts w:ascii="Inter" w:hAnsi="Inter" w:cs="Inter"/>
          <w:b w:val="0"/>
          <w:i w:val="0"/>
          <w:color w:val="1C1E2E"/>
          <w:sz w:val="22"/>
        </w:rPr>
        <w:t xml:space="preserve"> statements in an </w:t>
      </w:r>
      <w:r>
        <w:rPr>
          <w:rFonts w:ascii="Inter" w:hAnsi="Inter" w:cs="Inter"/>
          <w:b/>
          <w:i w:val="0"/>
          <w:color w:val="1C1E2E"/>
          <w:sz w:val="22"/>
        </w:rPr>
        <w:t>LRS</w:t>
      </w:r>
      <w:r>
        <w:rPr>
          <w:rFonts w:ascii="Inter" w:hAnsi="Inter" w:cs="Inter"/>
          <w:b w:val="0"/>
          <w:i w:val="0"/>
          <w:color w:val="1C1E2E"/>
          <w:sz w:val="22"/>
        </w:rPr>
        <w:t xml:space="preserve"> (Veracity), </w:t>
      </w:r>
      <w:r>
        <w:rPr>
          <w:rFonts w:ascii="Inter" w:hAnsi="Inter" w:cs="Inter"/>
          <w:b/>
          <w:i w:val="0"/>
          <w:color w:val="1C1E2E"/>
          <w:sz w:val="22"/>
        </w:rPr>
        <w:t>pseudonymous actor</w:t>
      </w:r>
      <w:r>
        <w:rPr>
          <w:rFonts w:ascii="Inter" w:hAnsi="Inter" w:cs="Inter"/>
          <w:b w:val="0"/>
          <w:i w:val="0"/>
          <w:color w:val="1C1E2E"/>
          <w:sz w:val="22"/>
        </w:rPr>
        <w:t xml:space="preserve">, two separated flows (measurement / pedagogy), ASR gate 0.70, and the extensions </w:t>
      </w:r>
      <w:r>
        <w:rPr>
          <w:rFonts w:ascii="Consolas" w:hAnsi="Consolas" w:cs="Consolas"/>
          <w:b w:val="0"/>
          <w:i w:val="0"/>
          <w:color w:val="5B5F77"/>
          <w:sz w:val="21"/>
        </w:rPr>
        <w:t>ext/effective-time</w:t>
      </w:r>
      <w:r>
        <w:rPr>
          <w:rFonts w:ascii="Inter" w:hAnsi="Inter" w:cs="Inter"/>
          <w:b w:val="0"/>
          <w:i w:val="0"/>
          <w:color w:val="1C1E2E"/>
          <w:sz w:val="22"/>
        </w:rPr>
        <w:t xml:space="preserve">, </w:t>
      </w:r>
      <w:r>
        <w:rPr>
          <w:rFonts w:ascii="Consolas" w:hAnsi="Consolas" w:cs="Consolas"/>
          <w:b w:val="0"/>
          <w:i w:val="0"/>
          <w:color w:val="5B5F77"/>
          <w:sz w:val="21"/>
        </w:rPr>
        <w:t>ext/measure-model</w:t>
      </w:r>
      <w:r>
        <w:rPr>
          <w:rFonts w:ascii="Inter" w:hAnsi="Inter" w:cs="Inter"/>
          <w:b w:val="0"/>
          <w:i w:val="0"/>
          <w:color w:val="1C1E2E"/>
          <w:sz w:val="22"/>
        </w:rPr>
        <w:t xml:space="preserve">, </w:t>
      </w:r>
      <w:r>
        <w:rPr>
          <w:rFonts w:ascii="Consolas" w:hAnsi="Consolas" w:cs="Consolas"/>
          <w:b w:val="0"/>
          <w:i w:val="0"/>
          <w:color w:val="5B5F77"/>
          <w:sz w:val="21"/>
        </w:rPr>
        <w:t>ext/srs-schedule</w:t>
      </w:r>
      <w:r>
        <w:rPr>
          <w:rFonts w:ascii="Inter" w:hAnsi="Inter" w:cs="Inter"/>
          <w:b w:val="0"/>
          <w:i w:val="0"/>
          <w:color w:val="1C1E2E"/>
          <w:sz w:val="22"/>
        </w:rPr>
        <w:t xml:space="preserve">, </w:t>
      </w:r>
      <w:r>
        <w:rPr>
          <w:rFonts w:ascii="Consolas" w:hAnsi="Consolas" w:cs="Consolas"/>
          <w:b w:val="0"/>
          <w:i w:val="0"/>
          <w:color w:val="5B5F77"/>
          <w:sz w:val="21"/>
        </w:rPr>
        <w:t>ext/learning-target</w:t>
      </w:r>
      <w:r>
        <w:rPr>
          <w:rFonts w:ascii="Inter" w:hAnsi="Inter" w:cs="Inter"/>
          <w:b w:val="0"/>
          <w:i w:val="0"/>
          <w:color w:val="1C1E2E"/>
          <w:sz w:val="22"/>
        </w:rPr>
        <w:t>.</w:t>
      </w:r>
    </w:p>
    <w:p>
      <w:pPr>
        <w:pStyle w:val="ListBullet"/>
        <w:spacing w:after="60"/>
        <w:ind w:left="403"/>
      </w:pPr>
      <w:r>
        <w:rPr>
          <w:rFonts w:ascii="Inter" w:hAnsi="Inter" w:cs="Inter"/>
          <w:b/>
          <w:i w:val="0"/>
          <w:color w:val="1C1E2E"/>
          <w:sz w:val="22"/>
        </w:rPr>
        <w:t>Human criterion:</w:t>
      </w:r>
      <w:r>
        <w:rPr>
          <w:rFonts w:ascii="Inter" w:hAnsi="Inter" w:cs="Inter"/>
          <w:b w:val="0"/>
          <w:i w:val="0"/>
          <w:color w:val="1C1E2E"/>
          <w:sz w:val="22"/>
        </w:rPr>
        <w:t xml:space="preserve"> a panel of expert raters with CEFR training, blind double marking on a subsample, and reported agreement.</w:t>
      </w:r>
    </w:p>
    <w:p>
      <w:pPr>
        <w:pStyle w:val="ListBullet"/>
        <w:spacing w:after="60"/>
        <w:ind w:left="403"/>
      </w:pPr>
      <w:r>
        <w:rPr>
          <w:rFonts w:ascii="Inter" w:hAnsi="Inter" w:cs="Inter"/>
          <w:b/>
          <w:i w:val="0"/>
          <w:color w:val="1C1E2E"/>
          <w:sz w:val="22"/>
        </w:rPr>
        <w:t>Pronunciation:</w:t>
      </w:r>
      <w:r>
        <w:rPr>
          <w:rFonts w:ascii="Inter" w:hAnsi="Inter" w:cs="Inter"/>
          <w:b w:val="0"/>
          <w:i w:val="0"/>
          <w:color w:val="1C1E2E"/>
          <w:sz w:val="22"/>
        </w:rPr>
        <w:t xml:space="preserve"> human intelligibility judgements as the external criterion for Tiers 2 and 3.</w:t>
      </w:r>
    </w:p>
    <w:p>
      <w:pPr>
        <w:pStyle w:val="ListBullet"/>
        <w:spacing w:after="60"/>
        <w:ind w:left="403"/>
      </w:pPr>
      <w:r>
        <w:rPr>
          <w:rFonts w:ascii="Inter" w:hAnsi="Inter" w:cs="Inter"/>
          <w:b/>
          <w:i w:val="0"/>
          <w:color w:val="1C1E2E"/>
          <w:sz w:val="22"/>
        </w:rPr>
        <w:t>Integrity audit:</w:t>
      </w:r>
      <w:r>
        <w:rPr>
          <w:rFonts w:ascii="Inter" w:hAnsi="Inter" w:cs="Inter"/>
          <w:b w:val="0"/>
          <w:i w:val="0"/>
          <w:color w:val="1C1E2E"/>
          <w:sz w:val="22"/>
        </w:rPr>
        <w:t xml:space="preserve"> a measurement audit with a findings matrix, an </w:t>
      </w:r>
      <w:r>
        <w:rPr>
          <w:rFonts w:ascii="Inter" w:hAnsi="Inter" w:cs="Inter"/>
          <w:b/>
          <w:i w:val="0"/>
          <w:color w:val="1C1E2E"/>
          <w:sz w:val="22"/>
        </w:rPr>
        <w:t>*"H0 watchdog"</w:t>
      </w:r>
      <w:r>
        <w:rPr>
          <w:rFonts w:ascii="Inter" w:hAnsi="Inter" w:cs="Inter"/>
          <w:b w:val="0"/>
          <w:i/>
          <w:color w:val="1C1E2E"/>
          <w:sz w:val="22"/>
        </w:rPr>
        <w:t xml:space="preserve"> verifying that </w:t>
      </w:r>
      <w:r>
        <w:rPr>
          <w:rFonts w:ascii="Inter" w:hAnsi="Inter" w:cs="Inter"/>
          <w:b w:val="0"/>
          <w:i/>
          <w:color w:val="1C1E2E"/>
          <w:sz w:val="22"/>
        </w:rPr>
        <w:t>no descriptor is ever painted as a band</w:t>
      </w:r>
      <w:r>
        <w:rPr>
          <w:rFonts w:ascii="Inter" w:hAnsi="Inter" w:cs="Inter"/>
          <w:b w:val="0"/>
          <w:i w:val="0"/>
          <w:color w:val="1C1E2E"/>
          <w:sz w:val="22"/>
        </w:rPr>
        <w:t>*, and verification in production.</w:t>
      </w:r>
    </w:p>
    <w:p>
      <w:pPr>
        <w:pStyle w:val="ListBullet"/>
        <w:spacing w:after="60"/>
        <w:ind w:left="403"/>
      </w:pPr>
      <w:r>
        <w:rPr>
          <w:rFonts w:ascii="Inter" w:hAnsi="Inter" w:cs="Inter"/>
          <w:b/>
          <w:i w:val="0"/>
          <w:color w:val="1C1E2E"/>
          <w:sz w:val="22"/>
        </w:rPr>
        <w:t>Transfer instruments:</w:t>
      </w:r>
      <w:r>
        <w:rPr>
          <w:rFonts w:ascii="Inter" w:hAnsi="Inter" w:cs="Inter"/>
          <w:b w:val="0"/>
          <w:i w:val="0"/>
          <w:color w:val="1C1E2E"/>
          <w:sz w:val="22"/>
        </w:rPr>
        <w:t xml:space="preserve"> per-person reports (learner / teacher / HR) under the Kirkpatrick and Phillips frameworks, with optional </w:t>
      </w:r>
      <w:r>
        <w:rPr>
          <w:rFonts w:ascii="Inter" w:hAnsi="Inter" w:cs="Inter"/>
          <w:b/>
          <w:i w:val="0"/>
          <w:color w:val="1C1E2E"/>
          <w:sz w:val="22"/>
        </w:rPr>
        <w:t>ESCO</w:t>
      </w:r>
      <w:r>
        <w:rPr>
          <w:rFonts w:ascii="Inter" w:hAnsi="Inter" w:cs="Inter"/>
          <w:b w:val="0"/>
          <w:i w:val="0"/>
          <w:color w:val="1C1E2E"/>
          <w:sz w:val="22"/>
        </w:rPr>
        <w:t xml:space="preserve"> alignment.</w:t>
      </w:r>
    </w:p>
    <w:p>
      <w:pPr>
        <w:spacing w:before="240" w:after="120"/>
      </w:pPr>
      <w:r>
        <w:rPr>
          <w:rFonts w:ascii="Inter" w:hAnsi="Inter" w:cs="Inter"/>
          <w:b/>
          <w:i w:val="0"/>
          <w:color w:val="1C1E2E"/>
          <w:sz w:val="26"/>
        </w:rPr>
        <w:t>6.3 Analysis</w:t>
      </w:r>
    </w:p>
    <w:p>
      <w:r>
        <w:rPr>
          <w:rFonts w:ascii="Inter" w:hAnsi="Inter" w:cs="Inter"/>
          <w:b w:val="0"/>
          <w:i w:val="0"/>
          <w:color w:val="1C1E2E"/>
          <w:sz w:val="22"/>
        </w:rPr>
        <w:t xml:space="preserve">Inter-rater reliability (ICC, weighted κ) and LLM–human agreement; test-retest stability; mixed models for the effect of salience condition on uptake, with site as a random effect; concurrent validity per tier with confidence intervals; sequence analysis over xAPI to reconstruct real trajectories; thematic analysis of think-alouds. </w:t>
      </w:r>
      <w:r>
        <w:rPr>
          <w:rFonts w:ascii="Inter" w:hAnsi="Inter" w:cs="Inter"/>
          <w:b/>
          <w:i w:val="0"/>
          <w:color w:val="1C1E2E"/>
          <w:sz w:val="22"/>
        </w:rPr>
        <w:t>Pre-registration</w:t>
      </w:r>
      <w:r>
        <w:rPr>
          <w:rFonts w:ascii="Inter" w:hAnsi="Inter" w:cs="Inter"/>
          <w:b w:val="0"/>
          <w:i w:val="0"/>
          <w:color w:val="1C1E2E"/>
          <w:sz w:val="22"/>
        </w:rPr>
        <w:t xml:space="preserve"> of each cycle's analysis plan before data collection.</w:t>
      </w:r>
    </w:p>
    <w:p>
      <w:pPr>
        <w:spacing w:before="240" w:after="120"/>
      </w:pPr>
      <w:r>
        <w:rPr>
          <w:rFonts w:ascii="Inter" w:hAnsi="Inter" w:cs="Inter"/>
          <w:b/>
          <w:i w:val="0"/>
          <w:color w:val="1C1E2E"/>
          <w:sz w:val="26"/>
        </w:rPr>
        <w:t>6.4 Ethics and compliance</w:t>
      </w:r>
    </w:p>
    <w:p>
      <w:pPr>
        <w:pStyle w:val="ListNumber"/>
        <w:spacing w:after="60"/>
        <w:ind w:left="403"/>
      </w:pPr>
      <w:r>
        <w:rPr>
          <w:rFonts w:ascii="Inter" w:hAnsi="Inter" w:cs="Inter"/>
          <w:b/>
          <w:i w:val="0"/>
          <w:color w:val="1C1E2E"/>
          <w:sz w:val="22"/>
        </w:rPr>
        <w:t>GDPR</w:t>
      </w:r>
      <w:r>
        <w:rPr>
          <w:rFonts w:ascii="Inter" w:hAnsi="Inter" w:cs="Inter"/>
          <w:b w:val="0"/>
          <w:i w:val="0"/>
          <w:color w:val="1C1E2E"/>
          <w:sz w:val="22"/>
        </w:rPr>
        <w:t xml:space="preserve"> (Reg. EU 2016/679): personal data kept out of the model and the LRS; pseudonymisation at source; measurement on a paid service </w:t>
      </w:r>
      <w:r>
        <w:rPr>
          <w:rFonts w:ascii="Inter" w:hAnsi="Inter" w:cs="Inter"/>
          <w:b/>
          <w:i w:val="0"/>
          <w:color w:val="1C1E2E"/>
          <w:sz w:val="22"/>
        </w:rPr>
        <w:t>with no training</w:t>
      </w:r>
      <w:r>
        <w:rPr>
          <w:rFonts w:ascii="Inter" w:hAnsi="Inter" w:cs="Inter"/>
          <w:b w:val="0"/>
          <w:i w:val="0"/>
          <w:color w:val="1C1E2E"/>
          <w:sz w:val="22"/>
        </w:rPr>
        <w:t xml:space="preserve"> on the data.</w:t>
      </w:r>
    </w:p>
    <w:p>
      <w:pPr>
        <w:pStyle w:val="ListNumber"/>
        <w:spacing w:after="60"/>
        <w:ind w:left="403"/>
      </w:pPr>
      <w:r>
        <w:rPr>
          <w:rFonts w:ascii="Inter" w:hAnsi="Inter" w:cs="Inter"/>
          <w:b/>
          <w:i w:val="0"/>
          <w:color w:val="1C1E2E"/>
          <w:sz w:val="22"/>
        </w:rPr>
        <w:t>EU AI Act, Art. 50</w:t>
      </w:r>
      <w:r>
        <w:rPr>
          <w:rFonts w:ascii="Inter" w:hAnsi="Inter" w:cs="Inter"/>
          <w:b w:val="0"/>
          <w:i w:val="0"/>
          <w:color w:val="1C1E2E"/>
          <w:sz w:val="22"/>
        </w:rPr>
        <w:t xml:space="preserve"> (Reg. EU 2024/1689): the agent is declared as AI to the learner; AI-assisted or AI-generated content is labelled.</w:t>
      </w:r>
    </w:p>
    <w:p>
      <w:pPr>
        <w:pStyle w:val="ListNumber"/>
        <w:spacing w:after="60"/>
        <w:ind w:left="403"/>
      </w:pPr>
      <w:r>
        <w:rPr>
          <w:rFonts w:ascii="Inter" w:hAnsi="Inter" w:cs="Inter"/>
          <w:b/>
          <w:i w:val="0"/>
          <w:color w:val="1C1E2E"/>
          <w:sz w:val="22"/>
        </w:rPr>
        <w:t>Intelligibility, not native accent:</w:t>
      </w:r>
      <w:r>
        <w:rPr>
          <w:rFonts w:ascii="Inter" w:hAnsi="Inter" w:cs="Inter"/>
          <w:b w:val="0"/>
          <w:i w:val="0"/>
          <w:color w:val="1C1E2E"/>
          <w:sz w:val="22"/>
        </w:rPr>
        <w:t xml:space="preserve"> an explicit ethical decision — legitimate varieties of English are not penalised.</w:t>
      </w:r>
    </w:p>
    <w:p>
      <w:pPr>
        <w:pStyle w:val="ListNumber"/>
        <w:spacing w:after="60"/>
        <w:ind w:left="403"/>
      </w:pPr>
      <w:r>
        <w:rPr>
          <w:rFonts w:ascii="Inter" w:hAnsi="Inter" w:cs="Inter"/>
          <w:b/>
          <w:i w:val="0"/>
          <w:color w:val="1C1E2E"/>
          <w:sz w:val="22"/>
        </w:rPr>
        <w:t>UPV ethics committee</w:t>
      </w:r>
      <w:r>
        <w:rPr>
          <w:rFonts w:ascii="Inter" w:hAnsi="Inter" w:cs="Inter"/>
          <w:b w:val="0"/>
          <w:i w:val="0"/>
          <w:color w:val="1C1E2E"/>
          <w:sz w:val="22"/>
        </w:rPr>
        <w:t xml:space="preserve"> before cycle 2. Voluntary, revocable participation; minors excluded.</w:t>
      </w:r>
    </w:p>
    <w:p>
      <w:pPr>
        <w:pStyle w:val="ListNumber"/>
        <w:spacing w:after="60"/>
        <w:ind w:left="403"/>
      </w:pPr>
      <w:r>
        <w:rPr>
          <w:rFonts w:ascii="Inter" w:hAnsi="Inter" w:cs="Inter"/>
          <w:b/>
          <w:i w:val="0"/>
          <w:color w:val="1C1E2E"/>
          <w:sz w:val="22"/>
        </w:rPr>
        <w:t>Accessibility:</w:t>
      </w:r>
      <w:r>
        <w:rPr>
          <w:rFonts w:ascii="Inter" w:hAnsi="Inter" w:cs="Inter"/>
          <w:b w:val="0"/>
          <w:i w:val="0"/>
          <w:color w:val="1C1E2E"/>
          <w:sz w:val="22"/>
        </w:rPr>
        <w:t xml:space="preserve"> WCAG 2.1 AA across all intervention surfaces.</w:t>
      </w:r>
    </w:p>
    <w:p>
      <w:pPr>
        <w:pStyle w:val="ListNumber"/>
        <w:spacing w:after="60"/>
        <w:ind w:left="403"/>
      </w:pPr>
      <w:r>
        <w:rPr>
          <w:rFonts w:ascii="Inter" w:hAnsi="Inter" w:cs="Inter"/>
          <w:b/>
          <w:i w:val="0"/>
          <w:color w:val="1C1E2E"/>
          <w:sz w:val="22"/>
        </w:rPr>
        <w:t>Intellectual property:</w:t>
      </w:r>
      <w:r>
        <w:rPr>
          <w:rFonts w:ascii="Inter" w:hAnsi="Inter" w:cs="Inter"/>
          <w:b w:val="0"/>
          <w:i w:val="0"/>
          <w:color w:val="1C1E2E"/>
          <w:sz w:val="22"/>
        </w:rPr>
        <w:t xml:space="preserve"> the CEFR is paraphrased and cited, not reproduced; Cambridge, xAPI (ADL/IEEE), IPA and ESCO are cited as standards.</w:t>
      </w:r>
    </w:p>
    <w:p>
      <w:pPr>
        <w:spacing w:before="240" w:after="120"/>
      </w:pPr>
      <w:r>
        <w:rPr>
          <w:rFonts w:ascii="Inter" w:hAnsi="Inter" w:cs="Inter"/>
          <w:b/>
          <w:i w:val="0"/>
          <w:color w:val="1C1E2E"/>
          <w:sz w:val="26"/>
        </w:rPr>
        <w:t>6.5 Anticipated limitations</w:t>
      </w:r>
    </w:p>
    <w:p>
      <w:r>
        <w:rPr>
          <w:rFonts w:ascii="Inter" w:hAnsi="Inter" w:cs="Inter"/>
          <w:b w:val="0"/>
          <w:i w:val="0"/>
          <w:color w:val="1C1E2E"/>
          <w:sz w:val="22"/>
        </w:rPr>
        <w:t xml:space="preserve">Dependence on commercial ASR and pronunciation-assessment vendors (mitigated by declaring </w:t>
      </w:r>
      <w:r>
        <w:rPr>
          <w:rFonts w:ascii="Consolas" w:hAnsi="Consolas" w:cs="Consolas"/>
          <w:b w:val="0"/>
          <w:i w:val="0"/>
          <w:color w:val="5B5F77"/>
          <w:sz w:val="21"/>
        </w:rPr>
        <w:t>measure_model</w:t>
      </w:r>
      <w:r>
        <w:rPr>
          <w:rFonts w:ascii="Inter" w:hAnsi="Inter" w:cs="Inter"/>
          <w:b w:val="0"/>
          <w:i w:val="0"/>
          <w:color w:val="1C1E2E"/>
          <w:sz w:val="22"/>
        </w:rPr>
        <w:t xml:space="preserve"> per session and anchoring the contract to the method rather than the provider); the test case is </w:t>
      </w:r>
      <w:r>
        <w:rPr>
          <w:rFonts w:ascii="Inter" w:hAnsi="Inter" w:cs="Inter"/>
          <w:b/>
          <w:i w:val="0"/>
          <w:color w:val="1C1E2E"/>
          <w:sz w:val="22"/>
        </w:rPr>
        <w:t>business English</w:t>
      </w:r>
      <w:r>
        <w:rPr>
          <w:rFonts w:ascii="Inter" w:hAnsi="Inter" w:cs="Inter"/>
          <w:b w:val="0"/>
          <w:i w:val="0"/>
          <w:color w:val="1C1E2E"/>
          <w:sz w:val="22"/>
        </w:rPr>
        <w:t>, so generalisation to other languages and domains rests on the pack test and must be reported as a scope limitation; self-selection among users of a live product; a possible novelty effect, mitigated by follow-up measures.</w:t>
      </w:r>
    </w:p>
    <w:p>
      <w:pPr>
        <w:pBdr>
          <w:bottom w:val="single" w:sz="6" w:space="1" w:color="E6E8F2"/>
        </w:pBdr>
      </w:pPr>
    </w:p>
    <w:p>
      <w:pPr>
        <w:spacing w:before="320" w:after="120"/>
      </w:pPr>
      <w:r>
        <w:rPr>
          <w:rFonts w:ascii="Fraunces" w:hAnsi="Fraunces" w:cs="Fraunces"/>
          <w:b/>
          <w:i w:val="0"/>
          <w:color w:val="22307C"/>
          <w:sz w:val="32"/>
        </w:rPr>
        <w:t>7. Work plan</w:t>
      </w:r>
    </w:p>
    <w:p>
      <w:r>
        <w:rPr>
          <w:rFonts w:ascii="Inter" w:hAnsi="Inter" w:cs="Inter"/>
          <w:b/>
          <w:i w:val="0"/>
          <w:color w:val="1C1E2E"/>
          <w:sz w:val="22"/>
        </w:rPr>
        <w:t>Part-time, four years.</w:t>
      </w:r>
    </w:p>
    <w:tbl>
      <w:tblPr>
        <w:tblW w:type="auto" w:w="0"/>
        <w:jc w:val="left"/>
        <w:tblBorders>
          <w:top w:val="single" w:sz="4" w:space="0" w:color="E6E8F2"/>
          <w:left w:val="single" w:sz="4" w:space="0" w:color="E6E8F2"/>
          <w:bottom w:val="single" w:sz="4" w:space="0" w:color="E6E8F2"/>
          <w:right w:val="single" w:sz="4" w:space="0" w:color="E6E8F2"/>
          <w:insideH w:val="single" w:sz="4" w:space="0" w:color="E6E8F2"/>
          <w:insideV w:val="single" w:sz="4" w:space="0" w:color="E6E8F2"/>
        </w:tblBorders>
        <w:tblLayout w:type="autofit"/>
        <w:tblLook w:firstColumn="1" w:firstRow="1" w:lastColumn="0" w:lastRow="0" w:noHBand="0" w:noVBand="1" w:val="04A0"/>
      </w:tblPr>
      <w:tblGrid>
        <w:gridCol w:w="3216"/>
        <w:gridCol w:w="3216"/>
        <w:gridCol w:w="3216"/>
      </w:tblGrid>
      <w:tr>
        <w:tc>
          <w:tcPr>
            <w:tcW w:type="dxa" w:w="3216"/>
            <w:shd w:val="clear" w:color="auto" w:fill="EEF2FD"/>
          </w:tcPr>
          <w:p>
            <w:pPr>
              <w:spacing w:after="40"/>
            </w:pPr>
            <w:r/>
            <w:r>
              <w:rPr>
                <w:rFonts w:ascii="Inter" w:hAnsi="Inter" w:cs="Inter"/>
                <w:b/>
                <w:i w:val="0"/>
                <w:color w:val="22307C"/>
                <w:sz w:val="19"/>
              </w:rPr>
              <w:t>Year</w:t>
            </w:r>
          </w:p>
        </w:tc>
        <w:tc>
          <w:tcPr>
            <w:tcW w:type="dxa" w:w="3216"/>
            <w:shd w:val="clear" w:color="auto" w:fill="EEF2FD"/>
          </w:tcPr>
          <w:p>
            <w:pPr>
              <w:spacing w:after="40"/>
            </w:pPr>
            <w:r/>
            <w:r>
              <w:rPr>
                <w:rFonts w:ascii="Inter" w:hAnsi="Inter" w:cs="Inter"/>
                <w:b/>
                <w:i w:val="0"/>
                <w:color w:val="22307C"/>
                <w:sz w:val="19"/>
              </w:rPr>
              <w:t>Milestones</w:t>
            </w:r>
          </w:p>
        </w:tc>
        <w:tc>
          <w:tcPr>
            <w:tcW w:type="dxa" w:w="3216"/>
            <w:shd w:val="clear" w:color="auto" w:fill="EEF2FD"/>
          </w:tcPr>
          <w:p>
            <w:pPr>
              <w:spacing w:after="40"/>
            </w:pPr>
            <w:r/>
            <w:r>
              <w:rPr>
                <w:rFonts w:ascii="Inter" w:hAnsi="Inter" w:cs="Inter"/>
                <w:b/>
                <w:i w:val="0"/>
                <w:color w:val="22307C"/>
                <w:sz w:val="19"/>
              </w:rPr>
              <w:t>Deliverable</w:t>
            </w:r>
          </w:p>
        </w:tc>
      </w:tr>
      <w:tr>
        <w:tc>
          <w:tcPr>
            <w:tcW w:type="dxa" w:w="3216"/>
          </w:tcPr>
          <w:p>
            <w:pPr>
              <w:spacing w:after="40"/>
            </w:pPr>
            <w:r/>
            <w:r>
              <w:rPr>
                <w:rFonts w:ascii="Inter" w:hAnsi="Inter" w:cs="Inter"/>
                <w:b/>
                <w:i w:val="0"/>
                <w:color w:val="1C1E2E"/>
                <w:sz w:val="19"/>
              </w:rPr>
              <w:t>1</w:t>
            </w:r>
          </w:p>
        </w:tc>
        <w:tc>
          <w:tcPr>
            <w:tcW w:type="dxa" w:w="3216"/>
          </w:tcPr>
          <w:p>
            <w:pPr>
              <w:spacing w:after="40"/>
            </w:pPr>
            <w:r/>
            <w:r>
              <w:rPr>
                <w:rFonts w:ascii="Inter" w:hAnsi="Inter" w:cs="Inter"/>
                <w:b w:val="0"/>
                <w:i w:val="0"/>
                <w:color w:val="1C1E2E"/>
                <w:sz w:val="19"/>
              </w:rPr>
              <w:t>Systematic review; formal specification of the Measurement Module and the scale registry; design of the Tier 1 validity study; ethics submission; collaboration agreements</w:t>
            </w:r>
          </w:p>
        </w:tc>
        <w:tc>
          <w:tcPr>
            <w:tcW w:type="dxa" w:w="3216"/>
          </w:tcPr>
          <w:p>
            <w:pPr>
              <w:spacing w:after="40"/>
            </w:pPr>
            <w:r/>
            <w:r>
              <w:rPr>
                <w:rFonts w:ascii="Inter" w:hAnsi="Inter" w:cs="Inter"/>
                <w:b w:val="0"/>
                <w:i w:val="0"/>
                <w:color w:val="1C1E2E"/>
                <w:sz w:val="19"/>
              </w:rPr>
              <w:t>Specification v1.0 · approved research plan</w:t>
            </w:r>
          </w:p>
        </w:tc>
      </w:tr>
      <w:tr>
        <w:tc>
          <w:tcPr>
            <w:tcW w:type="dxa" w:w="3216"/>
          </w:tcPr>
          <w:p>
            <w:pPr>
              <w:spacing w:after="40"/>
            </w:pPr>
            <w:r/>
            <w:r>
              <w:rPr>
                <w:rFonts w:ascii="Inter" w:hAnsi="Inter" w:cs="Inter"/>
                <w:b/>
                <w:i w:val="0"/>
                <w:color w:val="1C1E2E"/>
                <w:sz w:val="19"/>
              </w:rPr>
              <w:t>2</w:t>
            </w:r>
          </w:p>
        </w:tc>
        <w:tc>
          <w:tcPr>
            <w:tcW w:type="dxa" w:w="3216"/>
          </w:tcPr>
          <w:p>
            <w:pPr>
              <w:spacing w:after="40"/>
            </w:pPr>
            <w:r/>
            <w:r>
              <w:rPr>
                <w:rFonts w:ascii="Inter" w:hAnsi="Inter" w:cs="Inter"/>
                <w:b w:val="0"/>
                <w:i w:val="0"/>
                <w:color w:val="1C1E2E"/>
                <w:sz w:val="19"/>
              </w:rPr>
              <w:t>Full cycle 1: LRS sampling, double expert human assessment, test-retest, model-size sensitivity, integrity audit</w:t>
            </w:r>
          </w:p>
        </w:tc>
        <w:tc>
          <w:tcPr>
            <w:tcW w:type="dxa" w:w="3216"/>
          </w:tcPr>
          <w:p>
            <w:pPr>
              <w:spacing w:after="40"/>
            </w:pPr>
            <w:r/>
            <w:r>
              <w:rPr>
                <w:rFonts w:ascii="Inter" w:hAnsi="Inter" w:cs="Inter"/>
                <w:b/>
                <w:i w:val="0"/>
                <w:color w:val="1C1E2E"/>
                <w:sz w:val="19"/>
              </w:rPr>
              <w:t>Paper 1</w:t>
            </w:r>
            <w:r>
              <w:rPr>
                <w:rFonts w:ascii="Inter" w:hAnsi="Inter" w:cs="Inter"/>
                <w:b w:val="0"/>
                <w:i w:val="0"/>
                <w:color w:val="1C1E2E"/>
                <w:sz w:val="19"/>
              </w:rPr>
              <w:t xml:space="preserve"> — Tier 1 validity · xAPI profile v0.9</w:t>
            </w:r>
          </w:p>
        </w:tc>
      </w:tr>
      <w:tr>
        <w:tc>
          <w:tcPr>
            <w:tcW w:type="dxa" w:w="3216"/>
          </w:tcPr>
          <w:p>
            <w:pPr>
              <w:spacing w:after="40"/>
            </w:pPr>
            <w:r/>
            <w:r>
              <w:rPr>
                <w:rFonts w:ascii="Inter" w:hAnsi="Inter" w:cs="Inter"/>
                <w:b/>
                <w:i w:val="0"/>
                <w:color w:val="1C1E2E"/>
                <w:sz w:val="19"/>
              </w:rPr>
              <w:t>3</w:t>
            </w:r>
          </w:p>
        </w:tc>
        <w:tc>
          <w:tcPr>
            <w:tcW w:type="dxa" w:w="3216"/>
          </w:tcPr>
          <w:p>
            <w:pPr>
              <w:spacing w:after="40"/>
            </w:pPr>
            <w:r/>
            <w:r>
              <w:rPr>
                <w:rFonts w:ascii="Inter" w:hAnsi="Inter" w:cs="Inter"/>
                <w:b w:val="0"/>
                <w:i w:val="0"/>
                <w:color w:val="1C1E2E"/>
                <w:sz w:val="19"/>
              </w:rPr>
              <w:t>Cycle 2: acoustic-layer integration (Tier 2), concurrent validity, noticing uptake study; research stay</w:t>
            </w:r>
          </w:p>
        </w:tc>
        <w:tc>
          <w:tcPr>
            <w:tcW w:type="dxa" w:w="3216"/>
          </w:tcPr>
          <w:p>
            <w:pPr>
              <w:spacing w:after="40"/>
            </w:pPr>
            <w:r/>
            <w:r>
              <w:rPr>
                <w:rFonts w:ascii="Inter" w:hAnsi="Inter" w:cs="Inter"/>
                <w:b/>
                <w:i w:val="0"/>
                <w:color w:val="1C1E2E"/>
                <w:sz w:val="19"/>
              </w:rPr>
              <w:t>Paper 2</w:t>
            </w:r>
            <w:r>
              <w:rPr>
                <w:rFonts w:ascii="Inter" w:hAnsi="Inter" w:cs="Inter"/>
                <w:b w:val="0"/>
                <w:i w:val="0"/>
                <w:color w:val="1C1E2E"/>
                <w:sz w:val="19"/>
              </w:rPr>
              <w:t xml:space="preserve"> — instrumented pronunciation and noticing</w:t>
            </w:r>
          </w:p>
        </w:tc>
      </w:tr>
      <w:tr>
        <w:tc>
          <w:tcPr>
            <w:tcW w:type="dxa" w:w="3216"/>
          </w:tcPr>
          <w:p>
            <w:pPr>
              <w:spacing w:after="40"/>
            </w:pPr>
            <w:r/>
            <w:r>
              <w:rPr>
                <w:rFonts w:ascii="Inter" w:hAnsi="Inter" w:cs="Inter"/>
                <w:b/>
                <w:i w:val="0"/>
                <w:color w:val="1C1E2E"/>
                <w:sz w:val="19"/>
              </w:rPr>
              <w:t>4</w:t>
            </w:r>
          </w:p>
        </w:tc>
        <w:tc>
          <w:tcPr>
            <w:tcW w:type="dxa" w:w="3216"/>
          </w:tcPr>
          <w:p>
            <w:pPr>
              <w:spacing w:after="40"/>
            </w:pPr>
            <w:r/>
            <w:r>
              <w:rPr>
                <w:rFonts w:ascii="Inter" w:hAnsi="Inter" w:cs="Inter"/>
                <w:b w:val="0"/>
                <w:i w:val="0"/>
                <w:color w:val="1C1E2E"/>
                <w:sz w:val="19"/>
              </w:rPr>
              <w:t>Cycle 3: IPA inventory and bespoke GOP (Tier 3); engine + pack replicability test; writing, deposit and viva</w:t>
            </w:r>
          </w:p>
        </w:tc>
        <w:tc>
          <w:tcPr>
            <w:tcW w:type="dxa" w:w="3216"/>
          </w:tcPr>
          <w:p>
            <w:pPr>
              <w:spacing w:after="40"/>
            </w:pPr>
            <w:r/>
            <w:r>
              <w:rPr>
                <w:rFonts w:ascii="Inter" w:hAnsi="Inter" w:cs="Inter"/>
                <w:b/>
                <w:i w:val="0"/>
                <w:color w:val="1C1E2E"/>
                <w:sz w:val="19"/>
              </w:rPr>
              <w:t>Paper 3</w:t>
            </w:r>
            <w:r>
              <w:rPr>
                <w:rFonts w:ascii="Inter" w:hAnsi="Inter" w:cs="Inter"/>
                <w:b w:val="0"/>
                <w:i w:val="0"/>
                <w:color w:val="1C1E2E"/>
                <w:sz w:val="19"/>
              </w:rPr>
              <w:t xml:space="preserve"> — phonemic GOP · thesis deposited · international mention</w:t>
            </w:r>
          </w:p>
        </w:tc>
      </w:tr>
    </w:tbl>
    <w:p/>
    <w:p>
      <w:r>
        <w:rPr>
          <w:rFonts w:ascii="Inter" w:hAnsi="Inter" w:cs="Inter"/>
          <w:b/>
          <w:i w:val="0"/>
          <w:color w:val="1C1E2E"/>
          <w:sz w:val="22"/>
        </w:rPr>
        <w:t>International mention:</w:t>
      </w:r>
      <w:r>
        <w:rPr>
          <w:rFonts w:ascii="Inter" w:hAnsi="Inter" w:cs="Inter"/>
          <w:b w:val="0"/>
          <w:i w:val="0"/>
          <w:color w:val="1C1E2E"/>
          <w:sz w:val="22"/>
        </w:rPr>
        <w:t xml:space="preserve"> a three-month stay in year 3 at a European reference group in speech assessment or CALL, and part of the thesis written in English.</w:t>
      </w:r>
    </w:p>
    <w:p>
      <w:pPr>
        <w:pBdr>
          <w:bottom w:val="single" w:sz="6" w:space="1" w:color="E6E8F2"/>
        </w:pBdr>
      </w:pPr>
    </w:p>
    <w:p>
      <w:pPr>
        <w:spacing w:before="320" w:after="120"/>
      </w:pPr>
      <w:r>
        <w:rPr>
          <w:rFonts w:ascii="Fraunces" w:hAnsi="Fraunces" w:cs="Fraunces"/>
          <w:b/>
          <w:i w:val="0"/>
          <w:color w:val="22307C"/>
          <w:sz w:val="32"/>
        </w:rPr>
        <w:t>8. Expected outcomes and original contribution</w:t>
      </w:r>
    </w:p>
    <w:p>
      <w:pPr>
        <w:pStyle w:val="ListNumber"/>
        <w:spacing w:after="60"/>
        <w:ind w:left="403"/>
      </w:pPr>
      <w:r>
        <w:rPr>
          <w:rFonts w:ascii="Inter" w:hAnsi="Inter" w:cs="Inter"/>
          <w:b/>
          <w:i w:val="0"/>
          <w:color w:val="1C1E2E"/>
          <w:sz w:val="22"/>
        </w:rPr>
        <w:t>An open specification of MLLDE in both pillars</w:t>
      </w:r>
      <w:r>
        <w:rPr>
          <w:rFonts w:ascii="Inter" w:hAnsi="Inter" w:cs="Inter"/>
          <w:b w:val="0"/>
          <w:i w:val="0"/>
          <w:color w:val="1C1E2E"/>
          <w:sz w:val="22"/>
        </w:rPr>
        <w:t xml:space="preserve"> — the design contract with its modality profile and conformance rubric, and the Measurement Module with its CEFR scale registry, pack schema and consolidator rules, applicable by third parties.</w:t>
      </w:r>
    </w:p>
    <w:p>
      <w:pPr>
        <w:pStyle w:val="ListNumber"/>
        <w:spacing w:after="60"/>
        <w:ind w:left="403"/>
      </w:pPr>
      <w:r>
        <w:rPr>
          <w:rFonts w:ascii="Inter" w:hAnsi="Inter" w:cs="Inter"/>
          <w:b/>
          <w:i w:val="0"/>
          <w:color w:val="1C1E2E"/>
          <w:sz w:val="22"/>
        </w:rPr>
        <w:t>Tier 1 validity evidence</w:t>
      </w:r>
      <w:r>
        <w:rPr>
          <w:rFonts w:ascii="Inter" w:hAnsi="Inter" w:cs="Inter"/>
          <w:b w:val="0"/>
          <w:i w:val="0"/>
          <w:color w:val="1C1E2E"/>
          <w:sz w:val="22"/>
        </w:rPr>
        <w:t xml:space="preserve"> — agreement with expert human assessment, stability and model sensitivity, on production data.</w:t>
      </w:r>
    </w:p>
    <w:p>
      <w:pPr>
        <w:pStyle w:val="ListNumber"/>
        <w:spacing w:after="60"/>
        <w:ind w:left="403"/>
      </w:pPr>
      <w:r>
        <w:rPr>
          <w:rFonts w:ascii="Inter" w:hAnsi="Inter" w:cs="Inter"/>
          <w:b/>
          <w:i w:val="0"/>
          <w:color w:val="1C1E2E"/>
          <w:sz w:val="22"/>
        </w:rPr>
        <w:t>Pronunciation switched on and explained</w:t>
      </w:r>
      <w:r>
        <w:rPr>
          <w:rFonts w:ascii="Inter" w:hAnsi="Inter" w:cs="Inter"/>
          <w:b w:val="0"/>
          <w:i w:val="0"/>
          <w:color w:val="1C1E2E"/>
          <w:sz w:val="22"/>
        </w:rPr>
        <w:t xml:space="preserve"> — from the honest "—" to instrumented Tier 2 and phonemic Tier 3, with an IPA inventory per level and accepted variants.</w:t>
      </w:r>
    </w:p>
    <w:p>
      <w:pPr>
        <w:pStyle w:val="ListNumber"/>
        <w:spacing w:after="60"/>
        <w:ind w:left="403"/>
      </w:pPr>
      <w:r>
        <w:rPr>
          <w:rFonts w:ascii="Inter" w:hAnsi="Inter" w:cs="Inter"/>
          <w:b/>
          <w:i w:val="0"/>
          <w:color w:val="1C1E2E"/>
          <w:sz w:val="22"/>
        </w:rPr>
        <w:t>An open xAPI profile</w:t>
      </w:r>
      <w:r>
        <w:rPr>
          <w:rFonts w:ascii="Inter" w:hAnsi="Inter" w:cs="Inter"/>
          <w:b w:val="0"/>
          <w:i w:val="0"/>
          <w:color w:val="1C1E2E"/>
          <w:sz w:val="22"/>
        </w:rPr>
        <w:t xml:space="preserve"> for CEFR-anchored competence evidence, carrying tier and measurement-model declarations.</w:t>
      </w:r>
    </w:p>
    <w:p>
      <w:pPr>
        <w:pStyle w:val="ListNumber"/>
        <w:spacing w:after="60"/>
        <w:ind w:left="403"/>
      </w:pPr>
      <w:r>
        <w:rPr>
          <w:rFonts w:ascii="Inter" w:hAnsi="Inter" w:cs="Inter"/>
          <w:b/>
          <w:i w:val="0"/>
          <w:color w:val="1C1E2E"/>
          <w:sz w:val="22"/>
        </w:rPr>
        <w:t>The engine + pack replicability test</w:t>
      </w:r>
      <w:r>
        <w:rPr>
          <w:rFonts w:ascii="Inter" w:hAnsi="Inter" w:cs="Inter"/>
          <w:b w:val="0"/>
          <w:i w:val="0"/>
          <w:color w:val="1C1E2E"/>
          <w:sz w:val="22"/>
        </w:rPr>
        <w:t xml:space="preserve"> in a second application.</w:t>
      </w:r>
    </w:p>
    <w:p>
      <w:pPr>
        <w:pStyle w:val="ListNumber"/>
        <w:spacing w:after="60"/>
        <w:ind w:left="403"/>
      </w:pPr>
      <w:r>
        <w:rPr>
          <w:rFonts w:ascii="Inter" w:hAnsi="Inter" w:cs="Inter"/>
          <w:b/>
          <w:i w:val="0"/>
          <w:color w:val="1C1E2E"/>
          <w:sz w:val="22"/>
        </w:rPr>
        <w:t>An evidence-honesty policy</w:t>
      </w:r>
      <w:r>
        <w:rPr>
          <w:rFonts w:ascii="Inter" w:hAnsi="Inter" w:cs="Inter"/>
          <w:b w:val="0"/>
          <w:i w:val="0"/>
          <w:color w:val="1C1E2E"/>
          <w:sz w:val="22"/>
        </w:rPr>
        <w:t xml:space="preserve"> transferable to any AI-based educational product.</w:t>
      </w:r>
    </w:p>
    <w:p>
      <w:r>
        <w:rPr>
          <w:rFonts w:ascii="Inter" w:hAnsi="Inter" w:cs="Inter"/>
          <w:b/>
          <w:i w:val="0"/>
          <w:color w:val="1C1E2E"/>
          <w:sz w:val="22"/>
        </w:rPr>
        <w:t>Originality.</w:t>
      </w:r>
      <w:r>
        <w:rPr>
          <w:rFonts w:ascii="Inter" w:hAnsi="Inter" w:cs="Inter"/>
          <w:b w:val="0"/>
          <w:i w:val="0"/>
          <w:color w:val="1C1E2E"/>
          <w:sz w:val="22"/>
        </w:rPr>
        <w:t xml:space="preserve"> Not a new rubric, nor a new acoustic algorithm, but </w:t>
      </w:r>
      <w:r>
        <w:rPr>
          <w:rFonts w:ascii="Inter" w:hAnsi="Inter" w:cs="Inter"/>
          <w:b/>
          <w:i w:val="0"/>
          <w:color w:val="1C1E2E"/>
          <w:sz w:val="22"/>
        </w:rPr>
        <w:t>an architecture of responsibility</w:t>
      </w:r>
      <w:r>
        <w:rPr>
          <w:rFonts w:ascii="Inter" w:hAnsi="Inter" w:cs="Inter"/>
          <w:b w:val="0"/>
          <w:i w:val="0"/>
          <w:color w:val="1C1E2E"/>
          <w:sz w:val="22"/>
        </w:rPr>
        <w:t>: separating observation from decision, requiring every claim to declare its precision, and making both verifiable in interoperable data. It is a methodological contribution to AI-assisted assessment, with pronunciation as the test case carried through to phoneme level.</w:t>
      </w:r>
    </w:p>
    <w:p>
      <w:pPr>
        <w:pBdr>
          <w:bottom w:val="single" w:sz="6" w:space="1" w:color="E6E8F2"/>
        </w:pBdr>
      </w:pPr>
    </w:p>
    <w:p>
      <w:pPr>
        <w:spacing w:before="320" w:after="120"/>
      </w:pPr>
      <w:r>
        <w:rPr>
          <w:rFonts w:ascii="Fraunces" w:hAnsi="Fraunces" w:cs="Fraunces"/>
          <w:b/>
          <w:i w:val="0"/>
          <w:color w:val="22307C"/>
          <w:sz w:val="32"/>
        </w:rPr>
        <w:t>9. Dissemination</w:t>
      </w:r>
    </w:p>
    <w:p>
      <w:r>
        <w:rPr>
          <w:rFonts w:ascii="Inter" w:hAnsi="Inter" w:cs="Inter"/>
          <w:b/>
          <w:i w:val="0"/>
          <w:color w:val="1C1E2E"/>
          <w:sz w:val="22"/>
        </w:rPr>
        <w:t>Target journals:</w:t>
      </w:r>
      <w:r>
        <w:rPr>
          <w:rFonts w:ascii="Inter" w:hAnsi="Inter" w:cs="Inter"/>
          <w:b w:val="0"/>
          <w:i w:val="0"/>
          <w:color w:val="1C1E2E"/>
          <w:sz w:val="22"/>
        </w:rPr>
        <w:t xml:space="preserve"> </w:t>
      </w:r>
      <w:r>
        <w:rPr>
          <w:rFonts w:ascii="Inter" w:hAnsi="Inter" w:cs="Inter"/>
          <w:b w:val="0"/>
          <w:i/>
          <w:color w:val="1C1E2E"/>
          <w:sz w:val="22"/>
        </w:rPr>
        <w:t>Language Testing</w:t>
      </w:r>
      <w:r>
        <w:rPr>
          <w:rFonts w:ascii="Inter" w:hAnsi="Inter" w:cs="Inter"/>
          <w:b w:val="0"/>
          <w:i w:val="0"/>
          <w:color w:val="1C1E2E"/>
          <w:sz w:val="22"/>
        </w:rPr>
        <w:t xml:space="preserve"> · </w:t>
      </w:r>
      <w:r>
        <w:rPr>
          <w:rFonts w:ascii="Inter" w:hAnsi="Inter" w:cs="Inter"/>
          <w:b w:val="0"/>
          <w:i/>
          <w:color w:val="1C1E2E"/>
          <w:sz w:val="22"/>
        </w:rPr>
        <w:t>Assessing Speaking / Assessing Writing</w:t>
      </w:r>
      <w:r>
        <w:rPr>
          <w:rFonts w:ascii="Inter" w:hAnsi="Inter" w:cs="Inter"/>
          <w:b w:val="0"/>
          <w:i w:val="0"/>
          <w:color w:val="1C1E2E"/>
          <w:sz w:val="22"/>
        </w:rPr>
        <w:t xml:space="preserve"> · </w:t>
      </w:r>
      <w:r>
        <w:rPr>
          <w:rFonts w:ascii="Inter" w:hAnsi="Inter" w:cs="Inter"/>
          <w:b w:val="0"/>
          <w:i/>
          <w:color w:val="1C1E2E"/>
          <w:sz w:val="22"/>
        </w:rPr>
        <w:t>ReCALL</w:t>
      </w:r>
      <w:r>
        <w:rPr>
          <w:rFonts w:ascii="Inter" w:hAnsi="Inter" w:cs="Inter"/>
          <w:b w:val="0"/>
          <w:i w:val="0"/>
          <w:color w:val="1C1E2E"/>
          <w:sz w:val="22"/>
        </w:rPr>
        <w:t xml:space="preserve"> · </w:t>
      </w:r>
      <w:r>
        <w:rPr>
          <w:rFonts w:ascii="Inter" w:hAnsi="Inter" w:cs="Inter"/>
          <w:b w:val="0"/>
          <w:i/>
          <w:color w:val="1C1E2E"/>
          <w:sz w:val="22"/>
        </w:rPr>
        <w:t>Computer Assisted Language Learning</w:t>
      </w:r>
      <w:r>
        <w:rPr>
          <w:rFonts w:ascii="Inter" w:hAnsi="Inter" w:cs="Inter"/>
          <w:b w:val="0"/>
          <w:i w:val="0"/>
          <w:color w:val="1C1E2E"/>
          <w:sz w:val="22"/>
        </w:rPr>
        <w:t xml:space="preserve"> · </w:t>
      </w:r>
      <w:r>
        <w:rPr>
          <w:rFonts w:ascii="Inter" w:hAnsi="Inter" w:cs="Inter"/>
          <w:b w:val="0"/>
          <w:i/>
          <w:color w:val="1C1E2E"/>
          <w:sz w:val="22"/>
        </w:rPr>
        <w:t>Language Learning &amp; Technology</w:t>
      </w:r>
      <w:r>
        <w:rPr>
          <w:rFonts w:ascii="Inter" w:hAnsi="Inter" w:cs="Inter"/>
          <w:b w:val="0"/>
          <w:i w:val="0"/>
          <w:color w:val="1C1E2E"/>
          <w:sz w:val="22"/>
        </w:rPr>
        <w:t xml:space="preserve"> · </w:t>
      </w:r>
      <w:r>
        <w:rPr>
          <w:rFonts w:ascii="Inter" w:hAnsi="Inter" w:cs="Inter"/>
          <w:b w:val="0"/>
          <w:i/>
          <w:color w:val="1C1E2E"/>
          <w:sz w:val="22"/>
        </w:rPr>
        <w:t>Speech Communication</w:t>
      </w:r>
      <w:r>
        <w:rPr>
          <w:rFonts w:ascii="Inter" w:hAnsi="Inter" w:cs="Inter"/>
          <w:b w:val="0"/>
          <w:i w:val="0"/>
          <w:color w:val="1C1E2E"/>
          <w:sz w:val="22"/>
        </w:rPr>
        <w:t xml:space="preserve"> · </w:t>
      </w:r>
      <w:r>
        <w:rPr>
          <w:rFonts w:ascii="Inter" w:hAnsi="Inter" w:cs="Inter"/>
          <w:b w:val="0"/>
          <w:i/>
          <w:color w:val="1C1E2E"/>
          <w:sz w:val="22"/>
        </w:rPr>
        <w:t>System</w:t>
      </w:r>
      <w:r>
        <w:rPr>
          <w:rFonts w:ascii="Inter" w:hAnsi="Inter" w:cs="Inter"/>
          <w:b w:val="0"/>
          <w:i w:val="0"/>
          <w:color w:val="1C1E2E"/>
          <w:sz w:val="22"/>
        </w:rPr>
        <w:t xml:space="preserve"> · </w:t>
      </w:r>
      <w:r>
        <w:rPr>
          <w:rFonts w:ascii="Inter" w:hAnsi="Inter" w:cs="Inter"/>
          <w:b w:val="0"/>
          <w:i/>
          <w:color w:val="1C1E2E"/>
          <w:sz w:val="22"/>
        </w:rPr>
        <w:t>Computers &amp; Education</w:t>
      </w:r>
      <w:r>
        <w:rPr>
          <w:rFonts w:ascii="Inter" w:hAnsi="Inter" w:cs="Inter"/>
          <w:b w:val="0"/>
          <w:i w:val="0"/>
          <w:color w:val="1C1E2E"/>
          <w:sz w:val="22"/>
        </w:rPr>
        <w:t xml:space="preserve"> · </w:t>
      </w:r>
      <w:r>
        <w:rPr>
          <w:rFonts w:ascii="Inter" w:hAnsi="Inter" w:cs="Inter"/>
          <w:b w:val="0"/>
          <w:i/>
          <w:color w:val="1C1E2E"/>
          <w:sz w:val="22"/>
        </w:rPr>
        <w:t>RESLA</w:t>
      </w:r>
      <w:r>
        <w:rPr>
          <w:rFonts w:ascii="Inter" w:hAnsi="Inter" w:cs="Inter"/>
          <w:b w:val="0"/>
          <w:i w:val="0"/>
          <w:color w:val="1C1E2E"/>
          <w:sz w:val="22"/>
        </w:rPr>
        <w:t xml:space="preserve"> · </w:t>
      </w:r>
      <w:r>
        <w:rPr>
          <w:rFonts w:ascii="Inter" w:hAnsi="Inter" w:cs="Inter"/>
          <w:b w:val="0"/>
          <w:i/>
          <w:color w:val="1C1E2E"/>
          <w:sz w:val="22"/>
        </w:rPr>
        <w:t>Educación XX1</w:t>
      </w:r>
      <w:r>
        <w:rPr>
          <w:rFonts w:ascii="Inter" w:hAnsi="Inter" w:cs="Inter"/>
          <w:b w:val="0"/>
          <w:i w:val="0"/>
          <w:color w:val="1C1E2E"/>
          <w:sz w:val="22"/>
        </w:rPr>
        <w:t>.</w:t>
      </w:r>
    </w:p>
    <w:p>
      <w:r>
        <w:rPr>
          <w:rFonts w:ascii="Inter" w:hAnsi="Inter" w:cs="Inter"/>
          <w:b/>
          <w:i w:val="0"/>
          <w:color w:val="1C1E2E"/>
          <w:sz w:val="22"/>
        </w:rPr>
        <w:t>Conferences:</w:t>
      </w:r>
      <w:r>
        <w:rPr>
          <w:rFonts w:ascii="Inter" w:hAnsi="Inter" w:cs="Inter"/>
          <w:b w:val="0"/>
          <w:i w:val="0"/>
          <w:color w:val="1C1E2E"/>
          <w:sz w:val="22"/>
        </w:rPr>
        <w:t xml:space="preserve"> EUROCALL · WorldCALL · Interspeech / SLaTE · ALTE · EALTA · AESLA · AELFE · UPV Educational Innovation conference.</w:t>
      </w:r>
    </w:p>
    <w:p>
      <w:r>
        <w:rPr>
          <w:rFonts w:ascii="Inter" w:hAnsi="Inter" w:cs="Inter"/>
          <w:b/>
          <w:i w:val="0"/>
          <w:color w:val="1C1E2E"/>
          <w:sz w:val="22"/>
        </w:rPr>
        <w:t>Open access:</w:t>
      </w:r>
      <w:r>
        <w:rPr>
          <w:rFonts w:ascii="Inter" w:hAnsi="Inter" w:cs="Inter"/>
          <w:b w:val="0"/>
          <w:i w:val="0"/>
          <w:color w:val="1C1E2E"/>
          <w:sz w:val="22"/>
        </w:rPr>
        <w:t xml:space="preserve"> specification, registry, rubrics and xAPI profile in a public repository; RiuNet (UPV); ORCID.</w:t>
      </w:r>
    </w:p>
    <w:p>
      <w:pPr>
        <w:pBdr>
          <w:bottom w:val="single" w:sz="6" w:space="1" w:color="E6E8F2"/>
        </w:pBdr>
      </w:pPr>
    </w:p>
    <w:p>
      <w:pPr>
        <w:spacing w:before="320" w:after="120"/>
      </w:pPr>
      <w:r>
        <w:rPr>
          <w:rFonts w:ascii="Fraunces" w:hAnsi="Fraunces" w:cs="Fraunces"/>
          <w:b/>
          <w:i w:val="0"/>
          <w:color w:val="22307C"/>
          <w:sz w:val="32"/>
        </w:rPr>
        <w:t>10. Feasibility and institutional fit</w:t>
      </w:r>
    </w:p>
    <w:p>
      <w:r>
        <w:rPr>
          <w:rFonts w:ascii="Inter" w:hAnsi="Inter" w:cs="Inter"/>
          <w:b/>
          <w:i w:val="0"/>
          <w:color w:val="1C1E2E"/>
          <w:sz w:val="22"/>
        </w:rPr>
        <w:t>Technical.</w:t>
      </w:r>
      <w:r>
        <w:rPr>
          <w:rFonts w:ascii="Inter" w:hAnsi="Inter" w:cs="Inter"/>
          <w:b w:val="0"/>
          <w:i w:val="0"/>
          <w:color w:val="1C1E2E"/>
          <w:sz w:val="22"/>
        </w:rPr>
        <w:t xml:space="preserve"> Tier 1 is </w:t>
      </w:r>
      <w:r>
        <w:rPr>
          <w:rFonts w:ascii="Inter" w:hAnsi="Inter" w:cs="Inter"/>
          <w:b/>
          <w:i w:val="0"/>
          <w:color w:val="1C1E2E"/>
          <w:sz w:val="22"/>
        </w:rPr>
        <w:t>in production and verified</w:t>
      </w:r>
      <w:r>
        <w:rPr>
          <w:rFonts w:ascii="Inter" w:hAnsi="Inter" w:cs="Inter"/>
          <w:b w:val="0"/>
          <w:i w:val="0"/>
          <w:color w:val="1C1E2E"/>
          <w:sz w:val="22"/>
        </w:rPr>
        <w:t xml:space="preserve"> against a live LRS; the candidate has administered LMSs since 2019, packages SCORM/xAPI, and built the whole system. The data-collection infrastructure does not need creating — it needs validating.</w:t>
      </w:r>
    </w:p>
    <w:p>
      <w:r>
        <w:rPr>
          <w:rFonts w:ascii="Inter" w:hAnsi="Inter" w:cs="Inter"/>
          <w:b/>
          <w:i w:val="0"/>
          <w:color w:val="1C1E2E"/>
          <w:sz w:val="22"/>
        </w:rPr>
        <w:t>Field access.</w:t>
      </w:r>
      <w:r>
        <w:rPr>
          <w:rFonts w:ascii="Inter" w:hAnsi="Inter" w:cs="Inter"/>
          <w:b w:val="0"/>
          <w:i w:val="0"/>
          <w:color w:val="1C1E2E"/>
          <w:sz w:val="22"/>
        </w:rPr>
        <w:t xml:space="preserve"> A real population of adult learners through TK Coach, plus twenty years of teaching and accreditation as an Instituto Cervantes DELE examiner.</w:t>
      </w:r>
    </w:p>
    <w:p>
      <w:r>
        <w:rPr>
          <w:rFonts w:ascii="Inter" w:hAnsi="Inter" w:cs="Inter"/>
          <w:b/>
          <w:i w:val="0"/>
          <w:color w:val="1C1E2E"/>
          <w:sz w:val="22"/>
        </w:rPr>
        <w:t>Resources.</w:t>
      </w:r>
      <w:r>
        <w:rPr>
          <w:rFonts w:ascii="Inter" w:hAnsi="Inter" w:cs="Inter"/>
          <w:b w:val="0"/>
          <w:i w:val="0"/>
          <w:color w:val="1C1E2E"/>
          <w:sz w:val="22"/>
        </w:rPr>
        <w:t xml:space="preserve"> LRS (Veracity, already running); LLM and vendor pronunciation-assessment API credits for Tier 2; expert human rater time (the main cost line); open statistical tooling; funding for the research stay and open-access fees — pre-doctoral and mobility calls will be applied for.</w:t>
      </w:r>
    </w:p>
    <w:p>
      <w:r>
        <w:rPr>
          <w:rFonts w:ascii="Inter" w:hAnsi="Inter" w:cs="Inter"/>
          <w:b/>
          <w:i w:val="0"/>
          <w:color w:val="1C1E2E"/>
          <w:sz w:val="22"/>
        </w:rPr>
        <w:t>Fit with UPV.</w:t>
      </w:r>
      <w:r>
        <w:rPr>
          <w:rFonts w:ascii="Inter" w:hAnsi="Inter" w:cs="Inter"/>
          <w:b w:val="0"/>
          <w:i w:val="0"/>
          <w:color w:val="1C1E2E"/>
          <w:sz w:val="22"/>
        </w:rPr>
        <w:t xml:space="preserve"> The proposal belongs in the </w:t>
      </w:r>
      <w:r>
        <w:rPr>
          <w:rFonts w:ascii="Inter" w:hAnsi="Inter" w:cs="Inter"/>
          <w:b/>
          <w:i w:val="0"/>
          <w:color w:val="1C1E2E"/>
          <w:sz w:val="22"/>
        </w:rPr>
        <w:t>Department of Applied Linguistics</w:t>
      </w:r>
      <w:r>
        <w:rPr>
          <w:rFonts w:ascii="Inter" w:hAnsi="Inter" w:cs="Inter"/>
          <w:b w:val="0"/>
          <w:i w:val="0"/>
          <w:color w:val="1C1E2E"/>
          <w:sz w:val="22"/>
        </w:rPr>
        <w:t>, where the candidate took her master's and carried out her corpus research on metadiscourse, and where the gamified IPO model informing MLLDE's instructional design was developed.</w:t>
      </w:r>
    </w:p>
    <w:p>
      <w:pPr>
        <w:pBdr>
          <w:bottom w:val="single" w:sz="6" w:space="1" w:color="E6E8F2"/>
        </w:pBdr>
      </w:pPr>
    </w:p>
    <w:p>
      <w:pPr>
        <w:spacing w:before="320" w:after="120"/>
      </w:pPr>
      <w:r>
        <w:rPr>
          <w:rFonts w:ascii="Fraunces" w:hAnsi="Fraunces" w:cs="Fraunces"/>
          <w:b/>
          <w:i w:val="0"/>
          <w:color w:val="22307C"/>
          <w:sz w:val="32"/>
        </w:rPr>
        <w:t>11. References (APA 7th)</w:t>
      </w:r>
    </w:p>
    <w:p>
      <w:r>
        <w:rPr>
          <w:rFonts w:ascii="Inter" w:hAnsi="Inter" w:cs="Inter"/>
          <w:b w:val="0"/>
          <w:i w:val="0"/>
          <w:color w:val="1C1E2E"/>
          <w:sz w:val="22"/>
        </w:rPr>
        <w:t xml:space="preserve">Advanced Distributed Learning Initiative. (2017). </w:t>
      </w:r>
      <w:r>
        <w:rPr>
          <w:rFonts w:ascii="Inter" w:hAnsi="Inter" w:cs="Inter"/>
          <w:b w:val="0"/>
          <w:i/>
          <w:color w:val="1C1E2E"/>
          <w:sz w:val="22"/>
        </w:rPr>
        <w:t>xAPI profiles specification</w:t>
      </w:r>
      <w:r>
        <w:rPr>
          <w:rFonts w:ascii="Inter" w:hAnsi="Inter" w:cs="Inter"/>
          <w:b w:val="0"/>
          <w:i w:val="0"/>
          <w:color w:val="1C1E2E"/>
          <w:sz w:val="22"/>
        </w:rPr>
        <w:t xml:space="preserve"> (Version 1.0). https://adlnet.github.io/xapi-profiles/</w:t>
      </w:r>
    </w:p>
    <w:p>
      <w:r>
        <w:rPr>
          <w:rFonts w:ascii="Inter" w:hAnsi="Inter" w:cs="Inter"/>
          <w:b w:val="0"/>
          <w:i w:val="0"/>
          <w:color w:val="1C1E2E"/>
          <w:sz w:val="22"/>
        </w:rPr>
        <w:t xml:space="preserve">Casañ-Pitarch, R. (2017). </w:t>
      </w:r>
      <w:r>
        <w:rPr>
          <w:rFonts w:ascii="Inter" w:hAnsi="Inter" w:cs="Inter"/>
          <w:b w:val="0"/>
          <w:i/>
          <w:color w:val="1C1E2E"/>
          <w:sz w:val="22"/>
        </w:rPr>
        <w:t>An approach to digital game-based learning: Video-games principles for language learning</w:t>
      </w:r>
      <w:r>
        <w:rPr>
          <w:rFonts w:ascii="Inter" w:hAnsi="Inter" w:cs="Inter"/>
          <w:b w:val="0"/>
          <w:i w:val="0"/>
          <w:color w:val="1C1E2E"/>
          <w:sz w:val="22"/>
        </w:rPr>
        <w:t>. Journal of Language Teaching and Research.</w:t>
      </w:r>
    </w:p>
    <w:p>
      <w:r>
        <w:rPr>
          <w:rFonts w:ascii="Inter" w:hAnsi="Inter" w:cs="Inter"/>
          <w:b w:val="0"/>
          <w:i w:val="0"/>
          <w:color w:val="1C1E2E"/>
          <w:sz w:val="22"/>
        </w:rPr>
        <w:t xml:space="preserve">Council of Europe. (2020). </w:t>
      </w:r>
      <w:r>
        <w:rPr>
          <w:rFonts w:ascii="Inter" w:hAnsi="Inter" w:cs="Inter"/>
          <w:b w:val="0"/>
          <w:i/>
          <w:color w:val="1C1E2E"/>
          <w:sz w:val="22"/>
        </w:rPr>
        <w:t>Common European Framework of Reference for Languages: Learning, teaching, assessment — Companion volume</w:t>
      </w:r>
      <w:r>
        <w:rPr>
          <w:rFonts w:ascii="Inter" w:hAnsi="Inter" w:cs="Inter"/>
          <w:b w:val="0"/>
          <w:i w:val="0"/>
          <w:color w:val="1C1E2E"/>
          <w:sz w:val="22"/>
        </w:rPr>
        <w:t>. Council of Europe Publishing.</w:t>
      </w:r>
    </w:p>
    <w:p>
      <w:r>
        <w:rPr>
          <w:rFonts w:ascii="Inter" w:hAnsi="Inter" w:cs="Inter"/>
          <w:b w:val="0"/>
          <w:i w:val="0"/>
          <w:color w:val="1C1E2E"/>
          <w:sz w:val="22"/>
        </w:rPr>
        <w:t xml:space="preserve">Coyle, D. (2007). Content and language integrated learning: Towards a connected research agenda for CLIL pedagogies. </w:t>
      </w:r>
      <w:r>
        <w:rPr>
          <w:rFonts w:ascii="Inter" w:hAnsi="Inter" w:cs="Inter"/>
          <w:b w:val="0"/>
          <w:i/>
          <w:color w:val="1C1E2E"/>
          <w:sz w:val="22"/>
        </w:rPr>
        <w:t>International Journal of Bilingual Education and Bilingualism, 10</w:t>
      </w:r>
      <w:r>
        <w:rPr>
          <w:rFonts w:ascii="Inter" w:hAnsi="Inter" w:cs="Inter"/>
          <w:b w:val="0"/>
          <w:i w:val="0"/>
          <w:color w:val="1C1E2E"/>
          <w:sz w:val="22"/>
        </w:rPr>
        <w:t>(5), 543–562.</w:t>
      </w:r>
    </w:p>
    <w:p>
      <w:r>
        <w:rPr>
          <w:rFonts w:ascii="Inter" w:hAnsi="Inter" w:cs="Inter"/>
          <w:b w:val="0"/>
          <w:i w:val="0"/>
          <w:color w:val="1C1E2E"/>
          <w:sz w:val="22"/>
        </w:rPr>
        <w:t xml:space="preserve">Crawford, M. L. (2001). </w:t>
      </w:r>
      <w:r>
        <w:rPr>
          <w:rFonts w:ascii="Inter" w:hAnsi="Inter" w:cs="Inter"/>
          <w:b w:val="0"/>
          <w:i/>
          <w:color w:val="1C1E2E"/>
          <w:sz w:val="22"/>
        </w:rPr>
        <w:t>Teaching contextually: Research, rationale, and techniques for improving student motivation and achievement in mathematics and science</w:t>
      </w:r>
      <w:r>
        <w:rPr>
          <w:rFonts w:ascii="Inter" w:hAnsi="Inter" w:cs="Inter"/>
          <w:b w:val="0"/>
          <w:i w:val="0"/>
          <w:color w:val="1C1E2E"/>
          <w:sz w:val="22"/>
        </w:rPr>
        <w:t>. CCI Publishing / CORD.</w:t>
      </w:r>
    </w:p>
    <w:p>
      <w:r>
        <w:rPr>
          <w:rFonts w:ascii="Inter" w:hAnsi="Inter" w:cs="Inter"/>
          <w:b w:val="0"/>
          <w:i w:val="0"/>
          <w:color w:val="1C1E2E"/>
          <w:sz w:val="22"/>
        </w:rPr>
        <w:t xml:space="preserve">European Commission. (n.d.). </w:t>
      </w:r>
      <w:r>
        <w:rPr>
          <w:rFonts w:ascii="Inter" w:hAnsi="Inter" w:cs="Inter"/>
          <w:b w:val="0"/>
          <w:i/>
          <w:color w:val="1C1E2E"/>
          <w:sz w:val="22"/>
        </w:rPr>
        <w:t>ESCO: European Skills, Competences, Qualifications and Occupations</w:t>
      </w:r>
      <w:r>
        <w:rPr>
          <w:rFonts w:ascii="Inter" w:hAnsi="Inter" w:cs="Inter"/>
          <w:b w:val="0"/>
          <w:i w:val="0"/>
          <w:color w:val="1C1E2E"/>
          <w:sz w:val="22"/>
        </w:rPr>
        <w:t>. Retrieved September 5, 2026, from https://esco.ec.europa.eu/</w:t>
      </w:r>
    </w:p>
    <w:p>
      <w:r>
        <w:rPr>
          <w:rFonts w:ascii="Inter" w:hAnsi="Inter" w:cs="Inter"/>
          <w:b w:val="0"/>
          <w:i w:val="0"/>
          <w:color w:val="1C1E2E"/>
          <w:sz w:val="22"/>
        </w:rPr>
        <w:t xml:space="preserve">IEEE. (2023). </w:t>
      </w:r>
      <w:r>
        <w:rPr>
          <w:rFonts w:ascii="Inter" w:hAnsi="Inter" w:cs="Inter"/>
          <w:b w:val="0"/>
          <w:i/>
          <w:color w:val="1C1E2E"/>
          <w:sz w:val="22"/>
        </w:rPr>
        <w:t>IEEE standard for learning technology — JSON data model format and RESTful web service for learner experience data tracking and access (xAPI)</w:t>
      </w:r>
      <w:r>
        <w:rPr>
          <w:rFonts w:ascii="Inter" w:hAnsi="Inter" w:cs="Inter"/>
          <w:b w:val="0"/>
          <w:i w:val="0"/>
          <w:color w:val="1C1E2E"/>
          <w:sz w:val="22"/>
        </w:rPr>
        <w:t xml:space="preserve"> (IEEE Std 9274.1.1-2023). IEEE Standards Association.</w:t>
      </w:r>
    </w:p>
    <w:p>
      <w:r>
        <w:rPr>
          <w:rFonts w:ascii="Inter" w:hAnsi="Inter" w:cs="Inter"/>
          <w:b w:val="0"/>
          <w:i w:val="0"/>
          <w:color w:val="1C1E2E"/>
          <w:sz w:val="22"/>
        </w:rPr>
        <w:t xml:space="preserve">International Phonetic Association. (1999). </w:t>
      </w:r>
      <w:r>
        <w:rPr>
          <w:rFonts w:ascii="Inter" w:hAnsi="Inter" w:cs="Inter"/>
          <w:b w:val="0"/>
          <w:i/>
          <w:color w:val="1C1E2E"/>
          <w:sz w:val="22"/>
        </w:rPr>
        <w:t>Handbook of the International Phonetic Association: A guide to the use of the International Phonetic Alphabet</w:t>
      </w:r>
      <w:r>
        <w:rPr>
          <w:rFonts w:ascii="Inter" w:hAnsi="Inter" w:cs="Inter"/>
          <w:b w:val="0"/>
          <w:i w:val="0"/>
          <w:color w:val="1C1E2E"/>
          <w:sz w:val="22"/>
        </w:rPr>
        <w:t>. Cambridge University Press.</w:t>
      </w:r>
    </w:p>
    <w:p>
      <w:r>
        <w:rPr>
          <w:rFonts w:ascii="Inter" w:hAnsi="Inter" w:cs="Inter"/>
          <w:b w:val="0"/>
          <w:i w:val="0"/>
          <w:color w:val="1C1E2E"/>
          <w:sz w:val="22"/>
        </w:rPr>
        <w:t xml:space="preserve">Harmer, J. (2007). </w:t>
      </w:r>
      <w:r>
        <w:rPr>
          <w:rFonts w:ascii="Inter" w:hAnsi="Inter" w:cs="Inter"/>
          <w:b w:val="0"/>
          <w:i/>
          <w:color w:val="1C1E2E"/>
          <w:sz w:val="22"/>
        </w:rPr>
        <w:t>The practice of English language teaching</w:t>
      </w:r>
      <w:r>
        <w:rPr>
          <w:rFonts w:ascii="Inter" w:hAnsi="Inter" w:cs="Inter"/>
          <w:b w:val="0"/>
          <w:i w:val="0"/>
          <w:color w:val="1C1E2E"/>
          <w:sz w:val="22"/>
        </w:rPr>
        <w:t xml:space="preserve"> (4th ed.). Pearson Longman.</w:t>
      </w:r>
    </w:p>
    <w:p>
      <w:r>
        <w:rPr>
          <w:rFonts w:ascii="Inter" w:hAnsi="Inter" w:cs="Inter"/>
          <w:b w:val="0"/>
          <w:i w:val="0"/>
          <w:color w:val="1C1E2E"/>
          <w:sz w:val="22"/>
        </w:rPr>
        <w:t xml:space="preserve">Johnson, E. B. (2002). </w:t>
      </w:r>
      <w:r>
        <w:rPr>
          <w:rFonts w:ascii="Inter" w:hAnsi="Inter" w:cs="Inter"/>
          <w:b w:val="0"/>
          <w:i/>
          <w:color w:val="1C1E2E"/>
          <w:sz w:val="22"/>
        </w:rPr>
        <w:t>Contextual teaching and learning: What it is and why it's here to stay</w:t>
      </w:r>
      <w:r>
        <w:rPr>
          <w:rFonts w:ascii="Inter" w:hAnsi="Inter" w:cs="Inter"/>
          <w:b w:val="0"/>
          <w:i w:val="0"/>
          <w:color w:val="1C1E2E"/>
          <w:sz w:val="22"/>
        </w:rPr>
        <w:t>. Corwin Press.</w:t>
      </w:r>
    </w:p>
    <w:p>
      <w:r>
        <w:rPr>
          <w:rFonts w:ascii="Inter" w:hAnsi="Inter" w:cs="Inter"/>
          <w:b w:val="0"/>
          <w:i w:val="0"/>
          <w:color w:val="1C1E2E"/>
          <w:sz w:val="22"/>
        </w:rPr>
        <w:t xml:space="preserve">Kirkpatrick, J. D., &amp; Kirkpatrick, W. K. (2016). </w:t>
      </w:r>
      <w:r>
        <w:rPr>
          <w:rFonts w:ascii="Inter" w:hAnsi="Inter" w:cs="Inter"/>
          <w:b w:val="0"/>
          <w:i/>
          <w:color w:val="1C1E2E"/>
          <w:sz w:val="22"/>
        </w:rPr>
        <w:t>Kirkpatrick's four levels of training evaluation</w:t>
      </w:r>
      <w:r>
        <w:rPr>
          <w:rFonts w:ascii="Inter" w:hAnsi="Inter" w:cs="Inter"/>
          <w:b w:val="0"/>
          <w:i w:val="0"/>
          <w:color w:val="1C1E2E"/>
          <w:sz w:val="22"/>
        </w:rPr>
        <w:t>. ATD Press.</w:t>
      </w:r>
    </w:p>
    <w:p>
      <w:r>
        <w:rPr>
          <w:rFonts w:ascii="Inter" w:hAnsi="Inter" w:cs="Inter"/>
          <w:b w:val="0"/>
          <w:i w:val="0"/>
          <w:color w:val="1C1E2E"/>
          <w:sz w:val="22"/>
        </w:rPr>
        <w:t xml:space="preserve">Krashen, S. D. (1985). </w:t>
      </w:r>
      <w:r>
        <w:rPr>
          <w:rFonts w:ascii="Inter" w:hAnsi="Inter" w:cs="Inter"/>
          <w:b w:val="0"/>
          <w:i/>
          <w:color w:val="1C1E2E"/>
          <w:sz w:val="22"/>
        </w:rPr>
        <w:t>The input hypothesis: Issues and implications</w:t>
      </w:r>
      <w:r>
        <w:rPr>
          <w:rFonts w:ascii="Inter" w:hAnsi="Inter" w:cs="Inter"/>
          <w:b w:val="0"/>
          <w:i w:val="0"/>
          <w:color w:val="1C1E2E"/>
          <w:sz w:val="22"/>
        </w:rPr>
        <w:t>. Longman.</w:t>
      </w:r>
    </w:p>
    <w:p>
      <w:r>
        <w:rPr>
          <w:rFonts w:ascii="Inter" w:hAnsi="Inter" w:cs="Inter"/>
          <w:b w:val="0"/>
          <w:i w:val="0"/>
          <w:color w:val="1C1E2E"/>
          <w:sz w:val="22"/>
        </w:rPr>
        <w:t xml:space="preserve">Lewis, M. (1993). </w:t>
      </w:r>
      <w:r>
        <w:rPr>
          <w:rFonts w:ascii="Inter" w:hAnsi="Inter" w:cs="Inter"/>
          <w:b w:val="0"/>
          <w:i/>
          <w:color w:val="1C1E2E"/>
          <w:sz w:val="22"/>
        </w:rPr>
        <w:t>The lexical approach: The state of ELT and a way forward</w:t>
      </w:r>
      <w:r>
        <w:rPr>
          <w:rFonts w:ascii="Inter" w:hAnsi="Inter" w:cs="Inter"/>
          <w:b w:val="0"/>
          <w:i w:val="0"/>
          <w:color w:val="1C1E2E"/>
          <w:sz w:val="22"/>
        </w:rPr>
        <w:t>. Language Teaching Publications.</w:t>
      </w:r>
    </w:p>
    <w:p>
      <w:r>
        <w:rPr>
          <w:rFonts w:ascii="Inter" w:hAnsi="Inter" w:cs="Inter"/>
          <w:b w:val="0"/>
          <w:i w:val="0"/>
          <w:color w:val="1C1E2E"/>
          <w:sz w:val="22"/>
        </w:rPr>
        <w:t xml:space="preserve">Mayer, R. E. (2009). </w:t>
      </w:r>
      <w:r>
        <w:rPr>
          <w:rFonts w:ascii="Inter" w:hAnsi="Inter" w:cs="Inter"/>
          <w:b w:val="0"/>
          <w:i/>
          <w:color w:val="1C1E2E"/>
          <w:sz w:val="22"/>
        </w:rPr>
        <w:t>Multimedia learning</w:t>
      </w:r>
      <w:r>
        <w:rPr>
          <w:rFonts w:ascii="Inter" w:hAnsi="Inter" w:cs="Inter"/>
          <w:b w:val="0"/>
          <w:i w:val="0"/>
          <w:color w:val="1C1E2E"/>
          <w:sz w:val="22"/>
        </w:rPr>
        <w:t xml:space="preserve"> (2nd ed.). Cambridge University Press.</w:t>
      </w:r>
    </w:p>
    <w:p>
      <w:r>
        <w:rPr>
          <w:rFonts w:ascii="Inter" w:hAnsi="Inter" w:cs="Inter"/>
          <w:b w:val="0"/>
          <w:i w:val="0"/>
          <w:color w:val="1C1E2E"/>
          <w:sz w:val="22"/>
        </w:rPr>
        <w:t xml:space="preserve">Phillips, J. J., &amp; Phillips, P. P. (2016). </w:t>
      </w:r>
      <w:r>
        <w:rPr>
          <w:rFonts w:ascii="Inter" w:hAnsi="Inter" w:cs="Inter"/>
          <w:b w:val="0"/>
          <w:i/>
          <w:color w:val="1C1E2E"/>
          <w:sz w:val="22"/>
        </w:rPr>
        <w:t>Handbook of training evaluation and measurement methods</w:t>
      </w:r>
      <w:r>
        <w:rPr>
          <w:rFonts w:ascii="Inter" w:hAnsi="Inter" w:cs="Inter"/>
          <w:b w:val="0"/>
          <w:i w:val="0"/>
          <w:color w:val="1C1E2E"/>
          <w:sz w:val="22"/>
        </w:rPr>
        <w:t xml:space="preserve"> (4th ed.). Routledge.</w:t>
      </w:r>
    </w:p>
    <w:p>
      <w:r>
        <w:rPr>
          <w:rFonts w:ascii="Inter" w:hAnsi="Inter" w:cs="Inter"/>
          <w:b w:val="0"/>
          <w:i w:val="0"/>
          <w:color w:val="1C1E2E"/>
          <w:sz w:val="22"/>
        </w:rPr>
        <w:t xml:space="preserve">Schmidt, R. W. (1990). The role of consciousness in second language learning. </w:t>
      </w:r>
      <w:r>
        <w:rPr>
          <w:rFonts w:ascii="Inter" w:hAnsi="Inter" w:cs="Inter"/>
          <w:b w:val="0"/>
          <w:i/>
          <w:color w:val="1C1E2E"/>
          <w:sz w:val="22"/>
        </w:rPr>
        <w:t>Applied Linguistics, 11</w:t>
      </w:r>
      <w:r>
        <w:rPr>
          <w:rFonts w:ascii="Inter" w:hAnsi="Inter" w:cs="Inter"/>
          <w:b w:val="0"/>
          <w:i w:val="0"/>
          <w:color w:val="1C1E2E"/>
          <w:sz w:val="22"/>
        </w:rPr>
        <w:t>(2), 129–158. https://doi.org/10.1093/applin/11.2.129</w:t>
      </w:r>
    </w:p>
    <w:p>
      <w:r>
        <w:rPr>
          <w:rFonts w:ascii="Inter" w:hAnsi="Inter" w:cs="Inter"/>
          <w:b w:val="0"/>
          <w:i w:val="0"/>
          <w:color w:val="1C1E2E"/>
          <w:sz w:val="22"/>
        </w:rPr>
        <w:t xml:space="preserve">Witt, S. M., &amp; Young, S. J. (2000). Phone-level pronunciation scoring and assessment for interactive language learning. </w:t>
      </w:r>
      <w:r>
        <w:rPr>
          <w:rFonts w:ascii="Inter" w:hAnsi="Inter" w:cs="Inter"/>
          <w:b w:val="0"/>
          <w:i/>
          <w:color w:val="1C1E2E"/>
          <w:sz w:val="22"/>
        </w:rPr>
        <w:t>Speech Communication, 30</w:t>
      </w:r>
      <w:r>
        <w:rPr>
          <w:rFonts w:ascii="Inter" w:hAnsi="Inter" w:cs="Inter"/>
          <w:b w:val="0"/>
          <w:i w:val="0"/>
          <w:color w:val="1C1E2E"/>
          <w:sz w:val="22"/>
        </w:rPr>
        <w:t>(2–3), 95–108. https://doi.org/10.1016/S0167-6393(99)00044-8</w:t>
      </w:r>
    </w:p>
    <w:p>
      <w:r>
        <w:rPr>
          <w:rFonts w:ascii="Inter" w:hAnsi="Inter" w:cs="Inter"/>
          <w:b w:val="0"/>
          <w:i w:val="0"/>
          <w:color w:val="1C1E2E"/>
          <w:sz w:val="22"/>
        </w:rPr>
        <w:t xml:space="preserve">European Union. (2016). </w:t>
      </w:r>
      <w:r>
        <w:rPr>
          <w:rFonts w:ascii="Inter" w:hAnsi="Inter" w:cs="Inter"/>
          <w:b w:val="0"/>
          <w:i/>
          <w:color w:val="1C1E2E"/>
          <w:sz w:val="22"/>
        </w:rPr>
        <w:t>Regulation (EU) 2016/679, General Data Protection Regulation</w:t>
      </w:r>
      <w:r>
        <w:rPr>
          <w:rFonts w:ascii="Inter" w:hAnsi="Inter" w:cs="Inter"/>
          <w:b w:val="0"/>
          <w:i w:val="0"/>
          <w:color w:val="1C1E2E"/>
          <w:sz w:val="22"/>
        </w:rPr>
        <w:t>. OJ L 119.</w:t>
      </w:r>
    </w:p>
    <w:p>
      <w:r>
        <w:rPr>
          <w:rFonts w:ascii="Inter" w:hAnsi="Inter" w:cs="Inter"/>
          <w:b w:val="0"/>
          <w:i w:val="0"/>
          <w:color w:val="1C1E2E"/>
          <w:sz w:val="22"/>
        </w:rPr>
        <w:t xml:space="preserve">European Union. (2024). </w:t>
      </w:r>
      <w:r>
        <w:rPr>
          <w:rFonts w:ascii="Inter" w:hAnsi="Inter" w:cs="Inter"/>
          <w:b w:val="0"/>
          <w:i/>
          <w:color w:val="1C1E2E"/>
          <w:sz w:val="22"/>
        </w:rPr>
        <w:t>Regulation (EU) 2024/1689, Artificial Intelligence Act</w:t>
      </w:r>
      <w:r>
        <w:rPr>
          <w:rFonts w:ascii="Inter" w:hAnsi="Inter" w:cs="Inter"/>
          <w:b w:val="0"/>
          <w:i w:val="0"/>
          <w:color w:val="1C1E2E"/>
          <w:sz w:val="22"/>
        </w:rPr>
        <w:t>. OJ.</w:t>
      </w:r>
    </w:p>
    <w:p>
      <w:pPr>
        <w:pBdr>
          <w:left w:val="single" w:sz="18" w:space="8" w:color="9A5B00"/>
        </w:pBdr>
        <w:spacing w:before="120" w:after="200"/>
        <w:ind w:left="317"/>
      </w:pPr>
      <w:r>
        <w:rPr>
          <w:rFonts w:ascii="Inter" w:hAnsi="Inter" w:cs="Inter"/>
          <w:b/>
          <w:i w:val="0"/>
          <w:color w:val="5B5F77"/>
          <w:sz w:val="21"/>
        </w:rPr>
        <w:t>Note.</w:t>
      </w:r>
      <w:r>
        <w:rPr>
          <w:rFonts w:ascii="Inter" w:hAnsi="Inter" w:cs="Inter"/>
          <w:b w:val="0"/>
          <w:i w:val="0"/>
          <w:color w:val="5B5F77"/>
          <w:sz w:val="21"/>
        </w:rPr>
        <w:t xml:space="preserve"> Before deposit, §3.2 should be extended with the 2024–2026 literature on automated speech assessment using language models, and §3.3 with recent work on uptake and corrective feedback in interaction with agents.</w:t>
      </w:r>
    </w:p>
    <w:p>
      <w:pPr>
        <w:pBdr>
          <w:bottom w:val="single" w:sz="6" w:space="1" w:color="E6E8F2"/>
        </w:pBdr>
      </w:pPr>
    </w:p>
    <w:p>
      <w:r>
        <w:rPr>
          <w:rFonts w:ascii="Inter" w:hAnsi="Inter" w:cs="Inter"/>
          <w:b w:val="0"/>
          <w:i/>
          <w:color w:val="1C1E2E"/>
          <w:sz w:val="22"/>
        </w:rPr>
        <w:t>© 2026 Ana Eslava-Graterol — MLLDE (Universitat Politècnica de València). TK Coach and "Capi" © Talketika. The CEFR (Council of Europe) is paraphrased and cited, not reproduced; Cambridge, xAPI (ADL/IEEE), IPA and ESCO are cited as standards. Prepared with AI assistance; reviewed and approved by the author, in the spirit of Article 50 of the EU AI Act.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Inter" w:hAnsi="Inter"/>
      <w:color w:val="1C1E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