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PROPUESTA DE TESIS DOCTORAL</w:t>
      </w:r>
    </w:p>
    <w:p>
      <w:pPr>
        <w:spacing w:before="320" w:after="120"/>
      </w:pPr>
      <w:r>
        <w:rPr>
          <w:rFonts w:ascii="Fraunces" w:hAnsi="Fraunces" w:cs="Fraunces"/>
          <w:b/>
          <w:i w:val="0"/>
          <w:color w:val="22307C"/>
          <w:sz w:val="32"/>
        </w:rPr>
        <w:t xml:space="preserve">MLLDE — </w:t>
      </w:r>
      <w:r>
        <w:rPr>
          <w:rFonts w:ascii="Fraunces" w:hAnsi="Fraunces" w:cs="Fraunces"/>
          <w:b/>
          <w:i w:val="0"/>
          <w:color w:val="22307C"/>
          <w:sz w:val="32"/>
        </w:rPr>
        <w:t>Multimodal Language Learning Design &amp; Evaluation</w:t>
      </w:r>
    </w:p>
    <w:p>
      <w:pPr>
        <w:spacing w:before="240" w:after="120"/>
      </w:pPr>
      <w:r>
        <w:rPr>
          <w:rFonts w:ascii="Inter" w:hAnsi="Inter" w:cs="Inter"/>
          <w:b/>
          <w:i w:val="0"/>
          <w:color w:val="1C1E2E"/>
          <w:sz w:val="26"/>
        </w:rPr>
        <w:t>Diseño curricular por modalidad para el aprendizaje móvil de lenguas y medición de la competencia oral con tres tiers de evidencia</w:t>
      </w:r>
    </w:p>
    <w:p>
      <w:pPr>
        <w:pBdr>
          <w:bottom w:val="single" w:sz="6" w:space="1" w:color="E6E8F2"/>
        </w:pBdr>
      </w:pP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Doctoranda</w:t>
            </w:r>
          </w:p>
        </w:tc>
        <w:tc>
          <w:tcPr>
            <w:tcW w:type="dxa" w:w="4824"/>
          </w:tcPr>
          <w:p>
            <w:pPr>
              <w:spacing w:after="40"/>
            </w:pPr>
            <w:r/>
            <w:r>
              <w:rPr>
                <w:rFonts w:ascii="Inter" w:hAnsi="Inter" w:cs="Inter"/>
                <w:b w:val="0"/>
                <w:i w:val="0"/>
                <w:color w:val="1C1E2E"/>
                <w:sz w:val="19"/>
              </w:rPr>
              <w:t>Ana Zoraimy Eslava Graterol</w:t>
            </w:r>
          </w:p>
        </w:tc>
      </w:tr>
      <w:tr>
        <w:tc>
          <w:tcPr>
            <w:tcW w:type="dxa" w:w="4824"/>
          </w:tcPr>
          <w:p>
            <w:pPr>
              <w:spacing w:after="40"/>
            </w:pPr>
            <w:r/>
            <w:r>
              <w:rPr>
                <w:rFonts w:ascii="Inter" w:hAnsi="Inter" w:cs="Inter"/>
                <w:b/>
                <w:i w:val="0"/>
                <w:color w:val="1C1E2E"/>
                <w:sz w:val="19"/>
              </w:rPr>
              <w:t>Contacto</w:t>
            </w:r>
          </w:p>
        </w:tc>
        <w:tc>
          <w:tcPr>
            <w:tcW w:type="dxa" w:w="4824"/>
          </w:tcPr>
          <w:p>
            <w:pPr>
              <w:spacing w:after="40"/>
            </w:pPr>
            <w:r/>
            <w:r>
              <w:rPr>
                <w:rFonts w:ascii="Inter" w:hAnsi="Inter" w:cs="Inter"/>
                <w:b w:val="0"/>
                <w:i w:val="0"/>
                <w:color w:val="1C1E2E"/>
                <w:sz w:val="19"/>
              </w:rPr>
              <w:t>profeanaeslava@gmail.com · linkedin.com/in/anaeslava</w:t>
            </w:r>
          </w:p>
        </w:tc>
      </w:tr>
      <w:tr>
        <w:tc>
          <w:tcPr>
            <w:tcW w:type="dxa" w:w="4824"/>
          </w:tcPr>
          <w:p>
            <w:pPr>
              <w:spacing w:after="40"/>
            </w:pPr>
            <w:r/>
            <w:r>
              <w:rPr>
                <w:rFonts w:ascii="Inter" w:hAnsi="Inter" w:cs="Inter"/>
                <w:b/>
                <w:i w:val="0"/>
                <w:color w:val="1C1E2E"/>
                <w:sz w:val="19"/>
              </w:rPr>
              <w:t>Programa</w:t>
            </w:r>
          </w:p>
        </w:tc>
        <w:tc>
          <w:tcPr>
            <w:tcW w:type="dxa" w:w="4824"/>
          </w:tcPr>
          <w:p>
            <w:pPr>
              <w:spacing w:after="40"/>
            </w:pPr>
            <w:r/>
            <w:r>
              <w:rPr>
                <w:rFonts w:ascii="Inter" w:hAnsi="Inter" w:cs="Inter"/>
                <w:b w:val="0"/>
                <w:i w:val="0"/>
                <w:color w:val="1C1E2E"/>
                <w:sz w:val="19"/>
              </w:rPr>
              <w:t>Programa de Doctorado — Lingüística Aplicada</w:t>
            </w:r>
          </w:p>
        </w:tc>
      </w:tr>
      <w:tr>
        <w:tc>
          <w:tcPr>
            <w:tcW w:type="dxa" w:w="4824"/>
          </w:tcPr>
          <w:p>
            <w:pPr>
              <w:spacing w:after="40"/>
            </w:pPr>
            <w:r/>
            <w:r>
              <w:rPr>
                <w:rFonts w:ascii="Inter" w:hAnsi="Inter" w:cs="Inter"/>
                <w:b/>
                <w:i w:val="0"/>
                <w:color w:val="1C1E2E"/>
                <w:sz w:val="19"/>
              </w:rPr>
              <w:t>Departamento</w:t>
            </w:r>
          </w:p>
        </w:tc>
        <w:tc>
          <w:tcPr>
            <w:tcW w:type="dxa" w:w="4824"/>
          </w:tcPr>
          <w:p>
            <w:pPr>
              <w:spacing w:after="40"/>
            </w:pPr>
            <w:r/>
            <w:r>
              <w:rPr>
                <w:rFonts w:ascii="Inter" w:hAnsi="Inter" w:cs="Inter"/>
                <w:b w:val="0"/>
                <w:i w:val="0"/>
                <w:color w:val="1C1E2E"/>
                <w:sz w:val="19"/>
              </w:rPr>
              <w:t>Departamento de Lingüística Aplicada, Universitat Politècnica de València (UPV)</w:t>
            </w:r>
          </w:p>
        </w:tc>
      </w:tr>
      <w:tr>
        <w:tc>
          <w:tcPr>
            <w:tcW w:type="dxa" w:w="4824"/>
          </w:tcPr>
          <w:p>
            <w:pPr>
              <w:spacing w:after="40"/>
            </w:pPr>
            <w:r/>
            <w:r>
              <w:rPr>
                <w:rFonts w:ascii="Inter" w:hAnsi="Inter" w:cs="Inter"/>
                <w:b/>
                <w:i w:val="0"/>
                <w:color w:val="1C1E2E"/>
                <w:sz w:val="19"/>
              </w:rPr>
              <w:t>Línea de investigación</w:t>
            </w:r>
          </w:p>
        </w:tc>
        <w:tc>
          <w:tcPr>
            <w:tcW w:type="dxa" w:w="4824"/>
          </w:tcPr>
          <w:p>
            <w:pPr>
              <w:spacing w:after="40"/>
            </w:pPr>
            <w:r/>
            <w:r>
              <w:rPr>
                <w:rFonts w:ascii="Inter" w:hAnsi="Inter" w:cs="Inter"/>
                <w:b w:val="0"/>
                <w:i w:val="0"/>
                <w:color w:val="1C1E2E"/>
                <w:sz w:val="19"/>
              </w:rPr>
              <w:t>Tecnologías del lenguaje, evaluación de la competencia oral y diseño instruccional anclado al MCER</w:t>
            </w:r>
          </w:p>
        </w:tc>
      </w:tr>
      <w:tr>
        <w:tc>
          <w:tcPr>
            <w:tcW w:type="dxa" w:w="4824"/>
          </w:tcPr>
          <w:p>
            <w:pPr>
              <w:spacing w:after="40"/>
            </w:pPr>
            <w:r/>
            <w:r>
              <w:rPr>
                <w:rFonts w:ascii="Inter" w:hAnsi="Inter" w:cs="Inter"/>
                <w:b/>
                <w:i w:val="0"/>
                <w:color w:val="1C1E2E"/>
                <w:sz w:val="19"/>
              </w:rPr>
              <w:t>Caso de aplicación</w:t>
            </w:r>
          </w:p>
        </w:tc>
        <w:tc>
          <w:tcPr>
            <w:tcW w:type="dxa" w:w="4824"/>
          </w:tcPr>
          <w:p>
            <w:pPr>
              <w:spacing w:after="40"/>
            </w:pPr>
            <w:r/>
            <w:r>
              <w:rPr>
                <w:rFonts w:ascii="Inter" w:hAnsi="Inter" w:cs="Inter"/>
                <w:b w:val="0"/>
                <w:i w:val="0"/>
                <w:color w:val="1C1E2E"/>
                <w:sz w:val="19"/>
              </w:rPr>
              <w:t>TK Coach / «Capi» — tutor de inglés de negocios por voz (Talketika)</w:t>
            </w:r>
          </w:p>
        </w:tc>
      </w:tr>
      <w:tr>
        <w:tc>
          <w:tcPr>
            <w:tcW w:type="dxa" w:w="4824"/>
          </w:tcPr>
          <w:p>
            <w:pPr>
              <w:spacing w:after="40"/>
            </w:pPr>
            <w:r/>
            <w:r>
              <w:rPr>
                <w:rFonts w:ascii="Inter" w:hAnsi="Inter" w:cs="Inter"/>
                <w:b/>
                <w:i w:val="0"/>
                <w:color w:val="1C1E2E"/>
                <w:sz w:val="19"/>
              </w:rPr>
              <w:t>Modalidad propuesta</w:t>
            </w:r>
          </w:p>
        </w:tc>
        <w:tc>
          <w:tcPr>
            <w:tcW w:type="dxa" w:w="4824"/>
          </w:tcPr>
          <w:p>
            <w:pPr>
              <w:spacing w:after="40"/>
            </w:pPr>
            <w:r/>
            <w:r>
              <w:rPr>
                <w:rFonts w:ascii="Inter" w:hAnsi="Inter" w:cs="Inter"/>
                <w:b w:val="0"/>
                <w:i w:val="0"/>
                <w:color w:val="1C1E2E"/>
                <w:sz w:val="19"/>
              </w:rPr>
              <w:t>Tiempo parcial (4 años), compatible con actividad profesional</w:t>
            </w:r>
          </w:p>
        </w:tc>
      </w:tr>
      <w:tr>
        <w:tc>
          <w:tcPr>
            <w:tcW w:type="dxa" w:w="4824"/>
          </w:tcPr>
          <w:p>
            <w:pPr>
              <w:spacing w:after="40"/>
            </w:pPr>
            <w:r/>
            <w:r>
              <w:rPr>
                <w:rFonts w:ascii="Inter" w:hAnsi="Inter" w:cs="Inter"/>
                <w:b/>
                <w:i w:val="0"/>
                <w:color w:val="1C1E2E"/>
                <w:sz w:val="19"/>
              </w:rPr>
              <w:t>Fecha · versión</w:t>
            </w:r>
          </w:p>
        </w:tc>
        <w:tc>
          <w:tcPr>
            <w:tcW w:type="dxa" w:w="4824"/>
          </w:tcPr>
          <w:p>
            <w:pPr>
              <w:spacing w:after="40"/>
            </w:pPr>
            <w:r/>
            <w:r>
              <w:rPr>
                <w:rFonts w:ascii="Inter" w:hAnsi="Inter" w:cs="Inter"/>
                <w:b w:val="0"/>
                <w:i w:val="0"/>
                <w:color w:val="1C1E2E"/>
                <w:sz w:val="19"/>
              </w:rPr>
              <w:t>Septiembre de 2026 · v2.0</w:t>
            </w:r>
          </w:p>
        </w:tc>
      </w:tr>
    </w:tbl>
    <w:p/>
    <w:p>
      <w:pPr>
        <w:pBdr>
          <w:left w:val="single" w:sz="18" w:space="8" w:color="9A5B00"/>
        </w:pBdr>
        <w:spacing w:before="120" w:after="200"/>
        <w:ind w:left="317"/>
      </w:pPr>
      <w:r>
        <w:rPr>
          <w:rFonts w:ascii="Inter" w:hAnsi="Inter" w:cs="Inter"/>
          <w:b/>
          <w:i w:val="0"/>
          <w:color w:val="5B5F77"/>
          <w:sz w:val="21"/>
        </w:rPr>
        <w:t>MLLDE</w:t>
      </w:r>
      <w:r>
        <w:rPr>
          <w:rFonts w:ascii="Inter" w:hAnsi="Inter" w:cs="Inter"/>
          <w:b w:val="0"/>
          <w:i w:val="0"/>
          <w:color w:val="5B5F77"/>
          <w:sz w:val="21"/>
        </w:rPr>
        <w:t xml:space="preserve"> — </w:t>
      </w:r>
      <w:r>
        <w:rPr>
          <w:rFonts w:ascii="Inter" w:hAnsi="Inter" w:cs="Inter"/>
          <w:b w:val="0"/>
          <w:i/>
          <w:color w:val="5B5F77"/>
          <w:sz w:val="21"/>
        </w:rPr>
        <w:t>Multimodal Language Learning Design &amp; Evaluation</w:t>
      </w:r>
      <w:r>
        <w:rPr>
          <w:rFonts w:ascii="Inter" w:hAnsi="Inter" w:cs="Inter"/>
          <w:b w:val="0"/>
          <w:i w:val="0"/>
          <w:color w:val="5B5F77"/>
          <w:sz w:val="21"/>
        </w:rPr>
        <w:t xml:space="preserve">. Método y marco de evaluación de la autora, del que esta propuesta desarrolla y valida el </w:t>
      </w:r>
      <w:r>
        <w:rPr>
          <w:rFonts w:ascii="Inter" w:hAnsi="Inter" w:cs="Inter"/>
          <w:b/>
          <w:i w:val="0"/>
          <w:color w:val="5B5F77"/>
          <w:sz w:val="21"/>
        </w:rPr>
        <w:t>Módulo de Medición</w:t>
      </w:r>
      <w:r>
        <w:rPr>
          <w:rFonts w:ascii="Inter" w:hAnsi="Inter" w:cs="Inter"/>
          <w:b w:val="0"/>
          <w:i w:val="0"/>
          <w:color w:val="5B5F77"/>
          <w:sz w:val="21"/>
        </w:rPr>
        <w:t>. «TK Coach» y «Capi» son marcas de Talketika; el MCER (Consejo de Europa), xAPI (ADL/IEEE), IPA y ESCO son estándares citados, no redistribuidos.</w:t>
      </w:r>
    </w:p>
    <w:p>
      <w:pPr>
        <w:pBdr>
          <w:bottom w:val="single" w:sz="6" w:space="1" w:color="E6E8F2"/>
        </w:pBdr>
      </w:pPr>
    </w:p>
    <w:p>
      <w:pPr>
        <w:spacing w:before="320" w:after="120"/>
      </w:pPr>
      <w:r>
        <w:rPr>
          <w:rFonts w:ascii="Fraunces" w:hAnsi="Fraunces" w:cs="Fraunces"/>
          <w:b/>
          <w:i w:val="0"/>
          <w:color w:val="22307C"/>
          <w:sz w:val="32"/>
        </w:rPr>
        <w:t>1. Resumen</w:t>
      </w:r>
    </w:p>
    <w:p>
      <w:r>
        <w:rPr>
          <w:rFonts w:ascii="Inter" w:hAnsi="Inter" w:cs="Inter"/>
          <w:b w:val="0"/>
          <w:i w:val="0"/>
          <w:color w:val="1C1E2E"/>
          <w:sz w:val="22"/>
        </w:rPr>
        <w:t xml:space="preserve">Un modelo generativo es </w:t>
      </w:r>
      <w:r>
        <w:rPr>
          <w:rFonts w:ascii="Inter" w:hAnsi="Inter" w:cs="Inter"/>
          <w:b/>
          <w:i w:val="0"/>
          <w:color w:val="1C1E2E"/>
          <w:sz w:val="22"/>
        </w:rPr>
        <w:t>fluido por diseño</w:t>
      </w:r>
      <w:r>
        <w:rPr>
          <w:rFonts w:ascii="Inter" w:hAnsi="Inter" w:cs="Inter"/>
          <w:b w:val="0"/>
          <w:i w:val="0"/>
          <w:color w:val="1C1E2E"/>
          <w:sz w:val="22"/>
        </w:rPr>
        <w:t xml:space="preserve">: producirá una calificación plausible se la pidamos o no, y esa fluidez es precisamente lo que lo inhabilita como evaluador. El problema que aborda esta tesis es, por tanto, metodológico antes que técnico: </w:t>
      </w:r>
      <w:r>
        <w:rPr>
          <w:rFonts w:ascii="Inter" w:hAnsi="Inter" w:cs="Inter"/>
          <w:b/>
          <w:i w:val="0"/>
          <w:color w:val="1C1E2E"/>
          <w:sz w:val="22"/>
        </w:rPr>
        <w:t>cómo convertir la producción oral real de un aprendiz frente a un agente de IA en evidencia de competencia trazable al MCER, sin que el modelo invente la nota.</w:t>
      </w:r>
    </w:p>
    <w:p>
      <w:r>
        <w:rPr>
          <w:rFonts w:ascii="Inter" w:hAnsi="Inter" w:cs="Inter"/>
          <w:b w:val="0"/>
          <w:i w:val="0"/>
          <w:color w:val="1C1E2E"/>
          <w:sz w:val="22"/>
        </w:rPr>
        <w:t xml:space="preserve">La respuesta que se propone y se valida es </w:t>
      </w:r>
      <w:r>
        <w:rPr>
          <w:rFonts w:ascii="Inter" w:hAnsi="Inter" w:cs="Inter"/>
          <w:b/>
          <w:i w:val="0"/>
          <w:color w:val="1C1E2E"/>
          <w:sz w:val="22"/>
        </w:rPr>
        <w:t>MLLDE</w:t>
      </w:r>
      <w:r>
        <w:rPr>
          <w:rFonts w:ascii="Inter" w:hAnsi="Inter" w:cs="Inter"/>
          <w:b w:val="0"/>
          <w:i w:val="0"/>
          <w:color w:val="1C1E2E"/>
          <w:sz w:val="22"/>
        </w:rPr>
        <w:t xml:space="preserve"> (</w:t>
      </w:r>
      <w:r>
        <w:rPr>
          <w:rFonts w:ascii="Inter" w:hAnsi="Inter" w:cs="Inter"/>
          <w:b w:val="0"/>
          <w:i/>
          <w:color w:val="1C1E2E"/>
          <w:sz w:val="22"/>
        </w:rPr>
        <w:t>Multimodal Language Learning Design &amp; Evaluation</w:t>
      </w:r>
      <w:r>
        <w:rPr>
          <w:rFonts w:ascii="Inter" w:hAnsi="Inter" w:cs="Inter"/>
          <w:b w:val="0"/>
          <w:i w:val="0"/>
          <w:color w:val="1C1E2E"/>
          <w:sz w:val="22"/>
        </w:rPr>
        <w:t xml:space="preserve">), un método con </w:t>
      </w:r>
      <w:r>
        <w:rPr>
          <w:rFonts w:ascii="Inter" w:hAnsi="Inter" w:cs="Inter"/>
          <w:b/>
          <w:i w:val="0"/>
          <w:color w:val="1C1E2E"/>
          <w:sz w:val="22"/>
        </w:rPr>
        <w:t>dos pilares inseparables</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Pilar de diseño (*Design*).</w:t>
      </w:r>
      <w:r>
        <w:rPr>
          <w:rFonts w:ascii="Inter" w:hAnsi="Inter" w:cs="Inter"/>
          <w:b w:val="0"/>
          <w:i w:val="0"/>
          <w:color w:val="1C1E2E"/>
          <w:sz w:val="22"/>
        </w:rPr>
        <w:t xml:space="preserve"> Un procedimiento replicable para construir currículo de lenguas en dispositivo móvil en el que la </w:t>
      </w:r>
      <w:r>
        <w:rPr>
          <w:rFonts w:ascii="Inter" w:hAnsi="Inter" w:cs="Inter"/>
          <w:b/>
          <w:i w:val="0"/>
          <w:color w:val="1C1E2E"/>
          <w:sz w:val="22"/>
        </w:rPr>
        <w:t>modalidad</w:t>
      </w:r>
      <w:r>
        <w:rPr>
          <w:rFonts w:ascii="Inter" w:hAnsi="Inter" w:cs="Inter"/>
          <w:b w:val="0"/>
          <w:i w:val="0"/>
          <w:color w:val="1C1E2E"/>
          <w:sz w:val="22"/>
        </w:rPr>
        <w:t xml:space="preserve"> —texto, audio, imagen, </w:t>
      </w:r>
      <w:r>
        <w:rPr>
          <w:rFonts w:ascii="Inter" w:hAnsi="Inter" w:cs="Inter"/>
          <w:b/>
          <w:i w:val="0"/>
          <w:color w:val="1C1E2E"/>
          <w:sz w:val="22"/>
        </w:rPr>
        <w:t>voz</w:t>
      </w:r>
      <w:r>
        <w:rPr>
          <w:rFonts w:ascii="Inter" w:hAnsi="Inter" w:cs="Inter"/>
          <w:b w:val="0"/>
          <w:i w:val="0"/>
          <w:color w:val="1C1E2E"/>
          <w:sz w:val="22"/>
        </w:rPr>
        <w:t xml:space="preserve">— no es un envoltorio sino una </w:t>
      </w:r>
      <w:r>
        <w:rPr>
          <w:rFonts w:ascii="Inter" w:hAnsi="Inter" w:cs="Inter"/>
          <w:b/>
          <w:i w:val="0"/>
          <w:color w:val="1C1E2E"/>
          <w:sz w:val="22"/>
        </w:rPr>
        <w:t>variable de diseño declarada</w:t>
      </w:r>
      <w:r>
        <w:rPr>
          <w:rFonts w:ascii="Inter" w:hAnsi="Inter" w:cs="Inter"/>
          <w:b w:val="0"/>
          <w:i w:val="0"/>
          <w:color w:val="1C1E2E"/>
          <w:sz w:val="22"/>
        </w:rPr>
        <w:t>: cada paso de una lección especifica qué modalidad porta el insumo, la práctica y la producción, y contra qué modo y descriptor del MCER se mide.</w:t>
      </w:r>
    </w:p>
    <w:p>
      <w:pPr>
        <w:pStyle w:val="ListBullet"/>
        <w:spacing w:after="60"/>
        <w:ind w:left="403"/>
      </w:pPr>
      <w:r>
        <w:rPr>
          <w:rFonts w:ascii="Inter" w:hAnsi="Inter" w:cs="Inter"/>
          <w:b/>
          <w:i w:val="0"/>
          <w:color w:val="1C1E2E"/>
          <w:sz w:val="22"/>
        </w:rPr>
        <w:t>Pilar de evaluación (*Evaluation*).</w:t>
      </w:r>
      <w:r>
        <w:rPr>
          <w:rFonts w:ascii="Inter" w:hAnsi="Inter" w:cs="Inter"/>
          <w:b w:val="0"/>
          <w:i w:val="0"/>
          <w:color w:val="1C1E2E"/>
          <w:sz w:val="22"/>
        </w:rPr>
        <w:t xml:space="preserve"> El </w:t>
      </w:r>
      <w:r>
        <w:rPr>
          <w:rFonts w:ascii="Inter" w:hAnsi="Inter" w:cs="Inter"/>
          <w:b/>
          <w:i w:val="0"/>
          <w:color w:val="1C1E2E"/>
          <w:sz w:val="22"/>
        </w:rPr>
        <w:t>Módulo de Medición</w:t>
      </w:r>
      <w:r>
        <w:rPr>
          <w:rFonts w:ascii="Inter" w:hAnsi="Inter" w:cs="Inter"/>
          <w:b w:val="0"/>
          <w:i w:val="0"/>
          <w:color w:val="1C1E2E"/>
          <w:sz w:val="22"/>
        </w:rPr>
        <w:t>, que convierte lo que el aprendiz produce —señaladamente su producción oral ante un agente— en evidencia trazable al MCER.</w:t>
      </w:r>
    </w:p>
    <w:p>
      <w:r>
        <w:rPr>
          <w:rFonts w:ascii="Inter" w:hAnsi="Inter" w:cs="Inter"/>
          <w:b w:val="0"/>
          <w:i w:val="0"/>
          <w:color w:val="1C1E2E"/>
          <w:sz w:val="22"/>
        </w:rPr>
        <w:t>Ambos comparten la misma arquitectura, y el pilar de evaluación se articula sobre tres decisiones:</w:t>
      </w:r>
    </w:p>
    <w:p>
      <w:pPr>
        <w:pStyle w:val="ListNumber"/>
        <w:spacing w:after="60"/>
        <w:ind w:left="403"/>
      </w:pPr>
      <w:r>
        <w:rPr>
          <w:rFonts w:ascii="Inter" w:hAnsi="Inter" w:cs="Inter"/>
          <w:b/>
          <w:i w:val="0"/>
          <w:color w:val="1C1E2E"/>
          <w:sz w:val="22"/>
        </w:rPr>
        <w:t>Measure ≠ Decide.</w:t>
      </w:r>
      <w:r>
        <w:rPr>
          <w:rFonts w:ascii="Inter" w:hAnsi="Inter" w:cs="Inter"/>
          <w:b w:val="0"/>
          <w:i w:val="0"/>
          <w:color w:val="1C1E2E"/>
          <w:sz w:val="22"/>
        </w:rPr>
        <w:t xml:space="preserve"> El modelo </w:t>
      </w:r>
      <w:r>
        <w:rPr>
          <w:rFonts w:ascii="Inter" w:hAnsi="Inter" w:cs="Inter"/>
          <w:b/>
          <w:i w:val="0"/>
          <w:color w:val="1C1E2E"/>
          <w:sz w:val="22"/>
        </w:rPr>
        <w:t>observa y describe</w:t>
      </w:r>
      <w:r>
        <w:rPr>
          <w:rFonts w:ascii="Inter" w:hAnsi="Inter" w:cs="Inter"/>
          <w:b w:val="0"/>
          <w:i w:val="0"/>
          <w:color w:val="1C1E2E"/>
          <w:sz w:val="22"/>
        </w:rPr>
        <w:t xml:space="preserve"> lo que ocurre en la interacción; un </w:t>
      </w:r>
      <w:r>
        <w:rPr>
          <w:rFonts w:ascii="Inter" w:hAnsi="Inter" w:cs="Inter"/>
          <w:b/>
          <w:i w:val="0"/>
          <w:color w:val="1C1E2E"/>
          <w:sz w:val="22"/>
        </w:rPr>
        <w:t>motor determinista</w:t>
      </w:r>
      <w:r>
        <w:rPr>
          <w:rFonts w:ascii="Inter" w:hAnsi="Inter" w:cs="Inter"/>
          <w:b w:val="0"/>
          <w:i w:val="0"/>
          <w:color w:val="1C1E2E"/>
          <w:sz w:val="22"/>
        </w:rPr>
        <w:t xml:space="preserve"> —código, no IA— </w:t>
      </w:r>
      <w:r>
        <w:rPr>
          <w:rFonts w:ascii="Inter" w:hAnsi="Inter" w:cs="Inter"/>
          <w:b/>
          <w:i w:val="0"/>
          <w:color w:val="1C1E2E"/>
          <w:sz w:val="22"/>
        </w:rPr>
        <w:t>computa</w:t>
      </w:r>
      <w:r>
        <w:rPr>
          <w:rFonts w:ascii="Inter" w:hAnsi="Inter" w:cs="Inter"/>
          <w:b w:val="0"/>
          <w:i w:val="0"/>
          <w:color w:val="1C1E2E"/>
          <w:sz w:val="22"/>
        </w:rPr>
        <w:t xml:space="preserve"> la banda a partir de esas observaciones. Nada de lo que aparece en pantalla ha sido inventado por un modelo.</w:t>
      </w:r>
    </w:p>
    <w:p>
      <w:pPr>
        <w:pStyle w:val="ListNumber"/>
        <w:spacing w:after="60"/>
        <w:ind w:left="403"/>
      </w:pPr>
      <w:r>
        <w:rPr>
          <w:rFonts w:ascii="Inter" w:hAnsi="Inter" w:cs="Inter"/>
          <w:b/>
          <w:i w:val="0"/>
          <w:color w:val="1C1E2E"/>
          <w:sz w:val="22"/>
        </w:rPr>
        <w:t>Motor + pack.</w:t>
      </w:r>
      <w:r>
        <w:rPr>
          <w:rFonts w:ascii="Inter" w:hAnsi="Inter" w:cs="Inter"/>
          <w:b w:val="0"/>
          <w:i w:val="0"/>
          <w:color w:val="1C1E2E"/>
          <w:sz w:val="22"/>
        </w:rPr>
        <w:t xml:space="preserve"> Las reglas de medición son agnósticas respecto del cliente; cada producto rellena un </w:t>
      </w:r>
      <w:r>
        <w:rPr>
          <w:rFonts w:ascii="Inter" w:hAnsi="Inter" w:cs="Inter"/>
          <w:b/>
          <w:i w:val="0"/>
          <w:color w:val="1C1E2E"/>
          <w:sz w:val="22"/>
        </w:rPr>
        <w:t>pack</w:t>
      </w:r>
      <w:r>
        <w:rPr>
          <w:rFonts w:ascii="Inter" w:hAnsi="Inter" w:cs="Inter"/>
          <w:b w:val="0"/>
          <w:i w:val="0"/>
          <w:color w:val="1C1E2E"/>
          <w:sz w:val="22"/>
        </w:rPr>
        <w:t xml:space="preserve"> con sus tareas, niveles e inventario de sonidos. Aplicar el módulo a una segunda aplicación es </w:t>
      </w:r>
      <w:r>
        <w:rPr>
          <w:rFonts w:ascii="Inter" w:hAnsi="Inter" w:cs="Inter"/>
          <w:b/>
          <w:i w:val="0"/>
          <w:color w:val="1C1E2E"/>
          <w:sz w:val="22"/>
        </w:rPr>
        <w:t>rellenar un pack, no rediseñar</w:t>
      </w:r>
      <w:r>
        <w:rPr>
          <w:rFonts w:ascii="Inter" w:hAnsi="Inter" w:cs="Inter"/>
          <w:b w:val="0"/>
          <w:i w:val="0"/>
          <w:color w:val="1C1E2E"/>
          <w:sz w:val="22"/>
        </w:rPr>
        <w:t>: ahí reside la afirmación de replicabilidad que la tesis debe demostrar.</w:t>
      </w:r>
    </w:p>
    <w:p>
      <w:pPr>
        <w:pStyle w:val="ListNumber"/>
        <w:spacing w:after="60"/>
        <w:ind w:left="403"/>
      </w:pPr>
      <w:r>
        <w:rPr>
          <w:rFonts w:ascii="Inter" w:hAnsi="Inter" w:cs="Inter"/>
          <w:b/>
          <w:i w:val="0"/>
          <w:color w:val="1C1E2E"/>
          <w:sz w:val="22"/>
        </w:rPr>
        <w:t>Tres tiers de evidencia.</w:t>
      </w:r>
      <w:r>
        <w:rPr>
          <w:rFonts w:ascii="Inter" w:hAnsi="Inter" w:cs="Inter"/>
          <w:b w:val="0"/>
          <w:i w:val="0"/>
          <w:color w:val="1C1E2E"/>
          <w:sz w:val="22"/>
        </w:rPr>
        <w:t xml:space="preserve"> La señal de voz no se mide toda con la misma precisión. Cada afirmación </w:t>
      </w:r>
      <w:r>
        <w:rPr>
          <w:rFonts w:ascii="Inter" w:hAnsi="Inter" w:cs="Inter"/>
          <w:b/>
          <w:i w:val="0"/>
          <w:color w:val="1C1E2E"/>
          <w:sz w:val="22"/>
        </w:rPr>
        <w:t>declara su tier</w:t>
      </w:r>
      <w:r>
        <w:rPr>
          <w:rFonts w:ascii="Inter" w:hAnsi="Inter" w:cs="Inter"/>
          <w:b w:val="0"/>
          <w:i w:val="0"/>
          <w:color w:val="1C1E2E"/>
          <w:sz w:val="22"/>
        </w:rPr>
        <w:t>, de modo que un informe nunca reclame más exactitud de la que el motor realmente tiene. La pronunciación —la señal más difícil— es el caso testigo, y llevarla del Tier 1 al Tier 3 constituye la contribución fonémica profunda de la tesis.</w:t>
      </w:r>
    </w:p>
    <w:p>
      <w:r>
        <w:rPr>
          <w:rFonts w:ascii="Inter" w:hAnsi="Inter" w:cs="Inter"/>
          <w:b w:val="0"/>
          <w:i w:val="0"/>
          <w:color w:val="1C1E2E"/>
          <w:sz w:val="22"/>
        </w:rPr>
        <w:t xml:space="preserve">Metodológicamente es una </w:t>
      </w:r>
      <w:r>
        <w:rPr>
          <w:rFonts w:ascii="Inter" w:hAnsi="Inter" w:cs="Inter"/>
          <w:b/>
          <w:i w:val="0"/>
          <w:color w:val="1C1E2E"/>
          <w:sz w:val="22"/>
        </w:rPr>
        <w:t>investigación basada en diseño</w:t>
      </w:r>
      <w:r>
        <w:rPr>
          <w:rFonts w:ascii="Inter" w:hAnsi="Inter" w:cs="Inter"/>
          <w:b w:val="0"/>
          <w:i w:val="0"/>
          <w:color w:val="1C1E2E"/>
          <w:sz w:val="22"/>
        </w:rPr>
        <w:t xml:space="preserve"> con validación en producción: el Tier 1 ya está desplegado y emitiendo evidencia a un LRS, lo que permite contrastar el acuerdo entre la rúbrica aplicada por LLM y la </w:t>
      </w:r>
      <w:r>
        <w:rPr>
          <w:rFonts w:ascii="Inter" w:hAnsi="Inter" w:cs="Inter"/>
          <w:b/>
          <w:i w:val="0"/>
          <w:color w:val="1C1E2E"/>
          <w:sz w:val="22"/>
        </w:rPr>
        <w:t>evaluación humana experta</w:t>
      </w:r>
      <w:r>
        <w:rPr>
          <w:rFonts w:ascii="Inter" w:hAnsi="Inter" w:cs="Inter"/>
          <w:b w:val="0"/>
          <w:i w:val="0"/>
          <w:color w:val="1C1E2E"/>
          <w:sz w:val="22"/>
        </w:rPr>
        <w:t xml:space="preserve"> sobre datos reales, no simulados.</w:t>
      </w:r>
    </w:p>
    <w:p>
      <w:r>
        <w:rPr>
          <w:rFonts w:ascii="Inter" w:hAnsi="Inter" w:cs="Inter"/>
          <w:b/>
          <w:i w:val="0"/>
          <w:color w:val="1C1E2E"/>
          <w:sz w:val="22"/>
        </w:rPr>
        <w:t>Palabras clave:</w:t>
      </w:r>
      <w:r>
        <w:rPr>
          <w:rFonts w:ascii="Inter" w:hAnsi="Inter" w:cs="Inter"/>
          <w:b w:val="0"/>
          <w:i w:val="0"/>
          <w:color w:val="1C1E2E"/>
          <w:sz w:val="22"/>
        </w:rPr>
        <w:t xml:space="preserve"> MCER · evaluación de la competencia oral · tutores por voz · GOP y pronunciación · xAPI · honestidad de la evidencia · investigación basada en diseño · lingüística aplicada.</w:t>
      </w:r>
    </w:p>
    <w:p>
      <w:pPr>
        <w:pBdr>
          <w:bottom w:val="single" w:sz="6" w:space="1" w:color="E6E8F2"/>
        </w:pBdr>
      </w:pPr>
    </w:p>
    <w:p>
      <w:pPr>
        <w:spacing w:before="320" w:after="120"/>
      </w:pPr>
      <w:r>
        <w:rPr>
          <w:rFonts w:ascii="Fraunces" w:hAnsi="Fraunces" w:cs="Fraunces"/>
          <w:b/>
          <w:i w:val="0"/>
          <w:color w:val="22307C"/>
          <w:sz w:val="32"/>
        </w:rPr>
        <w:t xml:space="preserve">2. Abstract </w:t>
      </w:r>
      <w:r>
        <w:rPr>
          <w:rFonts w:ascii="Fraunces" w:hAnsi="Fraunces" w:cs="Fraunces"/>
          <w:b/>
          <w:i w:val="0"/>
          <w:color w:val="22307C"/>
          <w:sz w:val="32"/>
        </w:rPr>
        <w:t>(English)</w:t>
      </w:r>
    </w:p>
    <w:p>
      <w:r>
        <w:rPr>
          <w:rFonts w:ascii="Inter" w:hAnsi="Inter" w:cs="Inter"/>
          <w:b w:val="0"/>
          <w:i w:val="0"/>
          <w:color w:val="1C1E2E"/>
          <w:sz w:val="22"/>
        </w:rPr>
        <w:t xml:space="preserve">A generative model is </w:t>
      </w:r>
      <w:r>
        <w:rPr>
          <w:rFonts w:ascii="Inter" w:hAnsi="Inter" w:cs="Inter"/>
          <w:b/>
          <w:i w:val="0"/>
          <w:color w:val="1C1E2E"/>
          <w:sz w:val="22"/>
        </w:rPr>
        <w:t>fluent by design</w:t>
      </w:r>
      <w:r>
        <w:rPr>
          <w:rFonts w:ascii="Inter" w:hAnsi="Inter" w:cs="Inter"/>
          <w:b w:val="0"/>
          <w:i w:val="0"/>
          <w:color w:val="1C1E2E"/>
          <w:sz w:val="22"/>
        </w:rPr>
        <w:t xml:space="preserve">: it will produce a plausible score whether or not it is entitled to, and that fluency is precisely what disqualifies it as an assessor. The problem this thesis addresses is therefore methodological before it is technical: </w:t>
      </w:r>
      <w:r>
        <w:rPr>
          <w:rFonts w:ascii="Inter" w:hAnsi="Inter" w:cs="Inter"/>
          <w:b/>
          <w:i w:val="0"/>
          <w:color w:val="1C1E2E"/>
          <w:sz w:val="22"/>
        </w:rPr>
        <w:t>how to turn a learner's real spoken production in front of an AI agent into evidence of competence traceable to the CEFR, without the model inventing the grade.</w:t>
      </w:r>
    </w:p>
    <w:p>
      <w:r>
        <w:rPr>
          <w:rFonts w:ascii="Inter" w:hAnsi="Inter" w:cs="Inter"/>
          <w:b w:val="0"/>
          <w:i w:val="0"/>
          <w:color w:val="1C1E2E"/>
          <w:sz w:val="22"/>
        </w:rPr>
        <w:t xml:space="preserve">The proposed and validated answer is </w:t>
      </w:r>
      <w:r>
        <w:rPr>
          <w:rFonts w:ascii="Inter" w:hAnsi="Inter" w:cs="Inter"/>
          <w:b/>
          <w:i w:val="0"/>
          <w:color w:val="1C1E2E"/>
          <w:sz w:val="22"/>
        </w:rPr>
        <w:t>MLLDE</w:t>
      </w:r>
      <w:r>
        <w:rPr>
          <w:rFonts w:ascii="Inter" w:hAnsi="Inter" w:cs="Inter"/>
          <w:b w:val="0"/>
          <w:i w:val="0"/>
          <w:color w:val="1C1E2E"/>
          <w:sz w:val="22"/>
        </w:rPr>
        <w:t xml:space="preserve"> (</w:t>
      </w:r>
      <w:r>
        <w:rPr>
          <w:rFonts w:ascii="Inter" w:hAnsi="Inter" w:cs="Inter"/>
          <w:b w:val="0"/>
          <w:i/>
          <w:color w:val="1C1E2E"/>
          <w:sz w:val="22"/>
        </w:rPr>
        <w:t>Multimodal Language Learning Design &amp; Evaluation</w:t>
      </w:r>
      <w:r>
        <w:rPr>
          <w:rFonts w:ascii="Inter" w:hAnsi="Inter" w:cs="Inter"/>
          <w:b w:val="0"/>
          <w:i w:val="0"/>
          <w:color w:val="1C1E2E"/>
          <w:sz w:val="22"/>
        </w:rPr>
        <w:t xml:space="preserve">) and its </w:t>
      </w:r>
      <w:r>
        <w:rPr>
          <w:rFonts w:ascii="Inter" w:hAnsi="Inter" w:cs="Inter"/>
          <w:b/>
          <w:i w:val="0"/>
          <w:color w:val="1C1E2E"/>
          <w:sz w:val="22"/>
        </w:rPr>
        <w:t>Measurement Module</w:t>
      </w:r>
      <w:r>
        <w:rPr>
          <w:rFonts w:ascii="Inter" w:hAnsi="Inter" w:cs="Inter"/>
          <w:b w:val="0"/>
          <w:i w:val="0"/>
          <w:color w:val="1C1E2E"/>
          <w:sz w:val="22"/>
        </w:rPr>
        <w:t>, built on three design decisions:</w:t>
      </w:r>
    </w:p>
    <w:p>
      <w:pPr>
        <w:pStyle w:val="ListNumber"/>
        <w:spacing w:after="60"/>
        <w:ind w:left="403"/>
      </w:pPr>
      <w:r>
        <w:rPr>
          <w:rFonts w:ascii="Inter" w:hAnsi="Inter" w:cs="Inter"/>
          <w:b/>
          <w:i w:val="0"/>
          <w:color w:val="1C1E2E"/>
          <w:sz w:val="22"/>
        </w:rPr>
        <w:t>Measure ≠ Decide.</w:t>
      </w:r>
      <w:r>
        <w:rPr>
          <w:rFonts w:ascii="Inter" w:hAnsi="Inter" w:cs="Inter"/>
          <w:b w:val="0"/>
          <w:i w:val="0"/>
          <w:color w:val="1C1E2E"/>
          <w:sz w:val="22"/>
        </w:rPr>
        <w:t xml:space="preserve"> The model </w:t>
      </w:r>
      <w:r>
        <w:rPr>
          <w:rFonts w:ascii="Inter" w:hAnsi="Inter" w:cs="Inter"/>
          <w:b/>
          <w:i w:val="0"/>
          <w:color w:val="1C1E2E"/>
          <w:sz w:val="22"/>
        </w:rPr>
        <w:t>observes and describes</w:t>
      </w:r>
      <w:r>
        <w:rPr>
          <w:rFonts w:ascii="Inter" w:hAnsi="Inter" w:cs="Inter"/>
          <w:b w:val="0"/>
          <w:i w:val="0"/>
          <w:color w:val="1C1E2E"/>
          <w:sz w:val="22"/>
        </w:rPr>
        <w:t xml:space="preserve"> what happens in the interaction; a </w:t>
      </w:r>
      <w:r>
        <w:rPr>
          <w:rFonts w:ascii="Inter" w:hAnsi="Inter" w:cs="Inter"/>
          <w:b/>
          <w:i w:val="0"/>
          <w:color w:val="1C1E2E"/>
          <w:sz w:val="22"/>
        </w:rPr>
        <w:t>deterministic engine</w:t>
      </w:r>
      <w:r>
        <w:rPr>
          <w:rFonts w:ascii="Inter" w:hAnsi="Inter" w:cs="Inter"/>
          <w:b w:val="0"/>
          <w:i w:val="0"/>
          <w:color w:val="1C1E2E"/>
          <w:sz w:val="22"/>
        </w:rPr>
        <w:t xml:space="preserve"> — code, not AI — </w:t>
      </w:r>
      <w:r>
        <w:rPr>
          <w:rFonts w:ascii="Inter" w:hAnsi="Inter" w:cs="Inter"/>
          <w:b/>
          <w:i w:val="0"/>
          <w:color w:val="1C1E2E"/>
          <w:sz w:val="22"/>
        </w:rPr>
        <w:t>computes</w:t>
      </w:r>
      <w:r>
        <w:rPr>
          <w:rFonts w:ascii="Inter" w:hAnsi="Inter" w:cs="Inter"/>
          <w:b w:val="0"/>
          <w:i w:val="0"/>
          <w:color w:val="1C1E2E"/>
          <w:sz w:val="22"/>
        </w:rPr>
        <w:t xml:space="preserve"> the band from those observations. Nothing on screen is invented by a model.</w:t>
      </w:r>
    </w:p>
    <w:p>
      <w:pPr>
        <w:pStyle w:val="ListNumber"/>
        <w:spacing w:after="60"/>
        <w:ind w:left="403"/>
      </w:pPr>
      <w:r>
        <w:rPr>
          <w:rFonts w:ascii="Inter" w:hAnsi="Inter" w:cs="Inter"/>
          <w:b/>
          <w:i w:val="0"/>
          <w:color w:val="1C1E2E"/>
          <w:sz w:val="22"/>
        </w:rPr>
        <w:t>Engine + pack.</w:t>
      </w:r>
      <w:r>
        <w:rPr>
          <w:rFonts w:ascii="Inter" w:hAnsi="Inter" w:cs="Inter"/>
          <w:b w:val="0"/>
          <w:i w:val="0"/>
          <w:color w:val="1C1E2E"/>
          <w:sz w:val="22"/>
        </w:rPr>
        <w:t xml:space="preserve"> The measurement rules are client-agnostic; each product fills a </w:t>
      </w:r>
      <w:r>
        <w:rPr>
          <w:rFonts w:ascii="Inter" w:hAnsi="Inter" w:cs="Inter"/>
          <w:b/>
          <w:i w:val="0"/>
          <w:color w:val="1C1E2E"/>
          <w:sz w:val="22"/>
        </w:rPr>
        <w:t>pack</w:t>
      </w:r>
      <w:r>
        <w:rPr>
          <w:rFonts w:ascii="Inter" w:hAnsi="Inter" w:cs="Inter"/>
          <w:b w:val="0"/>
          <w:i w:val="0"/>
          <w:color w:val="1C1E2E"/>
          <w:sz w:val="22"/>
        </w:rPr>
        <w:t xml:space="preserve"> with its tasks, levels and sound inventory. Applying the module to a second application means </w:t>
      </w:r>
      <w:r>
        <w:rPr>
          <w:rFonts w:ascii="Inter" w:hAnsi="Inter" w:cs="Inter"/>
          <w:b/>
          <w:i w:val="0"/>
          <w:color w:val="1C1E2E"/>
          <w:sz w:val="22"/>
        </w:rPr>
        <w:t>filling a pack, not redesigning</w:t>
      </w:r>
      <w:r>
        <w:rPr>
          <w:rFonts w:ascii="Inter" w:hAnsi="Inter" w:cs="Inter"/>
          <w:b w:val="0"/>
          <w:i w:val="0"/>
          <w:color w:val="1C1E2E"/>
          <w:sz w:val="22"/>
        </w:rPr>
        <w:t>: that is the replicability claim the thesis must demonstrate.</w:t>
      </w:r>
    </w:p>
    <w:p>
      <w:pPr>
        <w:pStyle w:val="ListNumber"/>
        <w:spacing w:after="60"/>
        <w:ind w:left="403"/>
      </w:pPr>
      <w:r>
        <w:rPr>
          <w:rFonts w:ascii="Inter" w:hAnsi="Inter" w:cs="Inter"/>
          <w:b/>
          <w:i w:val="0"/>
          <w:color w:val="1C1E2E"/>
          <w:sz w:val="22"/>
        </w:rPr>
        <w:t>Three tiers of evidence.</w:t>
      </w:r>
      <w:r>
        <w:rPr>
          <w:rFonts w:ascii="Inter" w:hAnsi="Inter" w:cs="Inter"/>
          <w:b w:val="0"/>
          <w:i w:val="0"/>
          <w:color w:val="1C1E2E"/>
          <w:sz w:val="22"/>
        </w:rPr>
        <w:t xml:space="preserve"> Voice signal is not measurable at uniform precision. Every claim </w:t>
      </w:r>
      <w:r>
        <w:rPr>
          <w:rFonts w:ascii="Inter" w:hAnsi="Inter" w:cs="Inter"/>
          <w:b/>
          <w:i w:val="0"/>
          <w:color w:val="1C1E2E"/>
          <w:sz w:val="22"/>
        </w:rPr>
        <w:t>declares its tier</w:t>
      </w:r>
      <w:r>
        <w:rPr>
          <w:rFonts w:ascii="Inter" w:hAnsi="Inter" w:cs="Inter"/>
          <w:b w:val="0"/>
          <w:i w:val="0"/>
          <w:color w:val="1C1E2E"/>
          <w:sz w:val="22"/>
        </w:rPr>
        <w:t>, so a report never asserts more accuracy than the engine actually has. Pronunciation — the hardest signal — is the test case, and carrying it from Tier 1 to Tier 3 is the thesis's deep phonemic contribution.</w:t>
      </w:r>
    </w:p>
    <w:p>
      <w:r>
        <w:rPr>
          <w:rFonts w:ascii="Inter" w:hAnsi="Inter" w:cs="Inter"/>
          <w:b w:val="0"/>
          <w:i w:val="0"/>
          <w:color w:val="1C1E2E"/>
          <w:sz w:val="22"/>
        </w:rPr>
        <w:t xml:space="preserve">Methodologically it is </w:t>
      </w:r>
      <w:r>
        <w:rPr>
          <w:rFonts w:ascii="Inter" w:hAnsi="Inter" w:cs="Inter"/>
          <w:b/>
          <w:i w:val="0"/>
          <w:color w:val="1C1E2E"/>
          <w:sz w:val="22"/>
        </w:rPr>
        <w:t>design-based research with validation in production</w:t>
      </w:r>
      <w:r>
        <w:rPr>
          <w:rFonts w:ascii="Inter" w:hAnsi="Inter" w:cs="Inter"/>
          <w:b w:val="0"/>
          <w:i w:val="0"/>
          <w:color w:val="1C1E2E"/>
          <w:sz w:val="22"/>
        </w:rPr>
        <w:t xml:space="preserve">: Tier 1 is already deployed and emitting evidence to an LRS, which allows the agreement between the LLM-applied rubric and </w:t>
      </w:r>
      <w:r>
        <w:rPr>
          <w:rFonts w:ascii="Inter" w:hAnsi="Inter" w:cs="Inter"/>
          <w:b/>
          <w:i w:val="0"/>
          <w:color w:val="1C1E2E"/>
          <w:sz w:val="22"/>
        </w:rPr>
        <w:t>expert human assessment</w:t>
      </w:r>
      <w:r>
        <w:rPr>
          <w:rFonts w:ascii="Inter" w:hAnsi="Inter" w:cs="Inter"/>
          <w:b w:val="0"/>
          <w:i w:val="0"/>
          <w:color w:val="1C1E2E"/>
          <w:sz w:val="22"/>
        </w:rPr>
        <w:t xml:space="preserve"> to be tested on real rather than simulated data.</w:t>
      </w:r>
    </w:p>
    <w:p>
      <w:r>
        <w:rPr>
          <w:rFonts w:ascii="Inter" w:hAnsi="Inter" w:cs="Inter"/>
          <w:b/>
          <w:i w:val="0"/>
          <w:color w:val="1C1E2E"/>
          <w:sz w:val="22"/>
        </w:rPr>
        <w:t>Keywords:</w:t>
      </w:r>
      <w:r>
        <w:rPr>
          <w:rFonts w:ascii="Inter" w:hAnsi="Inter" w:cs="Inter"/>
          <w:b w:val="0"/>
          <w:i w:val="0"/>
          <w:color w:val="1C1E2E"/>
          <w:sz w:val="22"/>
        </w:rPr>
        <w:t xml:space="preserve"> CEFR · speaking assessment · voice tutors · GOP and pronunciation · xAPI · evidence honesty · design-based research · applied linguistics.</w:t>
      </w:r>
    </w:p>
    <w:p>
      <w:pPr>
        <w:pBdr>
          <w:bottom w:val="single" w:sz="6" w:space="1" w:color="E6E8F2"/>
        </w:pBdr>
      </w:pPr>
    </w:p>
    <w:p>
      <w:pPr>
        <w:spacing w:before="320" w:after="120"/>
      </w:pPr>
      <w:r>
        <w:rPr>
          <w:rFonts w:ascii="Fraunces" w:hAnsi="Fraunces" w:cs="Fraunces"/>
          <w:b/>
          <w:i w:val="0"/>
          <w:color w:val="22307C"/>
          <w:sz w:val="32"/>
        </w:rPr>
        <w:t>3. Justificación</w:t>
      </w:r>
    </w:p>
    <w:p>
      <w:r>
        <w:rPr>
          <w:rFonts w:ascii="Inter" w:hAnsi="Inter" w:cs="Inter"/>
          <w:b/>
          <w:i w:val="0"/>
          <w:color w:val="1C1E2E"/>
          <w:sz w:val="22"/>
        </w:rPr>
        <w:t>3.1 El problema de fondo: fluidez no es validez.</w:t>
      </w:r>
      <w:r>
        <w:rPr>
          <w:rFonts w:ascii="Inter" w:hAnsi="Inter" w:cs="Inter"/>
          <w:b w:val="0"/>
          <w:i w:val="0"/>
          <w:color w:val="1C1E2E"/>
          <w:sz w:val="22"/>
        </w:rPr>
        <w:t xml:space="preserve"> Los tutores conversacionales han hecho técnicamente trivial la práctica oral ilimitada. Pero un modelo de lenguaje, colocado en el papel de evaluador, no distingue entre </w:t>
      </w:r>
      <w:r>
        <w:rPr>
          <w:rFonts w:ascii="Inter" w:hAnsi="Inter" w:cs="Inter"/>
          <w:b w:val="0"/>
          <w:i/>
          <w:color w:val="1C1E2E"/>
          <w:sz w:val="22"/>
        </w:rPr>
        <w:t>describir</w:t>
      </w:r>
      <w:r>
        <w:rPr>
          <w:rFonts w:ascii="Inter" w:hAnsi="Inter" w:cs="Inter"/>
          <w:b w:val="0"/>
          <w:i w:val="0"/>
          <w:color w:val="1C1E2E"/>
          <w:sz w:val="22"/>
        </w:rPr>
        <w:t xml:space="preserve"> un desempeño y </w:t>
      </w:r>
      <w:r>
        <w:rPr>
          <w:rFonts w:ascii="Inter" w:hAnsi="Inter" w:cs="Inter"/>
          <w:b w:val="0"/>
          <w:i/>
          <w:color w:val="1C1E2E"/>
          <w:sz w:val="22"/>
        </w:rPr>
        <w:t>puntuarlo</w:t>
      </w:r>
      <w:r>
        <w:rPr>
          <w:rFonts w:ascii="Inter" w:hAnsi="Inter" w:cs="Inter"/>
          <w:b w:val="0"/>
          <w:i w:val="0"/>
          <w:color w:val="1C1E2E"/>
          <w:sz w:val="22"/>
        </w:rPr>
        <w:t xml:space="preserve">: produce una banda con la misma soltura con que produce una frase. El resultado son sistemas que muestran cifras sin trazabilidad, que no soportan una auditoría y que no pueden compararse entre sí. La respuesta de MLLDE no es un mejor prompt, sino una </w:t>
      </w:r>
      <w:r>
        <w:rPr>
          <w:rFonts w:ascii="Inter" w:hAnsi="Inter" w:cs="Inter"/>
          <w:b/>
          <w:i w:val="0"/>
          <w:color w:val="1C1E2E"/>
          <w:sz w:val="22"/>
        </w:rPr>
        <w:t>separación arquitectónica de responsabilidades</w:t>
      </w:r>
      <w:r>
        <w:rPr>
          <w:rFonts w:ascii="Inter" w:hAnsi="Inter" w:cs="Inter"/>
          <w:b w:val="0"/>
          <w:i w:val="0"/>
          <w:color w:val="1C1E2E"/>
          <w:sz w:val="22"/>
        </w:rPr>
        <w:t>.</w:t>
      </w:r>
    </w:p>
    <w:p>
      <w:r>
        <w:rPr>
          <w:rFonts w:ascii="Inter" w:hAnsi="Inter" w:cs="Inter"/>
          <w:b/>
          <w:i w:val="0"/>
          <w:color w:val="1C1E2E"/>
          <w:sz w:val="22"/>
        </w:rPr>
        <w:t>3.2 Por qué la pronunciación es el caso decisivo.</w:t>
      </w:r>
      <w:r>
        <w:rPr>
          <w:rFonts w:ascii="Inter" w:hAnsi="Inter" w:cs="Inter"/>
          <w:b w:val="0"/>
          <w:i w:val="0"/>
          <w:color w:val="1C1E2E"/>
          <w:sz w:val="22"/>
        </w:rPr>
        <w:t xml:space="preserve"> De todas las señales que emite el habla, la pronunciación es la que más se promete en el mercado y la que menos se sostiene metodológicamente. Medirla bien exige instrumentación acústica, y afirmarla sin ella es exactamente el tipo de sobreafirmación que esta tesis quiere hacer imposible. Por eso el modelo de tiers no es un rodeo: es la manera de decir con precisión </w:t>
      </w:r>
      <w:r>
        <w:rPr>
          <w:rFonts w:ascii="Inter" w:hAnsi="Inter" w:cs="Inter"/>
          <w:b/>
          <w:i w:val="0"/>
          <w:color w:val="1C1E2E"/>
          <w:sz w:val="22"/>
        </w:rPr>
        <w:t>qué se puede medir hoy, qué se puede medir con instrumentación y qué es todavía investigación</w:t>
      </w:r>
      <w:r>
        <w:rPr>
          <w:rFonts w:ascii="Inter" w:hAnsi="Inter" w:cs="Inter"/>
          <w:b w:val="0"/>
          <w:i w:val="0"/>
          <w:color w:val="1C1E2E"/>
          <w:sz w:val="22"/>
        </w:rPr>
        <w:t>.</w:t>
      </w:r>
    </w:p>
    <w:p>
      <w:r>
        <w:rPr>
          <w:rFonts w:ascii="Inter" w:hAnsi="Inter" w:cs="Inter"/>
          <w:b/>
          <w:i w:val="0"/>
          <w:color w:val="1C1E2E"/>
          <w:sz w:val="22"/>
        </w:rPr>
        <w:t>3.3 Por qué tres tiers y no «todo o nada».</w:t>
      </w:r>
      <w:r>
        <w:rPr>
          <w:rFonts w:ascii="Inter" w:hAnsi="Inter" w:cs="Inter"/>
          <w:b w:val="0"/>
          <w:i w:val="0"/>
          <w:color w:val="1C1E2E"/>
          <w:sz w:val="22"/>
        </w:rPr>
        <w:t xml:space="preserve"> Un tutor comercial no puede esperar a que termine la investigación para dar valor; y la investigación no puede quedar cautiva de una demo. Los tiers permiten </w:t>
      </w:r>
      <w:r>
        <w:rPr>
          <w:rFonts w:ascii="Inter" w:hAnsi="Inter" w:cs="Inter"/>
          <w:b/>
          <w:i w:val="0"/>
          <w:color w:val="1C1E2E"/>
          <w:sz w:val="22"/>
        </w:rPr>
        <w:t>lanzar con Tier 1</w:t>
      </w:r>
      <w:r>
        <w:rPr>
          <w:rFonts w:ascii="Inter" w:hAnsi="Inter" w:cs="Inter"/>
          <w:b w:val="0"/>
          <w:i w:val="0"/>
          <w:color w:val="1C1E2E"/>
          <w:sz w:val="22"/>
        </w:rPr>
        <w:t xml:space="preserve"> —voz real, medición honesta— mientras se desarrolla y valida el Tier 2 y se investiga el Tier 3, cada uno con su propio diseño de validez. Es un modelo de madurez de la evidencia, no una excusa.</w:t>
      </w:r>
    </w:p>
    <w:p>
      <w:r>
        <w:rPr>
          <w:rFonts w:ascii="Inter" w:hAnsi="Inter" w:cs="Inter"/>
          <w:b/>
          <w:i w:val="0"/>
          <w:color w:val="1C1E2E"/>
          <w:sz w:val="22"/>
        </w:rPr>
        <w:t>3.4 La constatación profesional.</w:t>
      </w:r>
      <w:r>
        <w:rPr>
          <w:rFonts w:ascii="Inter" w:hAnsi="Inter" w:cs="Inter"/>
          <w:b w:val="0"/>
          <w:i w:val="0"/>
          <w:color w:val="1C1E2E"/>
          <w:sz w:val="22"/>
        </w:rPr>
        <w:t xml:space="preserve"> Más de veinte años diseñando y ejecutando formación en lenguas —1.568 horas de docencia universitaria acreditadas, administración de LMS desde 2019, cursos gamificados alineados al MCER— muestran que el cuello de botella no es el contenido ni la tecnología, sino la </w:t>
      </w:r>
      <w:r>
        <w:rPr>
          <w:rFonts w:ascii="Inter" w:hAnsi="Inter" w:cs="Inter"/>
          <w:b/>
          <w:i w:val="0"/>
          <w:color w:val="1C1E2E"/>
          <w:sz w:val="22"/>
        </w:rPr>
        <w:t>ausencia de un procedimiento acumulable</w:t>
      </w:r>
      <w:r>
        <w:rPr>
          <w:rFonts w:ascii="Inter" w:hAnsi="Inter" w:cs="Inter"/>
          <w:b w:val="0"/>
          <w:i w:val="0"/>
          <w:color w:val="1C1E2E"/>
          <w:sz w:val="22"/>
        </w:rPr>
        <w:t>. MLLDE nace de ahí, y TK Coach es su primera instanciación completa.</w:t>
      </w:r>
    </w:p>
    <w:p>
      <w:pPr>
        <w:pBdr>
          <w:bottom w:val="single" w:sz="6" w:space="1" w:color="E6E8F2"/>
        </w:pBdr>
      </w:pPr>
    </w:p>
    <w:p>
      <w:pPr>
        <w:spacing w:before="320" w:after="120"/>
      </w:pPr>
      <w:r>
        <w:rPr>
          <w:rFonts w:ascii="Fraunces" w:hAnsi="Fraunces" w:cs="Fraunces"/>
          <w:b/>
          <w:i w:val="0"/>
          <w:color w:val="22307C"/>
          <w:sz w:val="32"/>
        </w:rPr>
        <w:t>4. Estado de la cuestión</w:t>
      </w:r>
    </w:p>
    <w:p>
      <w:pPr>
        <w:spacing w:before="240" w:after="120"/>
      </w:pPr>
      <w:r>
        <w:rPr>
          <w:rFonts w:ascii="Inter" w:hAnsi="Inter" w:cs="Inter"/>
          <w:b/>
          <w:i w:val="0"/>
          <w:color w:val="1C1E2E"/>
          <w:sz w:val="26"/>
        </w:rPr>
        <w:t>4.1 El MCER como especificación de medida, no como etiqueta</w:t>
      </w:r>
    </w:p>
    <w:p>
      <w:r>
        <w:rPr>
          <w:rFonts w:ascii="Inter" w:hAnsi="Inter" w:cs="Inter"/>
          <w:b w:val="0"/>
          <w:i w:val="0"/>
          <w:color w:val="1C1E2E"/>
          <w:sz w:val="22"/>
        </w:rPr>
        <w:t xml:space="preserve">El </w:t>
      </w:r>
      <w:r>
        <w:rPr>
          <w:rFonts w:ascii="Inter" w:hAnsi="Inter" w:cs="Inter"/>
          <w:b w:val="0"/>
          <w:i/>
          <w:color w:val="1C1E2E"/>
          <w:sz w:val="22"/>
        </w:rPr>
        <w:t>Companion Volume</w:t>
      </w:r>
      <w:r>
        <w:rPr>
          <w:rFonts w:ascii="Inter" w:hAnsi="Inter" w:cs="Inter"/>
          <w:b w:val="0"/>
          <w:i w:val="0"/>
          <w:color w:val="1C1E2E"/>
          <w:sz w:val="22"/>
        </w:rPr>
        <w:t xml:space="preserve"> (Consejo de Europa, 2020) organiza la competencia en </w:t>
      </w:r>
      <w:r>
        <w:rPr>
          <w:rFonts w:ascii="Inter" w:hAnsi="Inter" w:cs="Inter"/>
          <w:b/>
          <w:i w:val="0"/>
          <w:color w:val="1C1E2E"/>
          <w:sz w:val="22"/>
        </w:rPr>
        <w:t>modos de comunicación</w:t>
      </w:r>
      <w:r>
        <w:rPr>
          <w:rFonts w:ascii="Inter" w:hAnsi="Inter" w:cs="Inter"/>
          <w:b w:val="0"/>
          <w:i w:val="0"/>
          <w:color w:val="1C1E2E"/>
          <w:sz w:val="22"/>
        </w:rPr>
        <w:t xml:space="preserve"> —recepción, producción, interacción y </w:t>
      </w:r>
      <w:r>
        <w:rPr>
          <w:rFonts w:ascii="Inter" w:hAnsi="Inter" w:cs="Inter"/>
          <w:b/>
          <w:i w:val="0"/>
          <w:color w:val="1C1E2E"/>
          <w:sz w:val="22"/>
        </w:rPr>
        <w:t>mediación</w:t>
      </w:r>
      <w:r>
        <w:rPr>
          <w:rFonts w:ascii="Inter" w:hAnsi="Inter" w:cs="Inter"/>
          <w:b w:val="0"/>
          <w:i w:val="0"/>
          <w:color w:val="1C1E2E"/>
          <w:sz w:val="22"/>
        </w:rPr>
        <w:t xml:space="preserve">— con descriptores «can-do» por escala y nivel. En la práctica del sector, sin embargo, el MCER se usa como </w:t>
      </w:r>
      <w:r>
        <w:rPr>
          <w:rFonts w:ascii="Inter" w:hAnsi="Inter" w:cs="Inter"/>
          <w:b/>
          <w:i w:val="0"/>
          <w:color w:val="1C1E2E"/>
          <w:sz w:val="22"/>
        </w:rPr>
        <w:t>etiqueta comercial</w:t>
      </w:r>
      <w:r>
        <w:rPr>
          <w:rFonts w:ascii="Inter" w:hAnsi="Inter" w:cs="Inter"/>
          <w:b w:val="0"/>
          <w:i w:val="0"/>
          <w:color w:val="1C1E2E"/>
          <w:sz w:val="22"/>
        </w:rPr>
        <w:t xml:space="preserve"> («nivel B1») y rara vez como </w:t>
      </w:r>
      <w:r>
        <w:rPr>
          <w:rFonts w:ascii="Inter" w:hAnsi="Inter" w:cs="Inter"/>
          <w:b/>
          <w:i w:val="0"/>
          <w:color w:val="1C1E2E"/>
          <w:sz w:val="22"/>
        </w:rPr>
        <w:t>especificación de medida</w:t>
      </w:r>
      <w:r>
        <w:rPr>
          <w:rFonts w:ascii="Inter" w:hAnsi="Inter" w:cs="Inter"/>
          <w:b w:val="0"/>
          <w:i w:val="0"/>
          <w:color w:val="1C1E2E"/>
          <w:sz w:val="22"/>
        </w:rPr>
        <w:t xml:space="preserve">: casi ningún producto declara, por métrica, contra qué escala nombrada se mide. MLLDE impone la regla inversa: </w:t>
      </w:r>
      <w:r>
        <w:rPr>
          <w:rFonts w:ascii="Inter" w:hAnsi="Inter" w:cs="Inter"/>
          <w:b/>
          <w:i w:val="0"/>
          <w:color w:val="1C1E2E"/>
          <w:sz w:val="22"/>
        </w:rPr>
        <w:t>no hay métrica sin descriptor</w:t>
      </w:r>
      <w:r>
        <w:rPr>
          <w:rFonts w:ascii="Inter" w:hAnsi="Inter" w:cs="Inter"/>
          <w:b w:val="0"/>
          <w:i w:val="0"/>
          <w:color w:val="1C1E2E"/>
          <w:sz w:val="22"/>
        </w:rPr>
        <w:t xml:space="preserve">, y cada métrica cita su escala y su identificador (IRI) en un </w:t>
      </w:r>
      <w:r>
        <w:rPr>
          <w:rFonts w:ascii="Inter" w:hAnsi="Inter" w:cs="Inter"/>
          <w:b w:val="0"/>
          <w:i/>
          <w:color w:val="1C1E2E"/>
          <w:sz w:val="22"/>
        </w:rPr>
        <w:t>registry</w:t>
      </w:r>
      <w:r>
        <w:rPr>
          <w:rFonts w:ascii="Inter" w:hAnsi="Inter" w:cs="Inter"/>
          <w:b w:val="0"/>
          <w:i w:val="0"/>
          <w:color w:val="1C1E2E"/>
          <w:sz w:val="22"/>
        </w:rPr>
        <w:t xml:space="preserve"> único.</w:t>
      </w:r>
    </w:p>
    <w:p>
      <w:pPr>
        <w:spacing w:before="240" w:after="120"/>
      </w:pPr>
      <w:r>
        <w:rPr>
          <w:rFonts w:ascii="Inter" w:hAnsi="Inter" w:cs="Inter"/>
          <w:b/>
          <w:i w:val="0"/>
          <w:color w:val="1C1E2E"/>
          <w:sz w:val="26"/>
        </w:rPr>
        <w:t>4.2 Evaluación automática del habla</w:t>
      </w:r>
    </w:p>
    <w:p>
      <w:r>
        <w:rPr>
          <w:rFonts w:ascii="Inter" w:hAnsi="Inter" w:cs="Inter"/>
          <w:b w:val="0"/>
          <w:i w:val="0"/>
          <w:color w:val="1C1E2E"/>
          <w:sz w:val="22"/>
        </w:rPr>
        <w:t xml:space="preserve">La evaluación asistida por máquina de la producción oral tiene dos tradiciones que rara vez se encuentran. Por un lado, la </w:t>
      </w:r>
      <w:r>
        <w:rPr>
          <w:rFonts w:ascii="Inter" w:hAnsi="Inter" w:cs="Inter"/>
          <w:b/>
          <w:i w:val="0"/>
          <w:color w:val="1C1E2E"/>
          <w:sz w:val="22"/>
        </w:rPr>
        <w:t>puntuación acústica de pronunciación</w:t>
      </w:r>
      <w:r>
        <w:rPr>
          <w:rFonts w:ascii="Inter" w:hAnsi="Inter" w:cs="Inter"/>
          <w:b w:val="0"/>
          <w:i w:val="0"/>
          <w:color w:val="1C1E2E"/>
          <w:sz w:val="22"/>
        </w:rPr>
        <w:t xml:space="preserve">, cuyo referente sigue siendo el </w:t>
      </w:r>
      <w:r>
        <w:rPr>
          <w:rFonts w:ascii="Inter" w:hAnsi="Inter" w:cs="Inter"/>
          <w:b w:val="0"/>
          <w:i/>
          <w:color w:val="1C1E2E"/>
          <w:sz w:val="22"/>
        </w:rPr>
        <w:t>Goodness of Pronunciation</w:t>
      </w:r>
      <w:r>
        <w:rPr>
          <w:rFonts w:ascii="Inter" w:hAnsi="Inter" w:cs="Inter"/>
          <w:b w:val="0"/>
          <w:i w:val="0"/>
          <w:color w:val="1C1E2E"/>
          <w:sz w:val="22"/>
        </w:rPr>
        <w:t xml:space="preserve"> (Witt &amp; Young, 2000) y su descendencia comercial. Por otro, la </w:t>
      </w:r>
      <w:r>
        <w:rPr>
          <w:rFonts w:ascii="Inter" w:hAnsi="Inter" w:cs="Inter"/>
          <w:b/>
          <w:i w:val="0"/>
          <w:color w:val="1C1E2E"/>
          <w:sz w:val="22"/>
        </w:rPr>
        <w:t>valoración holística por rúbrica</w:t>
      </w:r>
      <w:r>
        <w:rPr>
          <w:rFonts w:ascii="Inter" w:hAnsi="Inter" w:cs="Inter"/>
          <w:b w:val="0"/>
          <w:i w:val="0"/>
          <w:color w:val="1C1E2E"/>
          <w:sz w:val="22"/>
        </w:rPr>
        <w:t xml:space="preserve">, hoy accesible a un LLM sobre transcripción. La primera es precisa y estrecha; la segunda es amplia y no verificable. </w:t>
      </w:r>
      <w:r>
        <w:rPr>
          <w:rFonts w:ascii="Inter" w:hAnsi="Inter" w:cs="Inter"/>
          <w:b/>
          <w:i w:val="0"/>
          <w:color w:val="1C1E2E"/>
          <w:sz w:val="22"/>
        </w:rPr>
        <w:t>Ninguna de las dos, por sí sola, sostiene una afirmación de nivel MCER auditable.</w:t>
      </w:r>
      <w:r>
        <w:rPr>
          <w:rFonts w:ascii="Inter" w:hAnsi="Inter" w:cs="Inter"/>
          <w:b w:val="0"/>
          <w:i w:val="0"/>
          <w:color w:val="1C1E2E"/>
          <w:sz w:val="22"/>
        </w:rPr>
        <w:t xml:space="preserve"> El aporte de esta tesis es articularlas en una escala de madurez explícita —los tres tiers— en lugar de elegir una y ocultar sus límites.</w:t>
      </w:r>
    </w:p>
    <w:p>
      <w:pPr>
        <w:spacing w:before="240" w:after="120"/>
      </w:pPr>
      <w:r>
        <w:rPr>
          <w:rFonts w:ascii="Inter" w:hAnsi="Inter" w:cs="Inter"/>
          <w:b/>
          <w:i w:val="0"/>
          <w:color w:val="1C1E2E"/>
          <w:sz w:val="26"/>
        </w:rPr>
        <w:t xml:space="preserve">4.3 Retroalimentación, </w:t>
      </w:r>
      <w:r>
        <w:rPr>
          <w:rFonts w:ascii="Inter" w:hAnsi="Inter" w:cs="Inter"/>
          <w:b/>
          <w:i w:val="0"/>
          <w:color w:val="1C1E2E"/>
          <w:sz w:val="26"/>
        </w:rPr>
        <w:t>noticing</w:t>
      </w:r>
      <w:r>
        <w:rPr>
          <w:rFonts w:ascii="Inter" w:hAnsi="Inter" w:cs="Inter"/>
          <w:b/>
          <w:i w:val="0"/>
          <w:color w:val="1C1E2E"/>
          <w:sz w:val="26"/>
        </w:rPr>
        <w:t xml:space="preserve"> e </w:t>
      </w:r>
      <w:r>
        <w:rPr>
          <w:rFonts w:ascii="Inter" w:hAnsi="Inter" w:cs="Inter"/>
          <w:b/>
          <w:i w:val="0"/>
          <w:color w:val="1C1E2E"/>
          <w:sz w:val="26"/>
        </w:rPr>
        <w:t>i+1</w:t>
      </w:r>
    </w:p>
    <w:p>
      <w:r>
        <w:rPr>
          <w:rFonts w:ascii="Inter" w:hAnsi="Inter" w:cs="Inter"/>
          <w:b w:val="0"/>
          <w:i w:val="0"/>
          <w:color w:val="1C1E2E"/>
          <w:sz w:val="22"/>
        </w:rPr>
        <w:t xml:space="preserve">La hipótesis del insumo comprensible (Krashen, 1985) y la hipótesis del </w:t>
      </w:r>
      <w:r>
        <w:rPr>
          <w:rFonts w:ascii="Inter" w:hAnsi="Inter" w:cs="Inter"/>
          <w:b w:val="0"/>
          <w:i/>
          <w:color w:val="1C1E2E"/>
          <w:sz w:val="22"/>
        </w:rPr>
        <w:t>noticing</w:t>
      </w:r>
      <w:r>
        <w:rPr>
          <w:rFonts w:ascii="Inter" w:hAnsi="Inter" w:cs="Inter"/>
          <w:b w:val="0"/>
          <w:i w:val="0"/>
          <w:color w:val="1C1E2E"/>
          <w:sz w:val="22"/>
        </w:rPr>
        <w:t xml:space="preserve"> (Schmidt, 1990) fundamentan que la retroalimentación sea </w:t>
      </w:r>
      <w:r>
        <w:rPr>
          <w:rFonts w:ascii="Inter" w:hAnsi="Inter" w:cs="Inter"/>
          <w:b/>
          <w:i w:val="0"/>
          <w:color w:val="1C1E2E"/>
          <w:sz w:val="22"/>
        </w:rPr>
        <w:t>dosificada por nivel</w:t>
      </w:r>
      <w:r>
        <w:rPr>
          <w:rFonts w:ascii="Inter" w:hAnsi="Inter" w:cs="Inter"/>
          <w:b w:val="0"/>
          <w:i w:val="0"/>
          <w:color w:val="1C1E2E"/>
          <w:sz w:val="22"/>
        </w:rPr>
        <w:t xml:space="preserve"> y no uniforme. MLLDE lo operacionaliza como una </w:t>
      </w:r>
      <w:r>
        <w:rPr>
          <w:rFonts w:ascii="Inter" w:hAnsi="Inter" w:cs="Inter"/>
          <w:b/>
          <w:i w:val="0"/>
          <w:color w:val="1C1E2E"/>
          <w:sz w:val="22"/>
        </w:rPr>
        <w:t>escala de noticing (0–4)</w:t>
      </w:r>
      <w:r>
        <w:rPr>
          <w:rFonts w:ascii="Inter" w:hAnsi="Inter" w:cs="Inter"/>
          <w:b w:val="0"/>
          <w:i w:val="0"/>
          <w:color w:val="1C1E2E"/>
          <w:sz w:val="22"/>
        </w:rPr>
        <w:t xml:space="preserve"> que gradúa la saliencia dentro del </w:t>
      </w:r>
      <w:r>
        <w:rPr>
          <w:rFonts w:ascii="Inter" w:hAnsi="Inter" w:cs="Inter"/>
          <w:b w:val="0"/>
          <w:i/>
          <w:color w:val="1C1E2E"/>
          <w:sz w:val="22"/>
        </w:rPr>
        <w:t>recast</w:t>
      </w:r>
      <w:r>
        <w:rPr>
          <w:rFonts w:ascii="Inter" w:hAnsi="Inter" w:cs="Inter"/>
          <w:b w:val="0"/>
          <w:i w:val="0"/>
          <w:color w:val="1C1E2E"/>
          <w:sz w:val="22"/>
        </w:rPr>
        <w:t xml:space="preserve">: </w:t>
      </w:r>
      <w:r>
        <w:rPr>
          <w:rFonts w:ascii="Inter" w:hAnsi="Inter" w:cs="Inter"/>
          <w:b/>
          <w:i w:val="0"/>
          <w:color w:val="1C1E2E"/>
          <w:sz w:val="22"/>
        </w:rPr>
        <w:t>modelar</w:t>
      </w:r>
      <w:r>
        <w:rPr>
          <w:rFonts w:ascii="Inter" w:hAnsi="Inter" w:cs="Inter"/>
          <w:b w:val="0"/>
          <w:i w:val="0"/>
          <w:color w:val="1C1E2E"/>
          <w:sz w:val="22"/>
        </w:rPr>
        <w:t xml:space="preserve"> en A2–B1, </w:t>
      </w:r>
      <w:r>
        <w:rPr>
          <w:rFonts w:ascii="Inter" w:hAnsi="Inter" w:cs="Inter"/>
          <w:b/>
          <w:i w:val="0"/>
          <w:color w:val="1C1E2E"/>
          <w:sz w:val="22"/>
        </w:rPr>
        <w:t>elicitar</w:t>
      </w:r>
      <w:r>
        <w:rPr>
          <w:rFonts w:ascii="Inter" w:hAnsi="Inter" w:cs="Inter"/>
          <w:b w:val="0"/>
          <w:i w:val="0"/>
          <w:color w:val="1C1E2E"/>
          <w:sz w:val="22"/>
        </w:rPr>
        <w:t xml:space="preserve"> en B2+. Lo relevante metodológicamente es quién decide qué: </w:t>
      </w:r>
      <w:r>
        <w:rPr>
          <w:rFonts w:ascii="Inter" w:hAnsi="Inter" w:cs="Inter"/>
          <w:b/>
          <w:i w:val="0"/>
          <w:color w:val="1C1E2E"/>
          <w:sz w:val="22"/>
        </w:rPr>
        <w:t>el código decide el nivel de feedback (0–3); el LLM detecta y redacta.</w:t>
      </w:r>
    </w:p>
    <w:p>
      <w:pPr>
        <w:spacing w:before="240" w:after="120"/>
      </w:pPr>
      <w:r>
        <w:rPr>
          <w:rFonts w:ascii="Inter" w:hAnsi="Inter" w:cs="Inter"/>
          <w:b/>
          <w:i w:val="0"/>
          <w:color w:val="1C1E2E"/>
          <w:sz w:val="26"/>
        </w:rPr>
        <w:t>4.4 Inteligibilidad frente a acento nativo</w:t>
      </w:r>
    </w:p>
    <w:p>
      <w:r>
        <w:rPr>
          <w:rFonts w:ascii="Inter" w:hAnsi="Inter" w:cs="Inter"/>
          <w:b w:val="0"/>
          <w:i w:val="0"/>
          <w:color w:val="1C1E2E"/>
          <w:sz w:val="22"/>
        </w:rPr>
        <w:t xml:space="preserve">La literatura sobre inteligibilidad y la propia posición de la IPA (1999) sostienen que el objetivo defendible es el </w:t>
      </w:r>
      <w:r>
        <w:rPr>
          <w:rFonts w:ascii="Inter" w:hAnsi="Inter" w:cs="Inter"/>
          <w:b/>
          <w:i w:val="0"/>
          <w:color w:val="1C1E2E"/>
          <w:sz w:val="22"/>
        </w:rPr>
        <w:t>habla inteligible y adecuada</w:t>
      </w:r>
      <w:r>
        <w:rPr>
          <w:rFonts w:ascii="Inter" w:hAnsi="Inter" w:cs="Inter"/>
          <w:b w:val="0"/>
          <w:i w:val="0"/>
          <w:color w:val="1C1E2E"/>
          <w:sz w:val="22"/>
        </w:rPr>
        <w:t xml:space="preserve">, no la aproximación a un acento nativo. MLLDE lo convierte en regla del motor: las </w:t>
      </w:r>
      <w:r>
        <w:rPr>
          <w:rFonts w:ascii="Inter" w:hAnsi="Inter" w:cs="Inter"/>
          <w:b/>
          <w:i w:val="0"/>
          <w:color w:val="1C1E2E"/>
          <w:sz w:val="22"/>
        </w:rPr>
        <w:t>variantes aceptadas</w:t>
      </w:r>
      <w:r>
        <w:rPr>
          <w:rFonts w:ascii="Inter" w:hAnsi="Inter" w:cs="Inter"/>
          <w:b w:val="0"/>
          <w:i w:val="0"/>
          <w:color w:val="1C1E2E"/>
          <w:sz w:val="22"/>
        </w:rPr>
        <w:t xml:space="preserve"> (por ejemplo </w:t>
      </w:r>
      <w:r>
        <w:rPr>
          <w:rFonts w:ascii="Inter" w:hAnsi="Inter" w:cs="Inter"/>
          <w:b w:val="0"/>
          <w:i/>
          <w:color w:val="1C1E2E"/>
          <w:sz w:val="22"/>
        </w:rPr>
        <w:t>seseo</w:t>
      </w:r>
      <w:r>
        <w:rPr>
          <w:rFonts w:ascii="Inter" w:hAnsi="Inter" w:cs="Inter"/>
          <w:b w:val="0"/>
          <w:i w:val="0"/>
          <w:color w:val="1C1E2E"/>
          <w:sz w:val="22"/>
        </w:rPr>
        <w:t xml:space="preserve"> / </w:t>
      </w:r>
      <w:r>
        <w:rPr>
          <w:rFonts w:ascii="Inter" w:hAnsi="Inter" w:cs="Inter"/>
          <w:b w:val="0"/>
          <w:i/>
          <w:color w:val="1C1E2E"/>
          <w:sz w:val="22"/>
        </w:rPr>
        <w:t>distinción</w:t>
      </w:r>
      <w:r>
        <w:rPr>
          <w:rFonts w:ascii="Inter" w:hAnsi="Inter" w:cs="Inter"/>
          <w:b w:val="0"/>
          <w:i w:val="0"/>
          <w:color w:val="1C1E2E"/>
          <w:sz w:val="22"/>
        </w:rPr>
        <w:t xml:space="preserve">) </w:t>
      </w:r>
      <w:r>
        <w:rPr>
          <w:rFonts w:ascii="Inter" w:hAnsi="Inter" w:cs="Inter"/>
          <w:b/>
          <w:i w:val="0"/>
          <w:color w:val="1C1E2E"/>
          <w:sz w:val="22"/>
        </w:rPr>
        <w:t>nunca</w:t>
      </w:r>
      <w:r>
        <w:rPr>
          <w:rFonts w:ascii="Inter" w:hAnsi="Inter" w:cs="Inter"/>
          <w:b w:val="0"/>
          <w:i w:val="0"/>
          <w:color w:val="1C1E2E"/>
          <w:sz w:val="22"/>
        </w:rPr>
        <w:t xml:space="preserve"> rebajan una puntuación. Es una decisión ética además de técnica, y tiene consecuencias directas sobre el diseño del inventario fonémico del Tier 3.</w:t>
      </w:r>
    </w:p>
    <w:p>
      <w:pPr>
        <w:spacing w:before="240" w:after="120"/>
      </w:pPr>
      <w:r>
        <w:rPr>
          <w:rFonts w:ascii="Inter" w:hAnsi="Inter" w:cs="Inter"/>
          <w:b/>
          <w:i w:val="0"/>
          <w:color w:val="1C1E2E"/>
          <w:sz w:val="26"/>
        </w:rPr>
        <w:t>4.5 Datos de aprendizaje interoperables</w:t>
      </w:r>
    </w:p>
    <w:p>
      <w:r>
        <w:rPr>
          <w:rFonts w:ascii="Inter" w:hAnsi="Inter" w:cs="Inter"/>
          <w:b w:val="0"/>
          <w:i w:val="0"/>
          <w:color w:val="1C1E2E"/>
          <w:sz w:val="22"/>
        </w:rPr>
        <w:t xml:space="preserve">xAPI (IEEE Std 9274.1.1-2023) y los LRS permiten registrar experiencias fuera del LMS. Lo que no existe es un </w:t>
      </w:r>
      <w:r>
        <w:rPr>
          <w:rFonts w:ascii="Inter" w:hAnsi="Inter" w:cs="Inter"/>
          <w:b/>
          <w:i w:val="0"/>
          <w:color w:val="1C1E2E"/>
          <w:sz w:val="22"/>
        </w:rPr>
        <w:t>perfil consolidado y abierto para evidencia de competencia lingüística anclada a descriptores del MCER</w:t>
      </w:r>
      <w:r>
        <w:rPr>
          <w:rFonts w:ascii="Inter" w:hAnsi="Inter" w:cs="Inter"/>
          <w:b w:val="0"/>
          <w:i w:val="0"/>
          <w:color w:val="1C1E2E"/>
          <w:sz w:val="22"/>
        </w:rPr>
        <w:t>, con declaración explícita del modelo de medición y del tier de cada afirmación. Sin eso, dos plataformas no son comparables aunque ambas digan «B1».</w:t>
      </w:r>
    </w:p>
    <w:p>
      <w:pPr>
        <w:spacing w:before="240" w:after="120"/>
      </w:pPr>
      <w:r>
        <w:rPr>
          <w:rFonts w:ascii="Inter" w:hAnsi="Inter" w:cs="Inter"/>
          <w:b/>
          <w:i w:val="0"/>
          <w:color w:val="1C1E2E"/>
          <w:sz w:val="26"/>
        </w:rPr>
        <w:t>4.6 El vacío</w:t>
      </w:r>
    </w:p>
    <w:p>
      <w:pPr>
        <w:pBdr>
          <w:left w:val="single" w:sz="18" w:space="8" w:color="9A5B00"/>
        </w:pBdr>
        <w:spacing w:before="120" w:after="200"/>
        <w:ind w:left="317"/>
      </w:pPr>
      <w:r>
        <w:rPr>
          <w:rFonts w:ascii="Inter" w:hAnsi="Inter" w:cs="Inter"/>
          <w:b w:val="0"/>
          <w:i w:val="0"/>
          <w:color w:val="5B5F77"/>
          <w:sz w:val="21"/>
        </w:rPr>
        <w:t xml:space="preserve">No existe un </w:t>
      </w:r>
      <w:r>
        <w:rPr>
          <w:rFonts w:ascii="Inter" w:hAnsi="Inter" w:cs="Inter"/>
          <w:b/>
          <w:i w:val="0"/>
          <w:color w:val="5B5F77"/>
          <w:sz w:val="21"/>
        </w:rPr>
        <w:t>método replicable y auditable</w:t>
      </w:r>
      <w:r>
        <w:rPr>
          <w:rFonts w:ascii="Inter" w:hAnsi="Inter" w:cs="Inter"/>
          <w:b w:val="0"/>
          <w:i w:val="0"/>
          <w:color w:val="5B5F77"/>
          <w:sz w:val="21"/>
        </w:rPr>
        <w:t xml:space="preserve"> que (a) separe explícitamente </w:t>
      </w:r>
      <w:r>
        <w:rPr>
          <w:rFonts w:ascii="Inter" w:hAnsi="Inter" w:cs="Inter"/>
          <w:b/>
          <w:i w:val="0"/>
          <w:color w:val="5B5F77"/>
          <w:sz w:val="21"/>
        </w:rPr>
        <w:t>observación de decisión</w:t>
      </w:r>
      <w:r>
        <w:rPr>
          <w:rFonts w:ascii="Inter" w:hAnsi="Inter" w:cs="Inter"/>
          <w:b w:val="0"/>
          <w:i w:val="0"/>
          <w:color w:val="5B5F77"/>
          <w:sz w:val="21"/>
        </w:rPr>
        <w:t xml:space="preserve"> en la evaluación de la producción oral asistida por IA, (b) ancle cada métrica a una escala nombrada del MCER, (c) </w:t>
      </w:r>
      <w:r>
        <w:rPr>
          <w:rFonts w:ascii="Inter" w:hAnsi="Inter" w:cs="Inter"/>
          <w:b/>
          <w:i w:val="0"/>
          <w:color w:val="5B5F77"/>
          <w:sz w:val="21"/>
        </w:rPr>
        <w:t>declare el grado de precisión</w:t>
      </w:r>
      <w:r>
        <w:rPr>
          <w:rFonts w:ascii="Inter" w:hAnsi="Inter" w:cs="Inter"/>
          <w:b w:val="0"/>
          <w:i w:val="0"/>
          <w:color w:val="5B5F77"/>
          <w:sz w:val="21"/>
        </w:rPr>
        <w:t xml:space="preserve"> de cada afirmación mediante un modelo de tiers, y (d) emita esa evidencia en un formato interoperable que permita comparar sesiones, modelos y productos. Esta tesis lo construye y lo somete a prueba sobre un sistema en producción.</w:t>
      </w:r>
    </w:p>
    <w:p>
      <w:pPr>
        <w:pBdr>
          <w:bottom w:val="single" w:sz="6" w:space="1" w:color="E6E8F2"/>
        </w:pBdr>
      </w:pPr>
    </w:p>
    <w:p>
      <w:pPr>
        <w:spacing w:before="320" w:after="120"/>
      </w:pPr>
      <w:r>
        <w:rPr>
          <w:rFonts w:ascii="Fraunces" w:hAnsi="Fraunces" w:cs="Fraunces"/>
          <w:b/>
          <w:i w:val="0"/>
          <w:color w:val="22307C"/>
          <w:sz w:val="32"/>
        </w:rPr>
        <w:t>5. El método: MLLDE y su Módulo de Medición</w:t>
      </w:r>
    </w:p>
    <w:p>
      <w:pPr>
        <w:spacing w:before="240" w:after="120"/>
      </w:pPr>
      <w:r>
        <w:rPr>
          <w:rFonts w:ascii="Inter" w:hAnsi="Inter" w:cs="Inter"/>
          <w:b/>
          <w:i w:val="0"/>
          <w:color w:val="1C1E2E"/>
          <w:sz w:val="26"/>
        </w:rPr>
        <w:t>5.1 Principios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Principio</w:t>
            </w:r>
          </w:p>
        </w:tc>
        <w:tc>
          <w:tcPr>
            <w:tcW w:type="dxa" w:w="4824"/>
            <w:shd w:val="clear" w:color="auto" w:fill="EEF2FD"/>
          </w:tcPr>
          <w:p>
            <w:pPr>
              <w:spacing w:after="40"/>
            </w:pPr>
            <w:r/>
            <w:r>
              <w:rPr>
                <w:rFonts w:ascii="Inter" w:hAnsi="Inter" w:cs="Inter"/>
                <w:b/>
                <w:i w:val="0"/>
                <w:color w:val="22307C"/>
                <w:sz w:val="19"/>
              </w:rPr>
              <w:t>Qué significa operativamente</w:t>
            </w:r>
          </w:p>
        </w:tc>
      </w:tr>
      <w:tr>
        <w:tc>
          <w:tcPr>
            <w:tcW w:type="dxa" w:w="4824"/>
          </w:tcPr>
          <w:p>
            <w:pPr>
              <w:spacing w:after="40"/>
            </w:pPr>
            <w:r/>
            <w:r>
              <w:rPr>
                <w:rFonts w:ascii="Inter" w:hAnsi="Inter" w:cs="Inter"/>
                <w:b/>
                <w:i w:val="0"/>
                <w:color w:val="1C1E2E"/>
                <w:sz w:val="19"/>
              </w:rPr>
              <w:t>Measure ≠ Decide</w:t>
            </w:r>
          </w:p>
        </w:tc>
        <w:tc>
          <w:tcPr>
            <w:tcW w:type="dxa" w:w="4824"/>
          </w:tcPr>
          <w:p>
            <w:pPr>
              <w:spacing w:after="40"/>
            </w:pPr>
            <w:r/>
            <w:r>
              <w:rPr>
                <w:rFonts w:ascii="Inter" w:hAnsi="Inter" w:cs="Inter"/>
                <w:b w:val="0"/>
                <w:i w:val="0"/>
                <w:color w:val="1C1E2E"/>
                <w:sz w:val="19"/>
              </w:rPr>
              <w:t>El LLM describe; un motor determinista computa la banda. Ninguna cifra procede de una generación.</w:t>
            </w:r>
          </w:p>
        </w:tc>
      </w:tr>
      <w:tr>
        <w:tc>
          <w:tcPr>
            <w:tcW w:type="dxa" w:w="4824"/>
          </w:tcPr>
          <w:p>
            <w:pPr>
              <w:spacing w:after="40"/>
            </w:pPr>
            <w:r/>
            <w:r>
              <w:rPr>
                <w:rFonts w:ascii="Inter" w:hAnsi="Inter" w:cs="Inter"/>
                <w:b/>
                <w:i w:val="0"/>
                <w:color w:val="1C1E2E"/>
                <w:sz w:val="19"/>
              </w:rPr>
              <w:t>No hay métrica sin descriptor</w:t>
            </w:r>
          </w:p>
        </w:tc>
        <w:tc>
          <w:tcPr>
            <w:tcW w:type="dxa" w:w="4824"/>
          </w:tcPr>
          <w:p>
            <w:pPr>
              <w:spacing w:after="40"/>
            </w:pPr>
            <w:r/>
            <w:r>
              <w:rPr>
                <w:rFonts w:ascii="Inter" w:hAnsi="Inter" w:cs="Inter"/>
                <w:b w:val="0"/>
                <w:i w:val="0"/>
                <w:color w:val="1C1E2E"/>
                <w:sz w:val="19"/>
              </w:rPr>
              <w:t xml:space="preserve">Cada métrica cita una escala nombrada del </w:t>
            </w:r>
            <w:r>
              <w:rPr>
                <w:rFonts w:ascii="Inter" w:hAnsi="Inter" w:cs="Inter"/>
                <w:b w:val="0"/>
                <w:i/>
                <w:color w:val="1C1E2E"/>
                <w:sz w:val="19"/>
              </w:rPr>
              <w:t>Companion Volume</w:t>
            </w:r>
            <w:r>
              <w:rPr>
                <w:rFonts w:ascii="Inter" w:hAnsi="Inter" w:cs="Inter"/>
                <w:b w:val="0"/>
                <w:i w:val="0"/>
                <w:color w:val="1C1E2E"/>
                <w:sz w:val="19"/>
              </w:rPr>
              <w:t xml:space="preserve"> y su IRI en un registry único.</w:t>
            </w:r>
          </w:p>
        </w:tc>
      </w:tr>
      <w:tr>
        <w:tc>
          <w:tcPr>
            <w:tcW w:type="dxa" w:w="4824"/>
          </w:tcPr>
          <w:p>
            <w:pPr>
              <w:spacing w:after="40"/>
            </w:pPr>
            <w:r/>
            <w:r>
              <w:rPr>
                <w:rFonts w:ascii="Inter" w:hAnsi="Inter" w:cs="Inter"/>
                <w:b/>
                <w:i w:val="0"/>
                <w:color w:val="1C1E2E"/>
                <w:sz w:val="19"/>
              </w:rPr>
              <w:t>Motor + pack</w:t>
            </w:r>
          </w:p>
        </w:tc>
        <w:tc>
          <w:tcPr>
            <w:tcW w:type="dxa" w:w="4824"/>
          </w:tcPr>
          <w:p>
            <w:pPr>
              <w:spacing w:after="40"/>
            </w:pPr>
            <w:r/>
            <w:r>
              <w:rPr>
                <w:rFonts w:ascii="Inter" w:hAnsi="Inter" w:cs="Inter"/>
                <w:b w:val="0"/>
                <w:i w:val="0"/>
                <w:color w:val="1C1E2E"/>
                <w:sz w:val="19"/>
              </w:rPr>
              <w:t>Reglas agnósticas del cliente; cada producto aporta tareas, niveles e inventario de sonidos.</w:t>
            </w:r>
          </w:p>
        </w:tc>
      </w:tr>
      <w:tr>
        <w:tc>
          <w:tcPr>
            <w:tcW w:type="dxa" w:w="4824"/>
          </w:tcPr>
          <w:p>
            <w:pPr>
              <w:spacing w:after="40"/>
            </w:pPr>
            <w:r/>
            <w:r>
              <w:rPr>
                <w:rFonts w:ascii="Inter" w:hAnsi="Inter" w:cs="Inter"/>
                <w:b/>
                <w:i w:val="0"/>
                <w:color w:val="1C1E2E"/>
                <w:sz w:val="19"/>
              </w:rPr>
              <w:t>Cinco destrezas</w:t>
            </w:r>
          </w:p>
        </w:tc>
        <w:tc>
          <w:tcPr>
            <w:tcW w:type="dxa" w:w="4824"/>
          </w:tcPr>
          <w:p>
            <w:pPr>
              <w:spacing w:after="40"/>
            </w:pPr>
            <w:r/>
            <w:r>
              <w:rPr>
                <w:rFonts w:ascii="Inter" w:hAnsi="Inter" w:cs="Inter"/>
                <w:b w:val="0"/>
                <w:i w:val="0"/>
                <w:color w:val="1C1E2E"/>
                <w:sz w:val="19"/>
              </w:rPr>
              <w:t xml:space="preserve">Recepción, producción, interacción y </w:t>
            </w:r>
            <w:r>
              <w:rPr>
                <w:rFonts w:ascii="Inter" w:hAnsi="Inter" w:cs="Inter"/>
                <w:b/>
                <w:i w:val="0"/>
                <w:color w:val="1C1E2E"/>
                <w:sz w:val="19"/>
              </w:rPr>
              <w:t>mediación</w:t>
            </w:r>
            <w:r>
              <w:rPr>
                <w:rFonts w:ascii="Inter" w:hAnsi="Inter" w:cs="Inter"/>
                <w:b w:val="0"/>
                <w:i w:val="0"/>
                <w:color w:val="1C1E2E"/>
                <w:sz w:val="19"/>
              </w:rPr>
              <w:t xml:space="preserve">, todas ancladas al </w:t>
            </w:r>
            <w:r>
              <w:rPr>
                <w:rFonts w:ascii="Inter" w:hAnsi="Inter" w:cs="Inter"/>
                <w:b w:val="0"/>
                <w:i/>
                <w:color w:val="1C1E2E"/>
                <w:sz w:val="19"/>
              </w:rPr>
              <w:t>Companion Volume</w:t>
            </w:r>
            <w:r>
              <w:rPr>
                <w:rFonts w:ascii="Inter" w:hAnsi="Inter" w:cs="Inter"/>
                <w:b w:val="0"/>
                <w:i w:val="0"/>
                <w:color w:val="1C1E2E"/>
                <w:sz w:val="19"/>
              </w:rPr>
              <w:t>.</w:t>
            </w:r>
          </w:p>
        </w:tc>
      </w:tr>
      <w:tr>
        <w:tc>
          <w:tcPr>
            <w:tcW w:type="dxa" w:w="4824"/>
          </w:tcPr>
          <w:p>
            <w:pPr>
              <w:spacing w:after="40"/>
            </w:pPr>
            <w:r/>
            <w:r>
              <w:rPr>
                <w:rFonts w:ascii="Inter" w:hAnsi="Inter" w:cs="Inter"/>
                <w:b/>
                <w:i w:val="0"/>
                <w:color w:val="1C1E2E"/>
                <w:sz w:val="19"/>
              </w:rPr>
              <w:t>Trazabilidad</w:t>
            </w:r>
          </w:p>
        </w:tc>
        <w:tc>
          <w:tcPr>
            <w:tcW w:type="dxa" w:w="4824"/>
          </w:tcPr>
          <w:p>
            <w:pPr>
              <w:spacing w:after="40"/>
            </w:pPr>
            <w:r/>
            <w:r>
              <w:rPr>
                <w:rFonts w:ascii="Inter" w:hAnsi="Inter" w:cs="Inter"/>
                <w:b w:val="0"/>
                <w:i w:val="0"/>
                <w:color w:val="1C1E2E"/>
                <w:sz w:val="19"/>
              </w:rPr>
              <w:t xml:space="preserve">Toda la evidencia se registra en </w:t>
            </w:r>
            <w:r>
              <w:rPr>
                <w:rFonts w:ascii="Inter" w:hAnsi="Inter" w:cs="Inter"/>
                <w:b/>
                <w:i w:val="0"/>
                <w:color w:val="1C1E2E"/>
                <w:sz w:val="19"/>
              </w:rPr>
              <w:t>xAPI</w:t>
            </w:r>
            <w:r>
              <w:rPr>
                <w:rFonts w:ascii="Inter" w:hAnsi="Inter" w:cs="Inter"/>
                <w:b w:val="0"/>
                <w:i w:val="0"/>
                <w:color w:val="1C1E2E"/>
                <w:sz w:val="19"/>
              </w:rPr>
              <w:t xml:space="preserve"> sobre un LRS, con actor seudónimo.</w:t>
            </w:r>
          </w:p>
        </w:tc>
      </w:tr>
      <w:tr>
        <w:tc>
          <w:tcPr>
            <w:tcW w:type="dxa" w:w="4824"/>
          </w:tcPr>
          <w:p>
            <w:pPr>
              <w:spacing w:after="40"/>
            </w:pPr>
            <w:r/>
            <w:r>
              <w:rPr>
                <w:rFonts w:ascii="Inter" w:hAnsi="Inter" w:cs="Inter"/>
                <w:b/>
                <w:i w:val="0"/>
                <w:color w:val="1C1E2E"/>
                <w:sz w:val="19"/>
              </w:rPr>
              <w:t>Honestidad de la evidencia</w:t>
            </w:r>
          </w:p>
        </w:tc>
        <w:tc>
          <w:tcPr>
            <w:tcW w:type="dxa" w:w="4824"/>
          </w:tcPr>
          <w:p>
            <w:pPr>
              <w:spacing w:after="40"/>
            </w:pPr>
            <w:r/>
            <w:r>
              <w:rPr>
                <w:rFonts w:ascii="Inter" w:hAnsi="Inter" w:cs="Inter"/>
                <w:b w:val="0"/>
                <w:i w:val="0"/>
                <w:color w:val="1C1E2E"/>
                <w:sz w:val="19"/>
              </w:rPr>
              <w:t xml:space="preserve">Cada afirmación declara su </w:t>
            </w:r>
            <w:r>
              <w:rPr>
                <w:rFonts w:ascii="Inter" w:hAnsi="Inter" w:cs="Inter"/>
                <w:b/>
                <w:i w:val="0"/>
                <w:color w:val="1C1E2E"/>
                <w:sz w:val="19"/>
              </w:rPr>
              <w:t>tier</w:t>
            </w:r>
            <w:r>
              <w:rPr>
                <w:rFonts w:ascii="Inter" w:hAnsi="Inter" w:cs="Inter"/>
                <w:b w:val="0"/>
                <w:i w:val="0"/>
                <w:color w:val="1C1E2E"/>
                <w:sz w:val="19"/>
              </w:rPr>
              <w:t xml:space="preserve"> y su </w:t>
            </w:r>
            <w:r>
              <w:rPr>
                <w:rFonts w:ascii="Inter" w:hAnsi="Inter" w:cs="Inter"/>
                <w:b/>
                <w:i w:val="0"/>
                <w:color w:val="1C1E2E"/>
                <w:sz w:val="19"/>
              </w:rPr>
              <w:t>modelo de medición</w:t>
            </w:r>
            <w:r>
              <w:rPr>
                <w:rFonts w:ascii="Inter" w:hAnsi="Inter" w:cs="Inter"/>
                <w:b w:val="0"/>
                <w:i w:val="0"/>
                <w:color w:val="1C1E2E"/>
                <w:sz w:val="19"/>
              </w:rPr>
              <w:t xml:space="preserve"> por sesión.</w:t>
            </w:r>
          </w:p>
        </w:tc>
      </w:tr>
    </w:tbl>
    <w:p/>
    <w:p>
      <w:r>
        <w:rPr>
          <w:rFonts w:ascii="Inter" w:hAnsi="Inter" w:cs="Inter"/>
          <w:b/>
          <w:i w:val="0"/>
          <w:color w:val="1C1E2E"/>
          <w:sz w:val="22"/>
        </w:rPr>
        <w:t>Escala.</w:t>
      </w:r>
      <w:r>
        <w:rPr>
          <w:rFonts w:ascii="Inter" w:hAnsi="Inter" w:cs="Inter"/>
          <w:b w:val="0"/>
          <w:i w:val="0"/>
          <w:color w:val="1C1E2E"/>
          <w:sz w:val="22"/>
        </w:rPr>
        <w:t xml:space="preserve"> 0–10 (aprobado ≥ 6, pisos ≥ 4), con vista Cambridge 0–5 por redondeo y división entre 2.</w:t>
      </w:r>
    </w:p>
    <w:p>
      <w:pPr>
        <w:spacing w:before="240" w:after="120"/>
      </w:pPr>
      <w:r>
        <w:rPr>
          <w:rFonts w:ascii="Inter" w:hAnsi="Inter" w:cs="Inter"/>
          <w:b/>
          <w:i w:val="0"/>
          <w:color w:val="1C1E2E"/>
          <w:sz w:val="26"/>
        </w:rPr>
        <w:t>5.2 El pilar de diseño: la modalidad como variable declarada</w:t>
      </w:r>
    </w:p>
    <w:p>
      <w:r>
        <w:rPr>
          <w:rFonts w:ascii="Inter" w:hAnsi="Inter" w:cs="Inter"/>
          <w:b w:val="0"/>
          <w:i w:val="0"/>
          <w:color w:val="1C1E2E"/>
          <w:sz w:val="22"/>
        </w:rPr>
        <w:t xml:space="preserve">El mismo principio que gobierna la medición gobierna el diseño: </w:t>
      </w:r>
      <w:r>
        <w:rPr>
          <w:rFonts w:ascii="Inter" w:hAnsi="Inter" w:cs="Inter"/>
          <w:b/>
          <w:i w:val="0"/>
          <w:color w:val="1C1E2E"/>
          <w:sz w:val="22"/>
        </w:rPr>
        <w:t>nada implícito</w:t>
      </w:r>
      <w:r>
        <w:rPr>
          <w:rFonts w:ascii="Inter" w:hAnsi="Inter" w:cs="Inter"/>
          <w:b w:val="0"/>
          <w:i w:val="0"/>
          <w:color w:val="1C1E2E"/>
          <w:sz w:val="22"/>
        </w:rPr>
        <w:t xml:space="preserve">. Si la medición exige que toda métrica cite su descriptor, el diseño exige que </w:t>
      </w:r>
      <w:r>
        <w:rPr>
          <w:rFonts w:ascii="Inter" w:hAnsi="Inter" w:cs="Inter"/>
          <w:b/>
          <w:i w:val="0"/>
          <w:color w:val="1C1E2E"/>
          <w:sz w:val="22"/>
        </w:rPr>
        <w:t>todo paso de una lección declare su modalidad y su modo del MCER</w:t>
      </w:r>
      <w:r>
        <w:rPr>
          <w:rFonts w:ascii="Inter" w:hAnsi="Inter" w:cs="Inter"/>
          <w:b w:val="0"/>
          <w:i w:val="0"/>
          <w:color w:val="1C1E2E"/>
          <w:sz w:val="22"/>
        </w:rPr>
        <w:t>.</w:t>
      </w:r>
    </w:p>
    <w:p>
      <w:r>
        <w:rPr>
          <w:rFonts w:ascii="Inter" w:hAnsi="Inter" w:cs="Inter"/>
          <w:b/>
          <w:i w:val="0"/>
          <w:color w:val="1C1E2E"/>
          <w:sz w:val="22"/>
        </w:rPr>
        <w:t>Contrato de entrada de una lección.</w:t>
      </w:r>
      <w:r>
        <w:rPr>
          <w:rFonts w:ascii="Inter" w:hAnsi="Inter" w:cs="Inter"/>
          <w:b w:val="0"/>
          <w:i w:val="0"/>
          <w:color w:val="1C1E2E"/>
          <w:sz w:val="22"/>
        </w:rPr>
        <w:t xml:space="preserve"> Nivel MCER + descriptor «can-do» + escenario real + </w:t>
      </w:r>
      <w:r>
        <w:rPr>
          <w:rFonts w:ascii="Inter" w:hAnsi="Inter" w:cs="Inter"/>
          <w:b/>
          <w:i w:val="0"/>
          <w:color w:val="1C1E2E"/>
          <w:sz w:val="22"/>
        </w:rPr>
        <w:t>perfil de modalidad</w:t>
      </w:r>
      <w:r>
        <w:rPr>
          <w:rFonts w:ascii="Inter" w:hAnsi="Inter" w:cs="Inter"/>
          <w:b w:val="0"/>
          <w:i w:val="0"/>
          <w:color w:val="1C1E2E"/>
          <w:sz w:val="22"/>
        </w:rPr>
        <w:t>. Ese cuarto elemento es la aportación del pilar de diseño: el perfil declara, paso a paso, qué canal porta el insumo, cuál soporta la práctica y en cuál se exige la producción.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Paso de la lección</w:t>
            </w:r>
          </w:p>
        </w:tc>
        <w:tc>
          <w:tcPr>
            <w:tcW w:type="dxa" w:w="2412"/>
            <w:shd w:val="clear" w:color="auto" w:fill="EEF2FD"/>
          </w:tcPr>
          <w:p>
            <w:pPr>
              <w:spacing w:after="40"/>
            </w:pPr>
            <w:r/>
            <w:r>
              <w:rPr>
                <w:rFonts w:ascii="Inter" w:hAnsi="Inter" w:cs="Inter"/>
                <w:b/>
                <w:i w:val="0"/>
                <w:color w:val="22307C"/>
                <w:sz w:val="19"/>
              </w:rPr>
              <w:t>Modo del MCER</w:t>
            </w:r>
          </w:p>
        </w:tc>
        <w:tc>
          <w:tcPr>
            <w:tcW w:type="dxa" w:w="2412"/>
            <w:shd w:val="clear" w:color="auto" w:fill="EEF2FD"/>
          </w:tcPr>
          <w:p>
            <w:pPr>
              <w:spacing w:after="40"/>
            </w:pPr>
            <w:r/>
            <w:r>
              <w:rPr>
                <w:rFonts w:ascii="Inter" w:hAnsi="Inter" w:cs="Inter"/>
                <w:b/>
                <w:i w:val="0"/>
                <w:color w:val="22307C"/>
                <w:sz w:val="19"/>
              </w:rPr>
              <w:t>Modalidad del insumo</w:t>
            </w:r>
          </w:p>
        </w:tc>
        <w:tc>
          <w:tcPr>
            <w:tcW w:type="dxa" w:w="2412"/>
            <w:shd w:val="clear" w:color="auto" w:fill="EEF2FD"/>
          </w:tcPr>
          <w:p>
            <w:pPr>
              <w:spacing w:after="40"/>
            </w:pPr>
            <w:r/>
            <w:r>
              <w:rPr>
                <w:rFonts w:ascii="Inter" w:hAnsi="Inter" w:cs="Inter"/>
                <w:b/>
                <w:i w:val="0"/>
                <w:color w:val="22307C"/>
                <w:sz w:val="19"/>
              </w:rPr>
              <w:t>Modalidad de la producción</w:t>
            </w:r>
          </w:p>
        </w:tc>
      </w:tr>
      <w:tr>
        <w:tc>
          <w:tcPr>
            <w:tcW w:type="dxa" w:w="2412"/>
          </w:tcPr>
          <w:p>
            <w:pPr>
              <w:spacing w:after="40"/>
            </w:pPr>
            <w:r/>
            <w:r>
              <w:rPr>
                <w:rFonts w:ascii="Inter" w:hAnsi="Inter" w:cs="Inter"/>
                <w:b w:val="0"/>
                <w:i w:val="0"/>
                <w:color w:val="1C1E2E"/>
                <w:sz w:val="19"/>
              </w:rPr>
              <w:t>Llegada — gancho y objetivo</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texto + imagen</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 xml:space="preserve">Vocabulario y </w:t>
            </w:r>
            <w:r>
              <w:rPr>
                <w:rFonts w:ascii="Inter" w:hAnsi="Inter" w:cs="Inter"/>
                <w:b w:val="0"/>
                <w:i/>
                <w:color w:val="1C1E2E"/>
                <w:sz w:val="19"/>
              </w:rPr>
              <w:t>chunks</w:t>
            </w:r>
          </w:p>
        </w:tc>
        <w:tc>
          <w:tcPr>
            <w:tcW w:type="dxa" w:w="2412"/>
          </w:tcPr>
          <w:p>
            <w:pPr>
              <w:spacing w:after="40"/>
            </w:pPr>
            <w:r/>
            <w:r>
              <w:rPr>
                <w:rFonts w:ascii="Inter" w:hAnsi="Inter" w:cs="Inter"/>
                <w:b w:val="0"/>
                <w:i w:val="0"/>
                <w:color w:val="1C1E2E"/>
                <w:sz w:val="19"/>
              </w:rPr>
              <w:t>Recepción</w:t>
            </w:r>
          </w:p>
        </w:tc>
        <w:tc>
          <w:tcPr>
            <w:tcW w:type="dxa" w:w="2412"/>
          </w:tcPr>
          <w:p>
            <w:pPr>
              <w:spacing w:after="40"/>
            </w:pPr>
            <w:r/>
            <w:r>
              <w:rPr>
                <w:rFonts w:ascii="Inter" w:hAnsi="Inter" w:cs="Inter"/>
                <w:b w:val="0"/>
                <w:i w:val="0"/>
                <w:color w:val="1C1E2E"/>
                <w:sz w:val="19"/>
              </w:rPr>
              <w:t>audio + imagen (codificación dual)</w:t>
            </w:r>
          </w:p>
        </w:tc>
        <w:tc>
          <w:tcPr>
            <w:tcW w:type="dxa" w:w="2412"/>
          </w:tcPr>
          <w:p>
            <w:pPr>
              <w:spacing w:after="40"/>
            </w:pPr>
            <w:r/>
            <w:r>
              <w:rPr>
                <w:rFonts w:ascii="Inter" w:hAnsi="Inter" w:cs="Inter"/>
                <w:b w:val="0"/>
                <w:i w:val="0"/>
                <w:color w:val="1C1E2E"/>
                <w:sz w:val="19"/>
              </w:rPr>
              <w:t>reconocimiento</w:t>
            </w:r>
          </w:p>
        </w:tc>
      </w:tr>
      <w:tr>
        <w:tc>
          <w:tcPr>
            <w:tcW w:type="dxa" w:w="2412"/>
          </w:tcPr>
          <w:p>
            <w:pPr>
              <w:spacing w:after="40"/>
            </w:pPr>
            <w:r/>
            <w:r>
              <w:rPr>
                <w:rFonts w:ascii="Inter" w:hAnsi="Inter" w:cs="Inter"/>
                <w:b w:val="0"/>
                <w:i w:val="0"/>
                <w:color w:val="1C1E2E"/>
                <w:sz w:val="19"/>
              </w:rPr>
              <w:t>Diálogo modelo</w:t>
            </w:r>
          </w:p>
        </w:tc>
        <w:tc>
          <w:tcPr>
            <w:tcW w:type="dxa" w:w="2412"/>
          </w:tcPr>
          <w:p>
            <w:pPr>
              <w:spacing w:after="40"/>
            </w:pPr>
            <w:r/>
            <w:r>
              <w:rPr>
                <w:rFonts w:ascii="Inter" w:hAnsi="Inter" w:cs="Inter"/>
                <w:b w:val="0"/>
                <w:i w:val="0"/>
                <w:color w:val="1C1E2E"/>
                <w:sz w:val="19"/>
              </w:rPr>
              <w:t>Recepción</w:t>
            </w:r>
          </w:p>
        </w:tc>
        <w:tc>
          <w:tcPr>
            <w:tcW w:type="dxa" w:w="2412"/>
          </w:tcPr>
          <w:p>
            <w:pPr>
              <w:spacing w:after="40"/>
            </w:pPr>
            <w:r/>
            <w:r>
              <w:rPr>
                <w:rFonts w:ascii="Inter" w:hAnsi="Inter" w:cs="Inter"/>
                <w:b/>
                <w:i w:val="0"/>
                <w:color w:val="1C1E2E"/>
                <w:sz w:val="19"/>
              </w:rPr>
              <w:t>voz</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Práctica guiada</w:t>
            </w:r>
          </w:p>
        </w:tc>
        <w:tc>
          <w:tcPr>
            <w:tcW w:type="dxa" w:w="2412"/>
          </w:tcPr>
          <w:p>
            <w:pPr>
              <w:spacing w:after="40"/>
            </w:pPr>
            <w:r/>
            <w:r>
              <w:rPr>
                <w:rFonts w:ascii="Inter" w:hAnsi="Inter" w:cs="Inter"/>
                <w:b w:val="0"/>
                <w:i w:val="0"/>
                <w:color w:val="1C1E2E"/>
                <w:sz w:val="19"/>
              </w:rPr>
              <w:t>Procesamiento</w:t>
            </w:r>
          </w:p>
        </w:tc>
        <w:tc>
          <w:tcPr>
            <w:tcW w:type="dxa" w:w="2412"/>
          </w:tcPr>
          <w:p>
            <w:pPr>
              <w:spacing w:after="40"/>
            </w:pPr>
            <w:r/>
            <w:r>
              <w:rPr>
                <w:rFonts w:ascii="Inter" w:hAnsi="Inter" w:cs="Inter"/>
                <w:b w:val="0"/>
                <w:i w:val="0"/>
                <w:color w:val="1C1E2E"/>
                <w:sz w:val="19"/>
              </w:rPr>
              <w:t>texto o audio</w:t>
            </w:r>
          </w:p>
        </w:tc>
        <w:tc>
          <w:tcPr>
            <w:tcW w:type="dxa" w:w="2412"/>
          </w:tcPr>
          <w:p>
            <w:pPr>
              <w:spacing w:after="40"/>
            </w:pPr>
            <w:r/>
            <w:r>
              <w:rPr>
                <w:rFonts w:ascii="Inter" w:hAnsi="Inter" w:cs="Inter"/>
                <w:b w:val="0"/>
                <w:i w:val="0"/>
                <w:color w:val="1C1E2E"/>
                <w:sz w:val="19"/>
              </w:rPr>
              <w:t>texto</w:t>
            </w:r>
          </w:p>
        </w:tc>
      </w:tr>
      <w:tr>
        <w:tc>
          <w:tcPr>
            <w:tcW w:type="dxa" w:w="2412"/>
          </w:tcPr>
          <w:p>
            <w:pPr>
              <w:spacing w:after="40"/>
            </w:pPr>
            <w:r/>
            <w:r>
              <w:rPr>
                <w:rFonts w:ascii="Inter" w:hAnsi="Inter" w:cs="Inter"/>
                <w:b w:val="0"/>
                <w:i w:val="0"/>
                <w:color w:val="1C1E2E"/>
                <w:sz w:val="19"/>
              </w:rPr>
              <w:t>Misión — tarea auténtica</w:t>
            </w:r>
          </w:p>
        </w:tc>
        <w:tc>
          <w:tcPr>
            <w:tcW w:type="dxa" w:w="2412"/>
          </w:tcPr>
          <w:p>
            <w:pPr>
              <w:spacing w:after="40"/>
            </w:pPr>
            <w:r/>
            <w:r>
              <w:rPr>
                <w:rFonts w:ascii="Inter" w:hAnsi="Inter" w:cs="Inter"/>
                <w:b/>
                <w:i w:val="0"/>
                <w:color w:val="1C1E2E"/>
                <w:sz w:val="19"/>
              </w:rPr>
              <w:t>Interacción</w:t>
            </w:r>
          </w:p>
        </w:tc>
        <w:tc>
          <w:tcPr>
            <w:tcW w:type="dxa" w:w="2412"/>
          </w:tcPr>
          <w:p>
            <w:pPr>
              <w:spacing w:after="40"/>
            </w:pPr>
            <w:r/>
            <w:r>
              <w:rPr>
                <w:rFonts w:ascii="Inter" w:hAnsi="Inter" w:cs="Inter"/>
                <w:b/>
                <w:i w:val="0"/>
                <w:color w:val="1C1E2E"/>
                <w:sz w:val="19"/>
              </w:rPr>
              <w:t>voz</w:t>
            </w:r>
            <w:r>
              <w:rPr>
                <w:rFonts w:ascii="Inter" w:hAnsi="Inter" w:cs="Inter"/>
                <w:b w:val="0"/>
                <w:i w:val="0"/>
                <w:color w:val="1C1E2E"/>
                <w:sz w:val="19"/>
              </w:rPr>
              <w:t xml:space="preserve"> (agente)</w:t>
            </w:r>
          </w:p>
        </w:tc>
        <w:tc>
          <w:tcPr>
            <w:tcW w:type="dxa" w:w="2412"/>
          </w:tcPr>
          <w:p>
            <w:pPr>
              <w:spacing w:after="40"/>
            </w:pPr>
            <w:r/>
            <w:r>
              <w:rPr>
                <w:rFonts w:ascii="Inter" w:hAnsi="Inter" w:cs="Inter"/>
                <w:b/>
                <w:i w:val="0"/>
                <w:color w:val="1C1E2E"/>
                <w:sz w:val="19"/>
              </w:rPr>
              <w:t>voz</w:t>
            </w:r>
          </w:p>
        </w:tc>
      </w:tr>
      <w:tr>
        <w:tc>
          <w:tcPr>
            <w:tcW w:type="dxa" w:w="2412"/>
          </w:tcPr>
          <w:p>
            <w:pPr>
              <w:spacing w:after="40"/>
            </w:pPr>
            <w:r/>
            <w:r>
              <w:rPr>
                <w:rFonts w:ascii="Inter" w:hAnsi="Inter" w:cs="Inter"/>
                <w:b w:val="0"/>
                <w:i w:val="0"/>
                <w:color w:val="1C1E2E"/>
                <w:sz w:val="19"/>
              </w:rPr>
              <w:t>Transferencia</w:t>
            </w:r>
          </w:p>
        </w:tc>
        <w:tc>
          <w:tcPr>
            <w:tcW w:type="dxa" w:w="2412"/>
          </w:tcPr>
          <w:p>
            <w:pPr>
              <w:spacing w:after="40"/>
            </w:pPr>
            <w:r/>
            <w:r>
              <w:rPr>
                <w:rFonts w:ascii="Inter" w:hAnsi="Inter" w:cs="Inter"/>
                <w:b w:val="0"/>
                <w:i w:val="0"/>
                <w:color w:val="1C1E2E"/>
                <w:sz w:val="19"/>
              </w:rPr>
              <w:t>Producción</w:t>
            </w:r>
          </w:p>
        </w:tc>
        <w:tc>
          <w:tcPr>
            <w:tcW w:type="dxa" w:w="2412"/>
          </w:tcPr>
          <w:p>
            <w:pPr>
              <w:spacing w:after="40"/>
            </w:pPr>
            <w:r/>
            <w:r>
              <w:rPr>
                <w:rFonts w:ascii="Inter" w:hAnsi="Inter" w:cs="Inter"/>
                <w:b w:val="0"/>
                <w:i w:val="0"/>
                <w:color w:val="1C1E2E"/>
                <w:sz w:val="19"/>
              </w:rPr>
              <w:t>libre</w:t>
            </w:r>
          </w:p>
        </w:tc>
        <w:tc>
          <w:tcPr>
            <w:tcW w:type="dxa" w:w="2412"/>
          </w:tcPr>
          <w:p>
            <w:pPr>
              <w:spacing w:after="40"/>
            </w:pPr>
            <w:r/>
            <w:r>
              <w:rPr>
                <w:rFonts w:ascii="Inter" w:hAnsi="Inter" w:cs="Inter"/>
                <w:b/>
                <w:i w:val="0"/>
                <w:color w:val="1C1E2E"/>
                <w:sz w:val="19"/>
              </w:rPr>
              <w:t>voz o escritura, a elección</w:t>
            </w:r>
          </w:p>
        </w:tc>
      </w:tr>
      <w:tr>
        <w:tc>
          <w:tcPr>
            <w:tcW w:type="dxa" w:w="2412"/>
          </w:tcPr>
          <w:p>
            <w:pPr>
              <w:spacing w:after="40"/>
            </w:pPr>
            <w:r/>
            <w:r>
              <w:rPr>
                <w:rFonts w:ascii="Inter" w:hAnsi="Inter" w:cs="Inter"/>
                <w:b w:val="0"/>
                <w:i w:val="0"/>
                <w:color w:val="1C1E2E"/>
                <w:sz w:val="19"/>
              </w:rPr>
              <w:t>Cultura y pragmática</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texto + imagen</w:t>
            </w:r>
          </w:p>
        </w:tc>
        <w:tc>
          <w:tcPr>
            <w:tcW w:type="dxa" w:w="2412"/>
          </w:tcPr>
          <w:p>
            <w:pPr>
              <w:spacing w:after="40"/>
            </w:pPr>
            <w:r/>
            <w:r>
              <w:rPr>
                <w:rFonts w:ascii="Inter" w:hAnsi="Inter" w:cs="Inter"/>
                <w:b w:val="0"/>
                <w:i w:val="0"/>
                <w:color w:val="1C1E2E"/>
                <w:sz w:val="19"/>
              </w:rPr>
              <w:t>—</w:t>
            </w:r>
          </w:p>
        </w:tc>
      </w:tr>
    </w:tbl>
    <w:p/>
    <w:p>
      <w:r>
        <w:rPr>
          <w:rFonts w:ascii="Inter" w:hAnsi="Inter" w:cs="Inter"/>
          <w:b/>
          <w:i w:val="0"/>
          <w:color w:val="1C1E2E"/>
          <w:sz w:val="22"/>
        </w:rPr>
        <w:t>Por qué importa para una tesis y no solo para un producto.</w:t>
      </w:r>
      <w:r>
        <w:rPr>
          <w:rFonts w:ascii="Inter" w:hAnsi="Inter" w:cs="Inter"/>
          <w:b w:val="0"/>
          <w:i w:val="0"/>
          <w:color w:val="1C1E2E"/>
          <w:sz w:val="22"/>
        </w:rPr>
        <w:t xml:space="preserve"> La literatura de aprendizaje móvil describe </w:t>
      </w:r>
      <w:r>
        <w:rPr>
          <w:rFonts w:ascii="Inter" w:hAnsi="Inter" w:cs="Inter"/>
          <w:b w:val="0"/>
          <w:i/>
          <w:color w:val="1C1E2E"/>
          <w:sz w:val="22"/>
        </w:rPr>
        <w:t>principios</w:t>
      </w:r>
      <w:r>
        <w:rPr>
          <w:rFonts w:ascii="Inter" w:hAnsi="Inter" w:cs="Inter"/>
          <w:b w:val="0"/>
          <w:i w:val="0"/>
          <w:color w:val="1C1E2E"/>
          <w:sz w:val="22"/>
        </w:rPr>
        <w:t xml:space="preserve"> (brevedad, contexto, microaprendizaje) pero rara vez un </w:t>
      </w:r>
      <w:r>
        <w:rPr>
          <w:rFonts w:ascii="Inter" w:hAnsi="Inter" w:cs="Inter"/>
          <w:b/>
          <w:i w:val="0"/>
          <w:color w:val="1C1E2E"/>
          <w:sz w:val="22"/>
        </w:rPr>
        <w:t>procedimiento</w:t>
      </w:r>
      <w:r>
        <w:rPr>
          <w:rFonts w:ascii="Inter" w:hAnsi="Inter" w:cs="Inter"/>
          <w:b w:val="0"/>
          <w:i w:val="0"/>
          <w:color w:val="1C1E2E"/>
          <w:sz w:val="22"/>
        </w:rPr>
        <w:t xml:space="preserve"> que otro equipo pueda reproducir, y casi nunca trata la modalidad como algo que se decide y se justifica. Declararla tiene tres consecuencias comprobables: hace la lección </w:t>
      </w:r>
      <w:r>
        <w:rPr>
          <w:rFonts w:ascii="Inter" w:hAnsi="Inter" w:cs="Inter"/>
          <w:b/>
          <w:i w:val="0"/>
          <w:color w:val="1C1E2E"/>
          <w:sz w:val="22"/>
        </w:rPr>
        <w:t>auditable</w:t>
      </w:r>
      <w:r>
        <w:rPr>
          <w:rFonts w:ascii="Inter" w:hAnsi="Inter" w:cs="Inter"/>
          <w:b w:val="0"/>
          <w:i w:val="0"/>
          <w:color w:val="1C1E2E"/>
          <w:sz w:val="22"/>
        </w:rPr>
        <w:t xml:space="preserve"> (se puede verificar que el modo del MCER y el canal coinciden), </w:t>
      </w:r>
      <w:r>
        <w:rPr>
          <w:rFonts w:ascii="Inter" w:hAnsi="Inter" w:cs="Inter"/>
          <w:b/>
          <w:i w:val="0"/>
          <w:color w:val="1C1E2E"/>
          <w:sz w:val="22"/>
        </w:rPr>
        <w:t>replicable</w:t>
      </w:r>
      <w:r>
        <w:rPr>
          <w:rFonts w:ascii="Inter" w:hAnsi="Inter" w:cs="Inter"/>
          <w:b w:val="0"/>
          <w:i w:val="0"/>
          <w:color w:val="1C1E2E"/>
          <w:sz w:val="22"/>
        </w:rPr>
        <w:t xml:space="preserve"> (dos diseñadoras que parten del mismo descriptor y el mismo perfil deberían producir lecciones equivalentes) y </w:t>
      </w:r>
      <w:r>
        <w:rPr>
          <w:rFonts w:ascii="Inter" w:hAnsi="Inter" w:cs="Inter"/>
          <w:b/>
          <w:i w:val="0"/>
          <w:color w:val="1C1E2E"/>
          <w:sz w:val="22"/>
        </w:rPr>
        <w:t>medible</w:t>
      </w:r>
      <w:r>
        <w:rPr>
          <w:rFonts w:ascii="Inter" w:hAnsi="Inter" w:cs="Inter"/>
          <w:b w:val="0"/>
          <w:i w:val="0"/>
          <w:color w:val="1C1E2E"/>
          <w:sz w:val="22"/>
        </w:rPr>
        <w:t xml:space="preserve"> (la evidencia que emite cada paso ya sabe a qué modo pertenece).</w:t>
      </w:r>
    </w:p>
    <w:p>
      <w:r>
        <w:rPr>
          <w:rFonts w:ascii="Inter" w:hAnsi="Inter" w:cs="Inter"/>
          <w:b/>
          <w:i w:val="0"/>
          <w:color w:val="1C1E2E"/>
          <w:sz w:val="22"/>
        </w:rPr>
        <w:t>Motor + pack, también en el diseño.</w:t>
      </w:r>
      <w:r>
        <w:rPr>
          <w:rFonts w:ascii="Inter" w:hAnsi="Inter" w:cs="Inter"/>
          <w:b w:val="0"/>
          <w:i w:val="0"/>
          <w:color w:val="1C1E2E"/>
          <w:sz w:val="22"/>
        </w:rPr>
        <w:t xml:space="preserve"> El ciclo de la lección es un </w:t>
      </w:r>
      <w:r>
        <w:rPr>
          <w:rFonts w:ascii="Inter" w:hAnsi="Inter" w:cs="Inter"/>
          <w:b/>
          <w:i w:val="0"/>
          <w:color w:val="1C1E2E"/>
          <w:sz w:val="22"/>
        </w:rPr>
        <w:t>motor</w:t>
      </w:r>
      <w:r>
        <w:rPr>
          <w:rFonts w:ascii="Inter" w:hAnsi="Inter" w:cs="Inter"/>
          <w:b w:val="0"/>
          <w:i w:val="0"/>
          <w:color w:val="1C1E2E"/>
          <w:sz w:val="22"/>
        </w:rPr>
        <w:t xml:space="preserve"> compartido; una lección concreta es un </w:t>
      </w:r>
      <w:r>
        <w:rPr>
          <w:rFonts w:ascii="Inter" w:hAnsi="Inter" w:cs="Inter"/>
          <w:b/>
          <w:i w:val="0"/>
          <w:color w:val="1C1E2E"/>
          <w:sz w:val="22"/>
        </w:rPr>
        <w:t>objeto de datos</w:t>
      </w:r>
      <w:r>
        <w:rPr>
          <w:rFonts w:ascii="Inter" w:hAnsi="Inter" w:cs="Inter"/>
          <w:b w:val="0"/>
          <w:i w:val="0"/>
          <w:color w:val="1C1E2E"/>
          <w:sz w:val="22"/>
        </w:rPr>
        <w:t xml:space="preserve">. Construir una lección nueva —o una lengua nueva— es </w:t>
      </w:r>
      <w:r>
        <w:rPr>
          <w:rFonts w:ascii="Inter" w:hAnsi="Inter" w:cs="Inter"/>
          <w:b/>
          <w:i w:val="0"/>
          <w:color w:val="1C1E2E"/>
          <w:sz w:val="22"/>
        </w:rPr>
        <w:t>rellenar datos, no reescribir lógica</w:t>
      </w:r>
      <w:r>
        <w:rPr>
          <w:rFonts w:ascii="Inter" w:hAnsi="Inter" w:cs="Inter"/>
          <w:b w:val="0"/>
          <w:i w:val="0"/>
          <w:color w:val="1C1E2E"/>
          <w:sz w:val="22"/>
        </w:rPr>
        <w:t>. Es la misma promesa de replicabilidad que sostiene el pilar de evaluación, y se somete a la misma prueba (PI6).</w:t>
      </w:r>
    </w:p>
    <w:p>
      <w:r>
        <w:rPr>
          <w:rFonts w:ascii="Inter" w:hAnsi="Inter" w:cs="Inter"/>
          <w:b/>
          <w:i w:val="0"/>
          <w:color w:val="1C1E2E"/>
          <w:sz w:val="22"/>
        </w:rPr>
        <w:t>Marcos que sintetiza el pilar de diseño</w:t>
      </w:r>
      <w:r>
        <w:rPr>
          <w:rFonts w:ascii="Inter" w:hAnsi="Inter" w:cs="Inter"/>
          <w:b w:val="0"/>
          <w:i w:val="0"/>
          <w:color w:val="1C1E2E"/>
          <w:sz w:val="22"/>
        </w:rPr>
        <w:t xml:space="preserve">, todos acreditados y ninguno inventado: el ciclo gamificado </w:t>
      </w:r>
      <w:r>
        <w:rPr>
          <w:rFonts w:ascii="Inter" w:hAnsi="Inter" w:cs="Inter"/>
          <w:b/>
          <w:i w:val="0"/>
          <w:color w:val="1C1E2E"/>
          <w:sz w:val="22"/>
        </w:rPr>
        <w:t>IPO</w:t>
      </w:r>
      <w:r>
        <w:rPr>
          <w:rFonts w:ascii="Inter" w:hAnsi="Inter" w:cs="Inter"/>
          <w:b w:val="0"/>
          <w:i w:val="0"/>
          <w:color w:val="1C1E2E"/>
          <w:sz w:val="22"/>
        </w:rPr>
        <w:t xml:space="preserve"> (Casañ-Pitarch, 2017); las </w:t>
      </w:r>
      <w:r>
        <w:rPr>
          <w:rFonts w:ascii="Inter" w:hAnsi="Inter" w:cs="Inter"/>
          <w:b/>
          <w:i w:val="0"/>
          <w:color w:val="1C1E2E"/>
          <w:sz w:val="22"/>
        </w:rPr>
        <w:t>4C del AICLE</w:t>
      </w:r>
      <w:r>
        <w:rPr>
          <w:rFonts w:ascii="Inter" w:hAnsi="Inter" w:cs="Inter"/>
          <w:b w:val="0"/>
          <w:i w:val="0"/>
          <w:color w:val="1C1E2E"/>
          <w:sz w:val="22"/>
        </w:rPr>
        <w:t xml:space="preserve"> (Coyle, 2007); </w:t>
      </w:r>
      <w:r>
        <w:rPr>
          <w:rFonts w:ascii="Inter" w:hAnsi="Inter" w:cs="Inter"/>
          <w:b/>
          <w:i w:val="0"/>
          <w:color w:val="1C1E2E"/>
          <w:sz w:val="22"/>
        </w:rPr>
        <w:t>ESA</w:t>
      </w:r>
      <w:r>
        <w:rPr>
          <w:rFonts w:ascii="Inter" w:hAnsi="Inter" w:cs="Inter"/>
          <w:b w:val="0"/>
          <w:i w:val="0"/>
          <w:color w:val="1C1E2E"/>
          <w:sz w:val="22"/>
        </w:rPr>
        <w:t xml:space="preserve"> (Harmer, 2007); </w:t>
      </w:r>
      <w:r>
        <w:rPr>
          <w:rFonts w:ascii="Inter" w:hAnsi="Inter" w:cs="Inter"/>
          <w:b/>
          <w:i w:val="0"/>
          <w:color w:val="1C1E2E"/>
          <w:sz w:val="22"/>
        </w:rPr>
        <w:t>CTL / REACT</w:t>
      </w:r>
      <w:r>
        <w:rPr>
          <w:rFonts w:ascii="Inter" w:hAnsi="Inter" w:cs="Inter"/>
          <w:b w:val="0"/>
          <w:i w:val="0"/>
          <w:color w:val="1C1E2E"/>
          <w:sz w:val="22"/>
        </w:rPr>
        <w:t xml:space="preserve"> (Johnson, 2002; Crawford, 2001) para la autenticidad de la tarea; el </w:t>
      </w:r>
      <w:r>
        <w:rPr>
          <w:rFonts w:ascii="Inter" w:hAnsi="Inter" w:cs="Inter"/>
          <w:b/>
          <w:i w:val="0"/>
          <w:color w:val="1C1E2E"/>
          <w:sz w:val="22"/>
        </w:rPr>
        <w:t>enfoque léxico</w:t>
      </w:r>
      <w:r>
        <w:rPr>
          <w:rFonts w:ascii="Inter" w:hAnsi="Inter" w:cs="Inter"/>
          <w:b w:val="0"/>
          <w:i w:val="0"/>
          <w:color w:val="1C1E2E"/>
          <w:sz w:val="22"/>
        </w:rPr>
        <w:t xml:space="preserve"> (Lewis, 1993) para la enseñanza por </w:t>
      </w:r>
      <w:r>
        <w:rPr>
          <w:rFonts w:ascii="Inter" w:hAnsi="Inter" w:cs="Inter"/>
          <w:b w:val="0"/>
          <w:i/>
          <w:color w:val="1C1E2E"/>
          <w:sz w:val="22"/>
        </w:rPr>
        <w:t>chunks</w:t>
      </w:r>
      <w:r>
        <w:rPr>
          <w:rFonts w:ascii="Inter" w:hAnsi="Inter" w:cs="Inter"/>
          <w:b w:val="0"/>
          <w:i w:val="0"/>
          <w:color w:val="1C1E2E"/>
          <w:sz w:val="22"/>
        </w:rPr>
        <w:t xml:space="preserve">; y la </w:t>
      </w:r>
      <w:r>
        <w:rPr>
          <w:rFonts w:ascii="Inter" w:hAnsi="Inter" w:cs="Inter"/>
          <w:b/>
          <w:i w:val="0"/>
          <w:color w:val="1C1E2E"/>
          <w:sz w:val="22"/>
        </w:rPr>
        <w:t>teoría cognitiva del aprendizaje multimedia</w:t>
      </w:r>
      <w:r>
        <w:rPr>
          <w:rFonts w:ascii="Inter" w:hAnsi="Inter" w:cs="Inter"/>
          <w:b w:val="0"/>
          <w:i w:val="0"/>
          <w:color w:val="1C1E2E"/>
          <w:sz w:val="22"/>
        </w:rPr>
        <w:t xml:space="preserve"> (Mayer, 2009), que es justamente la que fundamenta tratar la modalidad como decisión y no como adorno. La originalidad no está en ninguno de ellos, sino en </w:t>
      </w:r>
      <w:r>
        <w:rPr>
          <w:rFonts w:ascii="Inter" w:hAnsi="Inter" w:cs="Inter"/>
          <w:b/>
          <w:i w:val="0"/>
          <w:color w:val="1C1E2E"/>
          <w:sz w:val="22"/>
        </w:rPr>
        <w:t>la síntesis operacionalizada y en la declaración explícita de modalidad</w:t>
      </w:r>
      <w:r>
        <w:rPr>
          <w:rFonts w:ascii="Inter" w:hAnsi="Inter" w:cs="Inter"/>
          <w:b w:val="0"/>
          <w:i w:val="0"/>
          <w:color w:val="1C1E2E"/>
          <w:sz w:val="22"/>
        </w:rPr>
        <w:t>.</w:t>
      </w:r>
    </w:p>
    <w:p>
      <w:pPr>
        <w:spacing w:before="240" w:after="120"/>
      </w:pPr>
      <w:r>
        <w:rPr>
          <w:rFonts w:ascii="Inter" w:hAnsi="Inter" w:cs="Inter"/>
          <w:b/>
          <w:i w:val="0"/>
          <w:color w:val="1C1E2E"/>
          <w:sz w:val="26"/>
        </w:rPr>
        <w:t>5.3 Arquitectura del tutor por voz</w:t>
      </w:r>
    </w:p>
    <w:p>
      <w:r>
        <w:rPr>
          <w:rFonts w:ascii="Inter" w:hAnsi="Inter" w:cs="Inter"/>
          <w:b w:val="0"/>
          <w:i w:val="0"/>
          <w:color w:val="1C1E2E"/>
          <w:sz w:val="22"/>
        </w:rPr>
        <w:t xml:space="preserve">El aprendiz practica </w:t>
      </w:r>
      <w:r>
        <w:rPr>
          <w:rFonts w:ascii="Inter" w:hAnsi="Inter" w:cs="Inter"/>
          <w:b/>
          <w:i w:val="0"/>
          <w:color w:val="1C1E2E"/>
          <w:sz w:val="22"/>
        </w:rPr>
        <w:t>hablando</w:t>
      </w:r>
      <w:r>
        <w:rPr>
          <w:rFonts w:ascii="Inter" w:hAnsi="Inter" w:cs="Inter"/>
          <w:b w:val="0"/>
          <w:i w:val="0"/>
          <w:color w:val="1C1E2E"/>
          <w:sz w:val="22"/>
        </w:rPr>
        <w:t xml:space="preserve"> situaciones reales de trabajo con «Capi». El bucle de medición es:</w:t>
      </w:r>
    </w:p>
    <w:p>
      <w:pPr>
        <w:pBdr>
          <w:left w:val="single" w:sz="18" w:space="8" w:color="9A5B00"/>
        </w:pBdr>
        <w:spacing w:before="120" w:after="200"/>
        <w:ind w:left="317"/>
      </w:pPr>
      <w:r>
        <w:rPr>
          <w:rFonts w:ascii="Inter" w:hAnsi="Inter" w:cs="Inter"/>
          <w:b/>
          <w:i w:val="0"/>
          <w:color w:val="5B5F77"/>
          <w:sz w:val="21"/>
        </w:rPr>
        <w:t>Capi (role-play)</w:t>
      </w:r>
      <w:r>
        <w:rPr>
          <w:rFonts w:ascii="Inter" w:hAnsi="Inter" w:cs="Inter"/>
          <w:b w:val="0"/>
          <w:i w:val="0"/>
          <w:color w:val="5B5F77"/>
          <w:sz w:val="21"/>
        </w:rPr>
        <w:t xml:space="preserve"> → </w:t>
      </w:r>
      <w:r>
        <w:rPr>
          <w:rFonts w:ascii="Inter" w:hAnsi="Inter" w:cs="Inter"/>
          <w:b/>
          <w:i w:val="0"/>
          <w:color w:val="5B5F77"/>
          <w:sz w:val="21"/>
        </w:rPr>
        <w:t>Evaluador MLLDE</w:t>
      </w:r>
      <w:r>
        <w:rPr>
          <w:rFonts w:ascii="Inter" w:hAnsi="Inter" w:cs="Inter"/>
          <w:b w:val="0"/>
          <w:i w:val="0"/>
          <w:color w:val="5B5F77"/>
          <w:sz w:val="21"/>
        </w:rPr>
        <w:t xml:space="preserve"> (banda 0–10 + descriptor débil </w:t>
      </w:r>
      <w:r>
        <w:rPr>
          <w:rFonts w:ascii="Inter" w:hAnsi="Inter" w:cs="Inter"/>
          <w:b w:val="0"/>
          <w:i/>
          <w:color w:val="5B5F77"/>
          <w:sz w:val="21"/>
        </w:rPr>
        <w:t>i+1</w:t>
      </w:r>
      <w:r>
        <w:rPr>
          <w:rFonts w:ascii="Inter" w:hAnsi="Inter" w:cs="Inter"/>
          <w:b w:val="0"/>
          <w:i w:val="0"/>
          <w:color w:val="5B5F77"/>
          <w:sz w:val="21"/>
        </w:rPr>
        <w:t xml:space="preserve">) → </w:t>
      </w:r>
      <w:r>
        <w:rPr>
          <w:rFonts w:ascii="Inter" w:hAnsi="Inter" w:cs="Inter"/>
          <w:b/>
          <w:i w:val="0"/>
          <w:color w:val="5B5F77"/>
          <w:sz w:val="21"/>
        </w:rPr>
        <w:t>Práctica</w:t>
      </w:r>
      <w:r>
        <w:rPr>
          <w:rFonts w:ascii="Inter" w:hAnsi="Inter" w:cs="Inter"/>
          <w:b w:val="0"/>
          <w:i w:val="0"/>
          <w:color w:val="5B5F77"/>
          <w:sz w:val="21"/>
        </w:rPr>
        <w:t xml:space="preserve"> (drills, tarjetas, mediación) → </w:t>
      </w:r>
      <w:r>
        <w:rPr>
          <w:rFonts w:ascii="Inter" w:hAnsi="Inter" w:cs="Inter"/>
          <w:b/>
          <w:i w:val="0"/>
          <w:color w:val="5B5F77"/>
          <w:sz w:val="21"/>
        </w:rPr>
        <w:t>Capi</w:t>
      </w:r>
      <w:r>
        <w:rPr>
          <w:rFonts w:ascii="Inter" w:hAnsi="Inter" w:cs="Inter"/>
          <w:b w:val="0"/>
          <w:i w:val="0"/>
          <w:color w:val="5B5F77"/>
          <w:sz w:val="21"/>
        </w:rPr>
        <w:t xml:space="preserve"> → la banda sube </w:t>
      </w:r>
      <w:r>
        <w:rPr>
          <w:rFonts w:ascii="Inter" w:hAnsi="Inter" w:cs="Inter"/>
          <w:b/>
          <w:i w:val="0"/>
          <w:color w:val="5B5F77"/>
          <w:sz w:val="21"/>
        </w:rPr>
        <w:t>en la conversación siguiente</w:t>
      </w:r>
      <w:r>
        <w:rPr>
          <w:rFonts w:ascii="Inter" w:hAnsi="Inter" w:cs="Inter"/>
          <w:b w:val="0"/>
          <w:i w:val="0"/>
          <w:color w:val="5B5F77"/>
          <w:sz w:val="21"/>
        </w:rPr>
        <w:t>.</w:t>
      </w:r>
    </w:p>
    <w:p>
      <w:pPr>
        <w:pStyle w:val="ListBullet"/>
        <w:spacing w:after="60"/>
        <w:ind w:left="403"/>
      </w:pPr>
      <w:r>
        <w:rPr>
          <w:rFonts w:ascii="Inter" w:hAnsi="Inter" w:cs="Inter"/>
          <w:b/>
          <w:i w:val="0"/>
          <w:color w:val="1C1E2E"/>
          <w:sz w:val="22"/>
        </w:rPr>
        <w:t>Tres agentes que observan</w:t>
      </w:r>
      <w:r>
        <w:rPr>
          <w:rFonts w:ascii="Inter" w:hAnsi="Inter" w:cs="Inter"/>
          <w:b w:val="0"/>
          <w:i w:val="0"/>
          <w:color w:val="1C1E2E"/>
          <w:sz w:val="22"/>
        </w:rPr>
        <w:t xml:space="preserve"> (Capi · corrector · evaluador) y un </w:t>
      </w:r>
      <w:r>
        <w:rPr>
          <w:rFonts w:ascii="Inter" w:hAnsi="Inter" w:cs="Inter"/>
          <w:b/>
          <w:i w:val="0"/>
          <w:color w:val="1C1E2E"/>
          <w:sz w:val="22"/>
        </w:rPr>
        <w:t>consolidador escrito en código</w:t>
      </w:r>
      <w:r>
        <w:rPr>
          <w:rFonts w:ascii="Inter" w:hAnsi="Inter" w:cs="Inter"/>
          <w:b w:val="0"/>
          <w:i w:val="0"/>
          <w:color w:val="1C1E2E"/>
          <w:sz w:val="22"/>
        </w:rPr>
        <w:t xml:space="preserve"> —no un cuarto LLM— que computa el nivel acumulativo (</w:t>
      </w:r>
      <w:r>
        <w:rPr>
          <w:rFonts w:ascii="Consolas" w:hAnsi="Consolas" w:cs="Consolas"/>
          <w:b w:val="0"/>
          <w:i w:val="0"/>
          <w:color w:val="5B5F77"/>
          <w:sz w:val="21"/>
        </w:rPr>
        <w:t>Global×5 + analíticas×2 ÷ pool × 10</w:t>
      </w:r>
      <w:r>
        <w:rPr>
          <w:rFonts w:ascii="Inter" w:hAnsi="Inter" w:cs="Inter"/>
          <w:b w:val="0"/>
          <w:i w:val="0"/>
          <w:color w:val="1C1E2E"/>
          <w:sz w:val="22"/>
        </w:rPr>
        <w:t xml:space="preserve">) y emite </w:t>
      </w:r>
      <w:r>
        <w:rPr>
          <w:rFonts w:ascii="Inter" w:hAnsi="Inter" w:cs="Inter"/>
          <w:b/>
          <w:i w:val="0"/>
          <w:color w:val="1C1E2E"/>
          <w:sz w:val="22"/>
        </w:rPr>
        <w:t>una sola entrada</w:t>
      </w:r>
      <w:r>
        <w:rPr>
          <w:rFonts w:ascii="Inter" w:hAnsi="Inter" w:cs="Inter"/>
          <w:b w:val="0"/>
          <w:i w:val="0"/>
          <w:color w:val="1C1E2E"/>
          <w:sz w:val="22"/>
        </w:rPr>
        <w:t xml:space="preserve"> al LRS. Un </w:t>
      </w:r>
      <w:r>
        <w:rPr>
          <w:rFonts w:ascii="Inter" w:hAnsi="Inter" w:cs="Inter"/>
          <w:b/>
          <w:i w:val="0"/>
          <w:color w:val="1C1E2E"/>
          <w:sz w:val="22"/>
        </w:rPr>
        <w:t>redactor</w:t>
      </w:r>
      <w:r>
        <w:rPr>
          <w:rFonts w:ascii="Inter" w:hAnsi="Inter" w:cs="Inter"/>
          <w:b w:val="0"/>
          <w:i w:val="0"/>
          <w:color w:val="1C1E2E"/>
          <w:sz w:val="22"/>
        </w:rPr>
        <w:t xml:space="preserve"> escribe el resumen; no mide. Los </w:t>
      </w:r>
      <w:r>
        <w:rPr>
          <w:rFonts w:ascii="Inter" w:hAnsi="Inter" w:cs="Inter"/>
          <w:b/>
          <w:i w:val="0"/>
          <w:color w:val="1C1E2E"/>
          <w:sz w:val="22"/>
        </w:rPr>
        <w:t>generadores</w:t>
      </w:r>
      <w:r>
        <w:rPr>
          <w:rFonts w:ascii="Inter" w:hAnsi="Inter" w:cs="Inter"/>
          <w:b w:val="0"/>
          <w:i w:val="0"/>
          <w:color w:val="1C1E2E"/>
          <w:sz w:val="22"/>
        </w:rPr>
        <w:t xml:space="preserve"> crean contenido: el código elige el descriptor, el LLM lo redacta.</w:t>
      </w:r>
    </w:p>
    <w:p>
      <w:pPr>
        <w:pStyle w:val="ListBullet"/>
        <w:spacing w:after="60"/>
        <w:ind w:left="403"/>
      </w:pPr>
      <w:r>
        <w:rPr>
          <w:rFonts w:ascii="Inter" w:hAnsi="Inter" w:cs="Inter"/>
          <w:b/>
          <w:i w:val="0"/>
          <w:color w:val="1C1E2E"/>
          <w:sz w:val="22"/>
        </w:rPr>
        <w:t>Dos flujos que nunca se cruzan:</w:t>
      </w:r>
      <w:r>
        <w:rPr>
          <w:rFonts w:ascii="Inter" w:hAnsi="Inter" w:cs="Inter"/>
          <w:b w:val="0"/>
          <w:i w:val="0"/>
          <w:color w:val="1C1E2E"/>
          <w:sz w:val="22"/>
        </w:rPr>
        <w:t xml:space="preserve"> </w:t>
      </w:r>
      <w:r>
        <w:rPr>
          <w:rFonts w:ascii="Inter" w:hAnsi="Inter" w:cs="Inter"/>
          <w:b w:val="0"/>
          <w:i/>
          <w:color w:val="1C1E2E"/>
          <w:sz w:val="22"/>
        </w:rPr>
        <w:t>medición</w:t>
      </w:r>
      <w:r>
        <w:rPr>
          <w:rFonts w:ascii="Inter" w:hAnsi="Inter" w:cs="Inter"/>
          <w:b w:val="0"/>
          <w:i w:val="0"/>
          <w:color w:val="1C1E2E"/>
          <w:sz w:val="22"/>
        </w:rPr>
        <w:t xml:space="preserve"> (una vez por sesión: </w:t>
      </w:r>
      <w:r>
        <w:rPr>
          <w:rFonts w:ascii="Consolas" w:hAnsi="Consolas" w:cs="Consolas"/>
          <w:b w:val="0"/>
          <w:i w:val="0"/>
          <w:color w:val="5B5F77"/>
          <w:sz w:val="21"/>
        </w:rPr>
        <w:t>completed</w:t>
      </w:r>
      <w:r>
        <w:rPr>
          <w:rFonts w:ascii="Inter" w:hAnsi="Inter" w:cs="Inter"/>
          <w:b w:val="0"/>
          <w:i w:val="0"/>
          <w:color w:val="1C1E2E"/>
          <w:sz w:val="22"/>
        </w:rPr>
        <w:t xml:space="preserve"> + rúbrica) y </w:t>
      </w:r>
      <w:r>
        <w:rPr>
          <w:rFonts w:ascii="Inter" w:hAnsi="Inter" w:cs="Inter"/>
          <w:b w:val="0"/>
          <w:i/>
          <w:color w:val="1C1E2E"/>
          <w:sz w:val="22"/>
        </w:rPr>
        <w:t>pedagogía</w:t>
      </w:r>
      <w:r>
        <w:rPr>
          <w:rFonts w:ascii="Inter" w:hAnsi="Inter" w:cs="Inter"/>
          <w:b w:val="0"/>
          <w:i w:val="0"/>
          <w:color w:val="1C1E2E"/>
          <w:sz w:val="22"/>
        </w:rPr>
        <w:t xml:space="preserve"> (por turno: </w:t>
      </w:r>
      <w:r>
        <w:rPr>
          <w:rFonts w:ascii="Consolas" w:hAnsi="Consolas" w:cs="Consolas"/>
          <w:b w:val="0"/>
          <w:i w:val="0"/>
          <w:color w:val="5B5F77"/>
          <w:sz w:val="21"/>
        </w:rPr>
        <w:t>adapted</w:t>
      </w:r>
      <w:r>
        <w:rPr>
          <w:rFonts w:ascii="Inter" w:hAnsi="Inter" w:cs="Inter"/>
          <w:b w:val="0"/>
          <w:i w:val="0"/>
          <w:color w:val="1C1E2E"/>
          <w:sz w:val="22"/>
        </w:rPr>
        <w:t xml:space="preserve"> + </w:t>
      </w:r>
      <w:r>
        <w:rPr>
          <w:rFonts w:ascii="Consolas" w:hAnsi="Consolas" w:cs="Consolas"/>
          <w:b w:val="0"/>
          <w:i w:val="0"/>
          <w:color w:val="5B5F77"/>
          <w:sz w:val="21"/>
        </w:rPr>
        <w:t>pedagogical-action</w:t>
      </w:r>
      <w:r>
        <w:rPr>
          <w:rFonts w:ascii="Inter" w:hAnsi="Inter" w:cs="Inter"/>
          <w:b w:val="0"/>
          <w:i w:val="0"/>
          <w:color w:val="1C1E2E"/>
          <w:sz w:val="22"/>
        </w:rPr>
        <w:t xml:space="preserve"> + </w:t>
      </w:r>
      <w:r>
        <w:rPr>
          <w:rFonts w:ascii="Consolas" w:hAnsi="Consolas" w:cs="Consolas"/>
          <w:b w:val="0"/>
          <w:i w:val="0"/>
          <w:color w:val="5B5F77"/>
          <w:sz w:val="21"/>
        </w:rPr>
        <w:t>learning-target</w:t>
      </w:r>
      <w:r>
        <w:rPr>
          <w:rFonts w:ascii="Inter" w:hAnsi="Inter" w:cs="Inter"/>
          <w:b w:val="0"/>
          <w:i w:val="0"/>
          <w:color w:val="1C1E2E"/>
          <w:sz w:val="22"/>
        </w:rPr>
        <w:t xml:space="preserve">). </w:t>
      </w:r>
      <w:r>
        <w:rPr>
          <w:rFonts w:ascii="Inter" w:hAnsi="Inter" w:cs="Inter"/>
          <w:b/>
          <w:i w:val="0"/>
          <w:color w:val="1C1E2E"/>
          <w:sz w:val="22"/>
        </w:rPr>
        <w:t>La corrección es pedagogía y nunca puntúa</w:t>
      </w:r>
      <w:r>
        <w:rPr>
          <w:rFonts w:ascii="Inter" w:hAnsi="Inter" w:cs="Inter"/>
          <w:b w:val="0"/>
          <w:i w:val="0"/>
          <w:color w:val="1C1E2E"/>
          <w:sz w:val="22"/>
        </w:rPr>
        <w:t xml:space="preserve"> — es el cortafuegos que hace auditable el sistema.</w:t>
      </w:r>
    </w:p>
    <w:p>
      <w:pPr>
        <w:pStyle w:val="ListBullet"/>
        <w:spacing w:after="60"/>
        <w:ind w:left="403"/>
      </w:pPr>
      <w:r>
        <w:rPr>
          <w:rFonts w:ascii="Inter" w:hAnsi="Inter" w:cs="Inter"/>
          <w:b/>
          <w:i w:val="0"/>
          <w:color w:val="1C1E2E"/>
          <w:sz w:val="22"/>
        </w:rPr>
        <w:t>Puerta acústica (ASR 0.70).</w:t>
      </w:r>
      <w:r>
        <w:rPr>
          <w:rFonts w:ascii="Inter" w:hAnsi="Inter" w:cs="Inter"/>
          <w:b w:val="0"/>
          <w:i w:val="0"/>
          <w:color w:val="1C1E2E"/>
          <w:sz w:val="22"/>
        </w:rPr>
        <w:t xml:space="preserve"> Por debajo de esa confianza de reconocimiento el turno se registra como </w:t>
      </w:r>
      <w:r>
        <w:rPr>
          <w:rFonts w:ascii="Inter" w:hAnsi="Inter" w:cs="Inter"/>
          <w:b/>
          <w:i w:val="0"/>
          <w:color w:val="1C1E2E"/>
          <w:sz w:val="22"/>
        </w:rPr>
        <w:t>incidente</w:t>
      </w:r>
      <w:r>
        <w:rPr>
          <w:rFonts w:ascii="Inter" w:hAnsi="Inter" w:cs="Inter"/>
          <w:b w:val="0"/>
          <w:i w:val="0"/>
          <w:color w:val="1C1E2E"/>
          <w:sz w:val="22"/>
        </w:rPr>
        <w:t xml:space="preserve"> y no puntúa. Es la frontera explícita entre lo medible y lo no medible.</w:t>
      </w:r>
    </w:p>
    <w:p>
      <w:pPr>
        <w:spacing w:before="240" w:after="120"/>
      </w:pPr>
      <w:r>
        <w:rPr>
          <w:rFonts w:ascii="Inter" w:hAnsi="Inter" w:cs="Inter"/>
          <w:b/>
          <w:i w:val="0"/>
          <w:color w:val="1C1E2E"/>
          <w:sz w:val="26"/>
        </w:rPr>
        <w:t>5.4 Los tres tiers de evidencia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930"/>
        <w:gridCol w:w="1930"/>
        <w:gridCol w:w="1930"/>
        <w:gridCol w:w="1930"/>
        <w:gridCol w:w="1930"/>
      </w:tblGrid>
      <w:tr>
        <w:tc>
          <w:tcPr>
            <w:tcW w:type="dxa" w:w="1930"/>
            <w:shd w:val="clear" w:color="auto" w:fill="EEF2FD"/>
          </w:tcPr>
          <w:p>
            <w:pPr>
              <w:spacing w:after="40"/>
            </w:pPr>
            <w:r/>
            <w:r>
              <w:rPr>
                <w:rFonts w:ascii="Inter" w:hAnsi="Inter" w:cs="Inter"/>
                <w:b/>
                <w:i w:val="0"/>
                <w:color w:val="22307C"/>
                <w:sz w:val="19"/>
              </w:rPr>
              <w:t>Tier</w:t>
            </w:r>
          </w:p>
        </w:tc>
        <w:tc>
          <w:tcPr>
            <w:tcW w:type="dxa" w:w="1930"/>
            <w:shd w:val="clear" w:color="auto" w:fill="EEF2FD"/>
          </w:tcPr>
          <w:p>
            <w:pPr>
              <w:spacing w:after="40"/>
            </w:pPr>
            <w:r/>
            <w:r>
              <w:rPr>
                <w:rFonts w:ascii="Inter" w:hAnsi="Inter" w:cs="Inter"/>
                <w:b/>
                <w:i w:val="0"/>
                <w:color w:val="22307C"/>
                <w:sz w:val="19"/>
              </w:rPr>
              <w:t>Nombre</w:t>
            </w:r>
          </w:p>
        </w:tc>
        <w:tc>
          <w:tcPr>
            <w:tcW w:type="dxa" w:w="1930"/>
            <w:shd w:val="clear" w:color="auto" w:fill="EEF2FD"/>
          </w:tcPr>
          <w:p>
            <w:pPr>
              <w:spacing w:after="40"/>
            </w:pPr>
            <w:r/>
            <w:r>
              <w:rPr>
                <w:rFonts w:ascii="Inter" w:hAnsi="Inter" w:cs="Inter"/>
                <w:b/>
                <w:i w:val="0"/>
                <w:color w:val="22307C"/>
                <w:sz w:val="19"/>
              </w:rPr>
              <w:t>Qué mide</w:t>
            </w:r>
          </w:p>
        </w:tc>
        <w:tc>
          <w:tcPr>
            <w:tcW w:type="dxa" w:w="1930"/>
            <w:shd w:val="clear" w:color="auto" w:fill="EEF2FD"/>
          </w:tcPr>
          <w:p>
            <w:pPr>
              <w:spacing w:after="40"/>
            </w:pPr>
            <w:r/>
            <w:r>
              <w:rPr>
                <w:rFonts w:ascii="Inter" w:hAnsi="Inter" w:cs="Inter"/>
                <w:b/>
                <w:i w:val="0"/>
                <w:color w:val="22307C"/>
                <w:sz w:val="19"/>
              </w:rPr>
              <w:t>Cómo</w:t>
            </w:r>
          </w:p>
        </w:tc>
        <w:tc>
          <w:tcPr>
            <w:tcW w:type="dxa" w:w="1930"/>
            <w:shd w:val="clear" w:color="auto" w:fill="EEF2FD"/>
          </w:tcPr>
          <w:p>
            <w:pPr>
              <w:spacing w:after="40"/>
            </w:pPr>
            <w:r/>
            <w:r>
              <w:rPr>
                <w:rFonts w:ascii="Inter" w:hAnsi="Inter" w:cs="Inter"/>
                <w:b/>
                <w:i w:val="0"/>
                <w:color w:val="22307C"/>
                <w:sz w:val="19"/>
              </w:rPr>
              <w:t>Estado</w:t>
            </w:r>
          </w:p>
        </w:tc>
      </w:tr>
      <w:tr>
        <w:tc>
          <w:tcPr>
            <w:tcW w:type="dxa" w:w="1930"/>
          </w:tcPr>
          <w:p>
            <w:pPr>
              <w:spacing w:after="40"/>
            </w:pPr>
            <w:r/>
            <w:r>
              <w:rPr>
                <w:rFonts w:ascii="Inter" w:hAnsi="Inter" w:cs="Inter"/>
                <w:b/>
                <w:i w:val="0"/>
                <w:color w:val="1C1E2E"/>
                <w:sz w:val="19"/>
              </w:rPr>
              <w:t>1</w:t>
            </w:r>
          </w:p>
        </w:tc>
        <w:tc>
          <w:tcPr>
            <w:tcW w:type="dxa" w:w="1930"/>
          </w:tcPr>
          <w:p>
            <w:pPr>
              <w:spacing w:after="40"/>
            </w:pPr>
            <w:r/>
            <w:r>
              <w:rPr>
                <w:rFonts w:ascii="Inter" w:hAnsi="Inter" w:cs="Inter"/>
                <w:b/>
                <w:i w:val="0"/>
                <w:color w:val="1C1E2E"/>
                <w:sz w:val="19"/>
              </w:rPr>
              <w:t>Rúbrica-voz</w:t>
            </w:r>
            <w:r>
              <w:rPr>
                <w:rFonts w:ascii="Inter" w:hAnsi="Inter" w:cs="Inter"/>
                <w:b w:val="0"/>
                <w:i w:val="0"/>
                <w:color w:val="1C1E2E"/>
                <w:sz w:val="19"/>
              </w:rPr>
              <w:t xml:space="preserve"> </w:t>
            </w:r>
            <w:r>
              <w:rPr>
                <w:rFonts w:ascii="Inter" w:hAnsi="Inter" w:cs="Inter"/>
                <w:b w:val="0"/>
                <w:i/>
                <w:color w:val="1C1E2E"/>
                <w:sz w:val="19"/>
              </w:rPr>
              <w:t>(medible hoy)</w:t>
            </w:r>
          </w:p>
        </w:tc>
        <w:tc>
          <w:tcPr>
            <w:tcW w:type="dxa" w:w="1930"/>
          </w:tcPr>
          <w:p>
            <w:pPr>
              <w:spacing w:after="40"/>
            </w:pPr>
            <w:r/>
            <w:r>
              <w:rPr>
                <w:rFonts w:ascii="Consolas" w:hAnsi="Consolas" w:cs="Consolas"/>
                <w:b w:val="0"/>
                <w:i w:val="0"/>
                <w:color w:val="5B5F77"/>
                <w:sz w:val="18"/>
              </w:rPr>
              <w:t>grammar_accuracy</w:t>
            </w:r>
            <w:r>
              <w:rPr>
                <w:rFonts w:ascii="Inter" w:hAnsi="Inter" w:cs="Inter"/>
                <w:b w:val="0"/>
                <w:i w:val="0"/>
                <w:color w:val="1C1E2E"/>
                <w:sz w:val="19"/>
              </w:rPr>
              <w:t xml:space="preserve"> · </w:t>
            </w:r>
            <w:r>
              <w:rPr>
                <w:rFonts w:ascii="Consolas" w:hAnsi="Consolas" w:cs="Consolas"/>
                <w:b w:val="0"/>
                <w:i w:val="0"/>
                <w:color w:val="5B5F77"/>
                <w:sz w:val="18"/>
              </w:rPr>
              <w:t>vocabulary_range</w:t>
            </w:r>
            <w:r>
              <w:rPr>
                <w:rFonts w:ascii="Inter" w:hAnsi="Inter" w:cs="Inter"/>
                <w:b w:val="0"/>
                <w:i w:val="0"/>
                <w:color w:val="1C1E2E"/>
                <w:sz w:val="19"/>
              </w:rPr>
              <w:t xml:space="preserve"> · </w:t>
            </w:r>
            <w:r>
              <w:rPr>
                <w:rFonts w:ascii="Consolas" w:hAnsi="Consolas" w:cs="Consolas"/>
                <w:b w:val="0"/>
                <w:i w:val="0"/>
                <w:color w:val="5B5F77"/>
                <w:sz w:val="18"/>
              </w:rPr>
              <w:t>discourse_management</w:t>
            </w:r>
            <w:r>
              <w:rPr>
                <w:rFonts w:ascii="Inter" w:hAnsi="Inter" w:cs="Inter"/>
                <w:b w:val="0"/>
                <w:i w:val="0"/>
                <w:color w:val="1C1E2E"/>
                <w:sz w:val="19"/>
              </w:rPr>
              <w:t xml:space="preserve"> · </w:t>
            </w:r>
            <w:r>
              <w:rPr>
                <w:rFonts w:ascii="Consolas" w:hAnsi="Consolas" w:cs="Consolas"/>
                <w:b w:val="0"/>
                <w:i w:val="0"/>
                <w:color w:val="5B5F77"/>
                <w:sz w:val="18"/>
              </w:rPr>
              <w:t>interaction</w:t>
            </w:r>
            <w:r>
              <w:rPr>
                <w:rFonts w:ascii="Inter" w:hAnsi="Inter" w:cs="Inter"/>
                <w:b w:val="0"/>
                <w:i w:val="0"/>
                <w:color w:val="1C1E2E"/>
                <w:sz w:val="19"/>
              </w:rPr>
              <w:t xml:space="preserve"> · </w:t>
            </w:r>
            <w:r>
              <w:rPr>
                <w:rFonts w:ascii="Consolas" w:hAnsi="Consolas" w:cs="Consolas"/>
                <w:b w:val="0"/>
                <w:i w:val="0"/>
                <w:color w:val="5B5F77"/>
                <w:sz w:val="18"/>
              </w:rPr>
              <w:t>global_achievement</w:t>
            </w:r>
          </w:p>
        </w:tc>
        <w:tc>
          <w:tcPr>
            <w:tcW w:type="dxa" w:w="1930"/>
          </w:tcPr>
          <w:p>
            <w:pPr>
              <w:spacing w:after="40"/>
            </w:pPr>
            <w:r/>
            <w:r>
              <w:rPr>
                <w:rFonts w:ascii="Inter" w:hAnsi="Inter" w:cs="Inter"/>
                <w:b w:val="0"/>
                <w:i w:val="0"/>
                <w:color w:val="1C1E2E"/>
                <w:sz w:val="19"/>
              </w:rPr>
              <w:t xml:space="preserve">Juez-rúbrica sobre la </w:t>
            </w:r>
            <w:r>
              <w:rPr>
                <w:rFonts w:ascii="Inter" w:hAnsi="Inter" w:cs="Inter"/>
                <w:b/>
                <w:i w:val="0"/>
                <w:color w:val="1C1E2E"/>
                <w:sz w:val="19"/>
              </w:rPr>
              <w:t>transcripción ASR</w:t>
            </w:r>
            <w:r>
              <w:rPr>
                <w:rFonts w:ascii="Inter" w:hAnsi="Inter" w:cs="Inter"/>
                <w:b w:val="0"/>
                <w:i w:val="0"/>
                <w:color w:val="1C1E2E"/>
                <w:sz w:val="19"/>
              </w:rPr>
              <w:t xml:space="preserve">. </w:t>
            </w:r>
            <w:r>
              <w:rPr>
                <w:rFonts w:ascii="Inter" w:hAnsi="Inter" w:cs="Inter"/>
                <w:b/>
                <w:i w:val="0"/>
                <w:color w:val="1C1E2E"/>
                <w:sz w:val="19"/>
              </w:rPr>
              <w:t>No mide pronunciación.</w:t>
            </w:r>
          </w:p>
        </w:tc>
        <w:tc>
          <w:tcPr>
            <w:tcW w:type="dxa" w:w="1930"/>
          </w:tcPr>
          <w:p>
            <w:pPr>
              <w:spacing w:after="40"/>
            </w:pPr>
            <w:r/>
            <w:r>
              <w:rPr>
                <w:rFonts w:ascii="Inter" w:hAnsi="Inter" w:cs="Inter"/>
                <w:b/>
                <w:i w:val="0"/>
                <w:color w:val="1C1E2E"/>
                <w:sz w:val="19"/>
              </w:rPr>
              <w:t>En producción</w:t>
            </w:r>
            <w:r>
              <w:rPr>
                <w:rFonts w:ascii="Inter" w:hAnsi="Inter" w:cs="Inter"/>
                <w:b w:val="0"/>
                <w:i w:val="0"/>
                <w:color w:val="1C1E2E"/>
                <w:sz w:val="19"/>
              </w:rPr>
              <w:t>, verificado sobre LRS vivo</w:t>
            </w:r>
          </w:p>
        </w:tc>
      </w:tr>
      <w:tr>
        <w:tc>
          <w:tcPr>
            <w:tcW w:type="dxa" w:w="1930"/>
          </w:tcPr>
          <w:p>
            <w:pPr>
              <w:spacing w:after="40"/>
            </w:pPr>
            <w:r/>
            <w:r>
              <w:rPr>
                <w:rFonts w:ascii="Inter" w:hAnsi="Inter" w:cs="Inter"/>
                <w:b/>
                <w:i w:val="0"/>
                <w:color w:val="1C1E2E"/>
                <w:sz w:val="19"/>
              </w:rPr>
              <w:t>2</w:t>
            </w:r>
          </w:p>
        </w:tc>
        <w:tc>
          <w:tcPr>
            <w:tcW w:type="dxa" w:w="1930"/>
          </w:tcPr>
          <w:p>
            <w:pPr>
              <w:spacing w:after="40"/>
            </w:pPr>
            <w:r/>
            <w:r>
              <w:rPr>
                <w:rFonts w:ascii="Inter" w:hAnsi="Inter" w:cs="Inter"/>
                <w:b/>
                <w:i w:val="0"/>
                <w:color w:val="1C1E2E"/>
                <w:sz w:val="19"/>
              </w:rPr>
              <w:t>Instrumentado</w:t>
            </w:r>
          </w:p>
        </w:tc>
        <w:tc>
          <w:tcPr>
            <w:tcW w:type="dxa" w:w="1930"/>
          </w:tcPr>
          <w:p>
            <w:pPr>
              <w:spacing w:after="40"/>
            </w:pPr>
            <w:r/>
            <w:r>
              <w:rPr>
                <w:rFonts w:ascii="Inter" w:hAnsi="Inter" w:cs="Inter"/>
                <w:b/>
                <w:i w:val="0"/>
                <w:color w:val="1C1E2E"/>
                <w:sz w:val="19"/>
              </w:rPr>
              <w:t>Pronunciación</w:t>
            </w:r>
            <w:r>
              <w:rPr>
                <w:rFonts w:ascii="Inter" w:hAnsi="Inter" w:cs="Inter"/>
                <w:b w:val="0"/>
                <w:i w:val="0"/>
                <w:color w:val="1C1E2E"/>
                <w:sz w:val="19"/>
              </w:rPr>
              <w:t xml:space="preserve"> a nivel de palabra y enunciado: inteligibilidad y adecuación</w:t>
            </w:r>
          </w:p>
        </w:tc>
        <w:tc>
          <w:tcPr>
            <w:tcW w:type="dxa" w:w="1930"/>
          </w:tcPr>
          <w:p>
            <w:pPr>
              <w:spacing w:after="40"/>
            </w:pPr>
            <w:r/>
            <w:r>
              <w:rPr>
                <w:rFonts w:ascii="Inter" w:hAnsi="Inter" w:cs="Inter"/>
                <w:b w:val="0"/>
                <w:i w:val="0"/>
                <w:color w:val="1C1E2E"/>
                <w:sz w:val="19"/>
              </w:rPr>
              <w:t>Evaluación de pronunciación de proveedor (puntuación acústica tipo GOP)</w:t>
            </w:r>
          </w:p>
        </w:tc>
        <w:tc>
          <w:tcPr>
            <w:tcW w:type="dxa" w:w="1930"/>
          </w:tcPr>
          <w:p>
            <w:pPr>
              <w:spacing w:after="40"/>
            </w:pPr>
            <w:r/>
            <w:r>
              <w:rPr>
                <w:rFonts w:ascii="Inter" w:hAnsi="Inter" w:cs="Inter"/>
                <w:b/>
                <w:i w:val="0"/>
                <w:color w:val="1C1E2E"/>
                <w:sz w:val="19"/>
              </w:rPr>
              <w:t>Planificado</w:t>
            </w:r>
            <w:r>
              <w:rPr>
                <w:rFonts w:ascii="Inter" w:hAnsi="Inter" w:cs="Inter"/>
                <w:b w:val="0"/>
                <w:i w:val="0"/>
                <w:color w:val="1C1E2E"/>
                <w:sz w:val="19"/>
              </w:rPr>
              <w:t xml:space="preserve"> — capa acústica</w:t>
            </w:r>
          </w:p>
        </w:tc>
      </w:tr>
      <w:tr>
        <w:tc>
          <w:tcPr>
            <w:tcW w:type="dxa" w:w="1930"/>
          </w:tcPr>
          <w:p>
            <w:pPr>
              <w:spacing w:after="40"/>
            </w:pPr>
            <w:r/>
            <w:r>
              <w:rPr>
                <w:rFonts w:ascii="Inter" w:hAnsi="Inter" w:cs="Inter"/>
                <w:b/>
                <w:i w:val="0"/>
                <w:color w:val="1C1E2E"/>
                <w:sz w:val="19"/>
              </w:rPr>
              <w:t>3</w:t>
            </w:r>
          </w:p>
        </w:tc>
        <w:tc>
          <w:tcPr>
            <w:tcW w:type="dxa" w:w="1930"/>
          </w:tcPr>
          <w:p>
            <w:pPr>
              <w:spacing w:after="40"/>
            </w:pPr>
            <w:r/>
            <w:r>
              <w:rPr>
                <w:rFonts w:ascii="Inter" w:hAnsi="Inter" w:cs="Inter"/>
                <w:b/>
                <w:i w:val="0"/>
                <w:color w:val="1C1E2E"/>
                <w:sz w:val="19"/>
              </w:rPr>
              <w:t>GOP a medida</w:t>
            </w:r>
            <w:r>
              <w:rPr>
                <w:rFonts w:ascii="Inter" w:hAnsi="Inter" w:cs="Inter"/>
                <w:b w:val="0"/>
                <w:i w:val="0"/>
                <w:color w:val="1C1E2E"/>
                <w:sz w:val="19"/>
              </w:rPr>
              <w:t xml:space="preserve"> </w:t>
            </w:r>
            <w:r>
              <w:rPr>
                <w:rFonts w:ascii="Inter" w:hAnsi="Inter" w:cs="Inter"/>
                <w:b w:val="0"/>
                <w:i/>
                <w:color w:val="1C1E2E"/>
                <w:sz w:val="19"/>
              </w:rPr>
              <w:t>(investigación)</w:t>
            </w:r>
          </w:p>
        </w:tc>
        <w:tc>
          <w:tcPr>
            <w:tcW w:type="dxa" w:w="1930"/>
          </w:tcPr>
          <w:p>
            <w:pPr>
              <w:spacing w:after="40"/>
            </w:pPr>
            <w:r/>
            <w:r>
              <w:rPr>
                <w:rFonts w:ascii="Inter" w:hAnsi="Inter" w:cs="Inter"/>
                <w:b/>
                <w:i w:val="0"/>
                <w:color w:val="1C1E2E"/>
                <w:sz w:val="19"/>
              </w:rPr>
              <w:t>Pronunciación fonémica</w:t>
            </w:r>
            <w:r>
              <w:rPr>
                <w:rFonts w:ascii="Inter" w:hAnsi="Inter" w:cs="Inter"/>
                <w:b w:val="0"/>
                <w:i w:val="0"/>
                <w:color w:val="1C1E2E"/>
                <w:sz w:val="19"/>
              </w:rPr>
              <w:t>: rasgos objetivo por nivel, variantes aceptadas</w:t>
            </w:r>
          </w:p>
        </w:tc>
        <w:tc>
          <w:tcPr>
            <w:tcW w:type="dxa" w:w="1930"/>
          </w:tcPr>
          <w:p>
            <w:pPr>
              <w:spacing w:after="40"/>
            </w:pPr>
            <w:r/>
            <w:r>
              <w:rPr>
                <w:rFonts w:ascii="Inter" w:hAnsi="Inter" w:cs="Inter"/>
                <w:b/>
                <w:i w:val="0"/>
                <w:color w:val="1C1E2E"/>
                <w:sz w:val="19"/>
              </w:rPr>
              <w:t>Inventario IPA</w:t>
            </w:r>
            <w:r>
              <w:rPr>
                <w:rFonts w:ascii="Inter" w:hAnsi="Inter" w:cs="Inter"/>
                <w:b w:val="0"/>
                <w:i w:val="0"/>
                <w:color w:val="1C1E2E"/>
                <w:sz w:val="19"/>
              </w:rPr>
              <w:t xml:space="preserve"> por nivel + ingeniería acústica propia (Witt &amp; Young, 2000)</w:t>
            </w:r>
          </w:p>
        </w:tc>
        <w:tc>
          <w:tcPr>
            <w:tcW w:type="dxa" w:w="1930"/>
          </w:tcPr>
          <w:p>
            <w:pPr>
              <w:spacing w:after="40"/>
            </w:pPr>
            <w:r/>
            <w:r>
              <w:rPr>
                <w:rFonts w:ascii="Inter" w:hAnsi="Inter" w:cs="Inter"/>
                <w:b/>
                <w:i w:val="0"/>
                <w:color w:val="1C1E2E"/>
                <w:sz w:val="19"/>
              </w:rPr>
              <w:t>Investigación</w:t>
            </w:r>
            <w:r>
              <w:rPr>
                <w:rFonts w:ascii="Inter" w:hAnsi="Inter" w:cs="Inter"/>
                <w:b w:val="0"/>
                <w:i w:val="0"/>
                <w:color w:val="1C1E2E"/>
                <w:sz w:val="19"/>
              </w:rPr>
              <w:t xml:space="preserve"> — contribución profunda de la tesis</w:t>
            </w:r>
          </w:p>
        </w:tc>
      </w:tr>
    </w:tbl>
    <w:p/>
    <w:p>
      <w:r>
        <w:rPr>
          <w:rFonts w:ascii="Inter" w:hAnsi="Inter" w:cs="Inter"/>
          <w:b/>
          <w:i w:val="0"/>
          <w:color w:val="1C1E2E"/>
          <w:sz w:val="22"/>
        </w:rPr>
        <w:t>Reglas transversales.</w:t>
      </w:r>
      <w:r>
        <w:rPr>
          <w:rFonts w:ascii="Inter" w:hAnsi="Inter" w:cs="Inter"/>
          <w:b w:val="0"/>
          <w:i w:val="0"/>
          <w:color w:val="1C1E2E"/>
          <w:sz w:val="22"/>
        </w:rPr>
        <w:t xml:space="preserve"> </w:t>
      </w:r>
      <w:r>
        <w:rPr>
          <w:rFonts w:ascii="Inter" w:hAnsi="Inter" w:cs="Inter"/>
          <w:b w:val="0"/>
          <w:i/>
          <w:color w:val="1C1E2E"/>
          <w:sz w:val="22"/>
        </w:rPr>
        <w:t>(i)</w:t>
      </w:r>
      <w:r>
        <w:rPr>
          <w:rFonts w:ascii="Inter" w:hAnsi="Inter" w:cs="Inter"/>
          <w:b w:val="0"/>
          <w:i w:val="0"/>
          <w:color w:val="1C1E2E"/>
          <w:sz w:val="22"/>
        </w:rPr>
        <w:t xml:space="preserve"> Un informe </w:t>
      </w:r>
      <w:r>
        <w:rPr>
          <w:rFonts w:ascii="Inter" w:hAnsi="Inter" w:cs="Inter"/>
          <w:b/>
          <w:i w:val="0"/>
          <w:color w:val="1C1E2E"/>
          <w:sz w:val="22"/>
        </w:rPr>
        <w:t>declara el tier</w:t>
      </w:r>
      <w:r>
        <w:rPr>
          <w:rFonts w:ascii="Inter" w:hAnsi="Inter" w:cs="Inter"/>
          <w:b w:val="0"/>
          <w:i w:val="0"/>
          <w:color w:val="1C1E2E"/>
          <w:sz w:val="22"/>
        </w:rPr>
        <w:t xml:space="preserve"> de cada afirmación y jamás reclama la precisión de un tier superior; si una destreza carece de métrica anclada se muestra </w:t>
      </w:r>
      <w:r>
        <w:rPr>
          <w:rFonts w:ascii="Inter" w:hAnsi="Inter" w:cs="Inter"/>
          <w:b/>
          <w:i w:val="0"/>
          <w:color w:val="1C1E2E"/>
          <w:sz w:val="22"/>
        </w:rPr>
        <w:t>«—»</w:t>
      </w:r>
      <w:r>
        <w:rPr>
          <w:rFonts w:ascii="Inter" w:hAnsi="Inter" w:cs="Inter"/>
          <w:b w:val="0"/>
          <w:i w:val="0"/>
          <w:color w:val="1C1E2E"/>
          <w:sz w:val="22"/>
        </w:rPr>
        <w:t xml:space="preserve">, nunca un valor (hoy: pronunciación = «—» hasta el Tier 2). </w:t>
      </w:r>
      <w:r>
        <w:rPr>
          <w:rFonts w:ascii="Inter" w:hAnsi="Inter" w:cs="Inter"/>
          <w:b w:val="0"/>
          <w:i/>
          <w:color w:val="1C1E2E"/>
          <w:sz w:val="22"/>
        </w:rPr>
        <w:t>(ii)</w:t>
      </w:r>
      <w:r>
        <w:rPr>
          <w:rFonts w:ascii="Inter" w:hAnsi="Inter" w:cs="Inter"/>
          <w:b w:val="0"/>
          <w:i w:val="0"/>
          <w:color w:val="1C1E2E"/>
          <w:sz w:val="22"/>
        </w:rPr>
        <w:t xml:space="preserve"> </w:t>
      </w:r>
      <w:r>
        <w:rPr>
          <w:rFonts w:ascii="Inter" w:hAnsi="Inter" w:cs="Inter"/>
          <w:b/>
          <w:i w:val="0"/>
          <w:color w:val="1C1E2E"/>
          <w:sz w:val="22"/>
        </w:rPr>
        <w:t>Inteligibilidad, no acento nativo</w:t>
      </w:r>
      <w:r>
        <w:rPr>
          <w:rFonts w:ascii="Inter" w:hAnsi="Inter" w:cs="Inter"/>
          <w:b w:val="0"/>
          <w:i w:val="0"/>
          <w:color w:val="1C1E2E"/>
          <w:sz w:val="22"/>
        </w:rPr>
        <w:t xml:space="preserve">: las variantes aceptadas no bajan puntuación. </w:t>
      </w:r>
      <w:r>
        <w:rPr>
          <w:rFonts w:ascii="Inter" w:hAnsi="Inter" w:cs="Inter"/>
          <w:b w:val="0"/>
          <w:i/>
          <w:color w:val="1C1E2E"/>
          <w:sz w:val="22"/>
        </w:rPr>
        <w:t>(iii)</w:t>
      </w:r>
      <w:r>
        <w:rPr>
          <w:rFonts w:ascii="Inter" w:hAnsi="Inter" w:cs="Inter"/>
          <w:b w:val="0"/>
          <w:i w:val="0"/>
          <w:color w:val="1C1E2E"/>
          <w:sz w:val="22"/>
        </w:rPr>
        <w:t xml:space="preserve"> </w:t>
      </w:r>
      <w:r>
        <w:rPr>
          <w:rFonts w:ascii="Inter" w:hAnsi="Inter" w:cs="Inter"/>
          <w:b/>
          <w:i w:val="0"/>
          <w:color w:val="1C1E2E"/>
          <w:sz w:val="22"/>
        </w:rPr>
        <w:t>Ganancia incremental</w:t>
      </w:r>
      <w:r>
        <w:rPr>
          <w:rFonts w:ascii="Inter" w:hAnsi="Inter" w:cs="Inter"/>
          <w:b w:val="0"/>
          <w:i w:val="0"/>
          <w:color w:val="1C1E2E"/>
          <w:sz w:val="22"/>
        </w:rPr>
        <w:t xml:space="preserve">: cada tier añade señal sin romper los anteriores. </w:t>
      </w:r>
      <w:r>
        <w:rPr>
          <w:rFonts w:ascii="Inter" w:hAnsi="Inter" w:cs="Inter"/>
          <w:b w:val="0"/>
          <w:i/>
          <w:color w:val="1C1E2E"/>
          <w:sz w:val="22"/>
        </w:rPr>
        <w:t>(iv)</w:t>
      </w:r>
      <w:r>
        <w:rPr>
          <w:rFonts w:ascii="Inter" w:hAnsi="Inter" w:cs="Inter"/>
          <w:b w:val="0"/>
          <w:i w:val="0"/>
          <w:color w:val="1C1E2E"/>
          <w:sz w:val="22"/>
        </w:rPr>
        <w:t xml:space="preserve"> </w:t>
      </w:r>
      <w:r>
        <w:rPr>
          <w:rFonts w:ascii="Inter" w:hAnsi="Inter" w:cs="Inter"/>
          <w:b/>
          <w:i w:val="0"/>
          <w:color w:val="1C1E2E"/>
          <w:sz w:val="22"/>
        </w:rPr>
        <w:t>Comparabilidad</w:t>
      </w:r>
      <w:r>
        <w:rPr>
          <w:rFonts w:ascii="Inter" w:hAnsi="Inter" w:cs="Inter"/>
          <w:b w:val="0"/>
          <w:i w:val="0"/>
          <w:color w:val="1C1E2E"/>
          <w:sz w:val="22"/>
        </w:rPr>
        <w:t xml:space="preserve">: cada sesión declara su </w:t>
      </w:r>
      <w:r>
        <w:rPr>
          <w:rFonts w:ascii="Consolas" w:hAnsi="Consolas" w:cs="Consolas"/>
          <w:b w:val="0"/>
          <w:i w:val="0"/>
          <w:color w:val="5B5F77"/>
          <w:sz w:val="21"/>
        </w:rPr>
        <w:t>measure_model</w:t>
      </w:r>
      <w:r>
        <w:rPr>
          <w:rFonts w:ascii="Inter" w:hAnsi="Inter" w:cs="Inter"/>
          <w:b w:val="0"/>
          <w:i w:val="0"/>
          <w:color w:val="1C1E2E"/>
          <w:sz w:val="22"/>
        </w:rPr>
        <w:t>, de modo que no se mezclen sesiones de tiers o modelos distintos.</w:t>
      </w:r>
    </w:p>
    <w:p>
      <w:pPr>
        <w:pBdr>
          <w:bottom w:val="single" w:sz="6" w:space="1" w:color="E6E8F2"/>
        </w:pBdr>
      </w:pPr>
    </w:p>
    <w:p>
      <w:pPr>
        <w:spacing w:before="320" w:after="120"/>
      </w:pPr>
      <w:r>
        <w:rPr>
          <w:rFonts w:ascii="Fraunces" w:hAnsi="Fraunces" w:cs="Fraunces"/>
          <w:b/>
          <w:i w:val="0"/>
          <w:color w:val="22307C"/>
          <w:sz w:val="32"/>
        </w:rPr>
        <w:t>6. Preguntas de investigación, objetivos e hipótesis</w:t>
      </w:r>
    </w:p>
    <w:p>
      <w:pPr>
        <w:spacing w:before="240" w:after="120"/>
      </w:pPr>
      <w:r>
        <w:rPr>
          <w:rFonts w:ascii="Inter" w:hAnsi="Inter" w:cs="Inter"/>
          <w:b/>
          <w:i w:val="0"/>
          <w:color w:val="1C1E2E"/>
          <w:sz w:val="26"/>
        </w:rPr>
        <w:t>6.1 Preguntas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Pregunta</w:t>
            </w:r>
          </w:p>
        </w:tc>
        <w:tc>
          <w:tcPr>
            <w:tcW w:type="dxa" w:w="3216"/>
            <w:shd w:val="clear" w:color="auto" w:fill="EEF2FD"/>
          </w:tcPr>
          <w:p>
            <w:pPr>
              <w:spacing w:after="40"/>
            </w:pPr>
            <w:r/>
            <w:r>
              <w:rPr>
                <w:rFonts w:ascii="Inter" w:hAnsi="Inter" w:cs="Inter"/>
                <w:b/>
                <w:i w:val="0"/>
                <w:color w:val="22307C"/>
                <w:sz w:val="19"/>
              </w:rPr>
              <w:t>Ciclo</w:t>
            </w:r>
          </w:p>
        </w:tc>
      </w:tr>
      <w:tr>
        <w:tc>
          <w:tcPr>
            <w:tcW w:type="dxa" w:w="3216"/>
          </w:tcPr>
          <w:p>
            <w:pPr>
              <w:spacing w:after="40"/>
            </w:pPr>
            <w:r/>
            <w:r>
              <w:rPr>
                <w:rFonts w:ascii="Inter" w:hAnsi="Inter" w:cs="Inter"/>
                <w:b/>
                <w:i w:val="0"/>
                <w:color w:val="1C1E2E"/>
                <w:sz w:val="19"/>
              </w:rPr>
              <w:t>PI1 · Validez</w:t>
            </w:r>
          </w:p>
        </w:tc>
        <w:tc>
          <w:tcPr>
            <w:tcW w:type="dxa" w:w="3216"/>
          </w:tcPr>
          <w:p>
            <w:pPr>
              <w:spacing w:after="40"/>
            </w:pPr>
            <w:r/>
            <w:r>
              <w:rPr>
                <w:rFonts w:ascii="Inter" w:hAnsi="Inter" w:cs="Inter"/>
                <w:b w:val="0"/>
                <w:i w:val="0"/>
                <w:color w:val="1C1E2E"/>
                <w:sz w:val="19"/>
              </w:rPr>
              <w:t xml:space="preserve">¿Una rúbrica MCER aplicada por un LLM sobre transcripción ASR (Tier 1) produce bandas </w:t>
            </w:r>
            <w:r>
              <w:rPr>
                <w:rFonts w:ascii="Inter" w:hAnsi="Inter" w:cs="Inter"/>
                <w:b/>
                <w:i w:val="0"/>
                <w:color w:val="1C1E2E"/>
                <w:sz w:val="19"/>
              </w:rPr>
              <w:t>fiables y estables</w:t>
            </w:r>
            <w:r>
              <w:rPr>
                <w:rFonts w:ascii="Inter" w:hAnsi="Inter" w:cs="Inter"/>
                <w:b w:val="0"/>
                <w:i w:val="0"/>
                <w:color w:val="1C1E2E"/>
                <w:sz w:val="19"/>
              </w:rPr>
              <w:t xml:space="preserve"> frente a la evaluación humana experta? ¿Varía con el tamaño del modelo?</w:t>
            </w:r>
          </w:p>
        </w:tc>
        <w:tc>
          <w:tcPr>
            <w:tcW w:type="dxa" w:w="3216"/>
          </w:tcPr>
          <w:p>
            <w:pPr>
              <w:spacing w:after="40"/>
            </w:pPr>
            <w:r/>
            <w:r>
              <w:rPr>
                <w:rFonts w:ascii="Inter" w:hAnsi="Inter" w:cs="Inter"/>
                <w:b w:val="0"/>
                <w:i w:val="0"/>
                <w:color w:val="1C1E2E"/>
                <w:sz w:val="19"/>
              </w:rPr>
              <w:t>C1</w:t>
            </w:r>
          </w:p>
        </w:tc>
      </w:tr>
      <w:tr>
        <w:tc>
          <w:tcPr>
            <w:tcW w:type="dxa" w:w="3216"/>
          </w:tcPr>
          <w:p>
            <w:pPr>
              <w:spacing w:after="40"/>
            </w:pPr>
            <w:r/>
            <w:r>
              <w:rPr>
                <w:rFonts w:ascii="Inter" w:hAnsi="Inter" w:cs="Inter"/>
                <w:b/>
                <w:i w:val="0"/>
                <w:color w:val="1C1E2E"/>
                <w:sz w:val="19"/>
              </w:rPr>
              <w:t>PI2 · Honestidad como método</w:t>
            </w:r>
          </w:p>
        </w:tc>
        <w:tc>
          <w:tcPr>
            <w:tcW w:type="dxa" w:w="3216"/>
          </w:tcPr>
          <w:p>
            <w:pPr>
              <w:spacing w:after="40"/>
            </w:pPr>
            <w:r/>
            <w:r>
              <w:rPr>
                <w:rFonts w:ascii="Inter" w:hAnsi="Inter" w:cs="Inter"/>
                <w:b w:val="0"/>
                <w:i w:val="0"/>
                <w:color w:val="1C1E2E"/>
                <w:sz w:val="19"/>
              </w:rPr>
              <w:t xml:space="preserve">¿Funciona la </w:t>
            </w:r>
            <w:r>
              <w:rPr>
                <w:rFonts w:ascii="Inter" w:hAnsi="Inter" w:cs="Inter"/>
                <w:b/>
                <w:i w:val="0"/>
                <w:color w:val="1C1E2E"/>
                <w:sz w:val="19"/>
              </w:rPr>
              <w:t>unificación de superficies sobre una sola verdad</w:t>
            </w:r>
            <w:r>
              <w:rPr>
                <w:rFonts w:ascii="Inter" w:hAnsi="Inter" w:cs="Inter"/>
                <w:b w:val="0"/>
                <w:i w:val="0"/>
                <w:color w:val="1C1E2E"/>
                <w:sz w:val="19"/>
              </w:rPr>
              <w:t xml:space="preserve"> (el LRS) como prueba anti-alucinación? Es decir: si todas las pantallas coinciden, ¿se sostiene el margen?</w:t>
            </w:r>
          </w:p>
        </w:tc>
        <w:tc>
          <w:tcPr>
            <w:tcW w:type="dxa" w:w="3216"/>
          </w:tcPr>
          <w:p>
            <w:pPr>
              <w:spacing w:after="40"/>
            </w:pPr>
            <w:r/>
            <w:r>
              <w:rPr>
                <w:rFonts w:ascii="Inter" w:hAnsi="Inter" w:cs="Inter"/>
                <w:b w:val="0"/>
                <w:i w:val="0"/>
                <w:color w:val="1C1E2E"/>
                <w:sz w:val="19"/>
              </w:rPr>
              <w:t>C1–C2</w:t>
            </w:r>
          </w:p>
        </w:tc>
      </w:tr>
      <w:tr>
        <w:tc>
          <w:tcPr>
            <w:tcW w:type="dxa" w:w="3216"/>
          </w:tcPr>
          <w:p>
            <w:pPr>
              <w:spacing w:after="40"/>
            </w:pPr>
            <w:r/>
            <w:r>
              <w:rPr>
                <w:rFonts w:ascii="Inter" w:hAnsi="Inter" w:cs="Inter"/>
                <w:b/>
                <w:i w:val="0"/>
                <w:color w:val="1C1E2E"/>
                <w:sz w:val="19"/>
              </w:rPr>
              <w:t>PI3 · Retroalimentación</w:t>
            </w:r>
          </w:p>
        </w:tc>
        <w:tc>
          <w:tcPr>
            <w:tcW w:type="dxa" w:w="3216"/>
          </w:tcPr>
          <w:p>
            <w:pPr>
              <w:spacing w:after="40"/>
            </w:pPr>
            <w:r/>
            <w:r>
              <w:rPr>
                <w:rFonts w:ascii="Inter" w:hAnsi="Inter" w:cs="Inter"/>
                <w:b w:val="0"/>
                <w:i w:val="0"/>
                <w:color w:val="1C1E2E"/>
                <w:sz w:val="19"/>
              </w:rPr>
              <w:t xml:space="preserve">¿La </w:t>
            </w:r>
            <w:r>
              <w:rPr>
                <w:rFonts w:ascii="Inter" w:hAnsi="Inter" w:cs="Inter"/>
                <w:b/>
                <w:i w:val="0"/>
                <w:color w:val="1C1E2E"/>
                <w:sz w:val="19"/>
              </w:rPr>
              <w:t>escala de noticing</w:t>
            </w:r>
            <w:r>
              <w:rPr>
                <w:rFonts w:ascii="Inter" w:hAnsi="Inter" w:cs="Inter"/>
                <w:b w:val="0"/>
                <w:i w:val="0"/>
                <w:color w:val="1C1E2E"/>
                <w:sz w:val="19"/>
              </w:rPr>
              <w:t xml:space="preserve"> —dosificar la saliencia según el nivel— mejora la </w:t>
            </w:r>
            <w:r>
              <w:rPr>
                <w:rFonts w:ascii="Inter" w:hAnsi="Inter" w:cs="Inter"/>
                <w:b/>
                <w:i w:val="0"/>
                <w:color w:val="1C1E2E"/>
                <w:sz w:val="19"/>
              </w:rPr>
              <w:t>captación (*uptake*)</w:t>
            </w:r>
            <w:r>
              <w:rPr>
                <w:rFonts w:ascii="Inter" w:hAnsi="Inter" w:cs="Inter"/>
                <w:b w:val="0"/>
                <w:i w:val="0"/>
                <w:color w:val="1C1E2E"/>
                <w:sz w:val="19"/>
              </w:rPr>
              <w:t xml:space="preserve"> (auto-reparación en B2+, registro de la forma en A2–B1) sin elevar el filtro afectivo?</w:t>
            </w:r>
          </w:p>
        </w:tc>
        <w:tc>
          <w:tcPr>
            <w:tcW w:type="dxa" w:w="3216"/>
          </w:tcPr>
          <w:p>
            <w:pPr>
              <w:spacing w:after="40"/>
            </w:pPr>
            <w:r/>
            <w:r>
              <w:rPr>
                <w:rFonts w:ascii="Inter" w:hAnsi="Inter" w:cs="Inter"/>
                <w:b w:val="0"/>
                <w:i w:val="0"/>
                <w:color w:val="1C1E2E"/>
                <w:sz w:val="19"/>
              </w:rPr>
              <w:t>C2</w:t>
            </w:r>
          </w:p>
        </w:tc>
      </w:tr>
      <w:tr>
        <w:tc>
          <w:tcPr>
            <w:tcW w:type="dxa" w:w="3216"/>
          </w:tcPr>
          <w:p>
            <w:pPr>
              <w:spacing w:after="40"/>
            </w:pPr>
            <w:r/>
            <w:r>
              <w:rPr>
                <w:rFonts w:ascii="Inter" w:hAnsi="Inter" w:cs="Inter"/>
                <w:b/>
                <w:i w:val="0"/>
                <w:color w:val="1C1E2E"/>
                <w:sz w:val="19"/>
              </w:rPr>
              <w:t>PI4 · Pronunciación por tiers</w:t>
            </w:r>
          </w:p>
        </w:tc>
        <w:tc>
          <w:tcPr>
            <w:tcW w:type="dxa" w:w="3216"/>
          </w:tcPr>
          <w:p>
            <w:pPr>
              <w:spacing w:after="40"/>
            </w:pPr>
            <w:r/>
            <w:r>
              <w:rPr>
                <w:rFonts w:ascii="Inter" w:hAnsi="Inter" w:cs="Inter"/>
                <w:b w:val="0"/>
                <w:i w:val="0"/>
                <w:color w:val="1C1E2E"/>
                <w:sz w:val="19"/>
              </w:rPr>
              <w:t xml:space="preserve">¿Qué gana la validez al pasar de Tier 1 → 2 → 3? ¿Cuál es el </w:t>
            </w:r>
            <w:r>
              <w:rPr>
                <w:rFonts w:ascii="Inter" w:hAnsi="Inter" w:cs="Inter"/>
                <w:b/>
                <w:i w:val="0"/>
                <w:color w:val="1C1E2E"/>
                <w:sz w:val="19"/>
              </w:rPr>
              <w:t>piso de inteligibilidad</w:t>
            </w:r>
            <w:r>
              <w:rPr>
                <w:rFonts w:ascii="Inter" w:hAnsi="Inter" w:cs="Inter"/>
                <w:b w:val="0"/>
                <w:i w:val="0"/>
                <w:color w:val="1C1E2E"/>
                <w:sz w:val="19"/>
              </w:rPr>
              <w:t xml:space="preserve"> defendible en cada tier?</w:t>
            </w:r>
          </w:p>
        </w:tc>
        <w:tc>
          <w:tcPr>
            <w:tcW w:type="dxa" w:w="3216"/>
          </w:tcPr>
          <w:p>
            <w:pPr>
              <w:spacing w:after="40"/>
            </w:pPr>
            <w:r/>
            <w:r>
              <w:rPr>
                <w:rFonts w:ascii="Inter" w:hAnsi="Inter" w:cs="Inter"/>
                <w:b w:val="0"/>
                <w:i w:val="0"/>
                <w:color w:val="1C1E2E"/>
                <w:sz w:val="19"/>
              </w:rPr>
              <w:t>C2–C3</w:t>
            </w:r>
          </w:p>
        </w:tc>
      </w:tr>
      <w:tr>
        <w:tc>
          <w:tcPr>
            <w:tcW w:type="dxa" w:w="3216"/>
          </w:tcPr>
          <w:p>
            <w:pPr>
              <w:spacing w:after="40"/>
            </w:pPr>
            <w:r/>
            <w:r>
              <w:rPr>
                <w:rFonts w:ascii="Inter" w:hAnsi="Inter" w:cs="Inter"/>
                <w:b/>
                <w:i w:val="0"/>
                <w:color w:val="1C1E2E"/>
                <w:sz w:val="19"/>
              </w:rPr>
              <w:t>PI5 · Diseño por modalidad</w:t>
            </w:r>
          </w:p>
        </w:tc>
        <w:tc>
          <w:tcPr>
            <w:tcW w:type="dxa" w:w="3216"/>
          </w:tcPr>
          <w:p>
            <w:pPr>
              <w:spacing w:after="40"/>
            </w:pPr>
            <w:r/>
            <w:r>
              <w:rPr>
                <w:rFonts w:ascii="Inter" w:hAnsi="Inter" w:cs="Inter"/>
                <w:b w:val="0"/>
                <w:i w:val="0"/>
                <w:color w:val="1C1E2E"/>
                <w:sz w:val="19"/>
              </w:rPr>
              <w:t xml:space="preserve">¿Produce el </w:t>
            </w:r>
            <w:r>
              <w:rPr>
                <w:rFonts w:ascii="Inter" w:hAnsi="Inter" w:cs="Inter"/>
                <w:b/>
                <w:i w:val="0"/>
                <w:color w:val="1C1E2E"/>
                <w:sz w:val="19"/>
              </w:rPr>
              <w:t>perfil de modalidad declarado</w:t>
            </w:r>
            <w:r>
              <w:rPr>
                <w:rFonts w:ascii="Inter" w:hAnsi="Inter" w:cs="Inter"/>
                <w:b w:val="0"/>
                <w:i w:val="0"/>
                <w:color w:val="1C1E2E"/>
                <w:sz w:val="19"/>
              </w:rPr>
              <w:t xml:space="preserve"> lecciones equivalentes entre diseñadoras distintas que parten del mismo descriptor? ¿Y afecta la elección de modalidad a la progresión en el modo del MCER que se pretende desarrollar?</w:t>
            </w:r>
          </w:p>
        </w:tc>
        <w:tc>
          <w:tcPr>
            <w:tcW w:type="dxa" w:w="3216"/>
          </w:tcPr>
          <w:p>
            <w:pPr>
              <w:spacing w:after="40"/>
            </w:pPr>
            <w:r/>
            <w:r>
              <w:rPr>
                <w:rFonts w:ascii="Inter" w:hAnsi="Inter" w:cs="Inter"/>
                <w:b w:val="0"/>
                <w:i w:val="0"/>
                <w:color w:val="1C1E2E"/>
                <w:sz w:val="19"/>
              </w:rPr>
              <w:t>C1–C2</w:t>
            </w:r>
          </w:p>
        </w:tc>
      </w:tr>
      <w:tr>
        <w:tc>
          <w:tcPr>
            <w:tcW w:type="dxa" w:w="3216"/>
          </w:tcPr>
          <w:p>
            <w:pPr>
              <w:spacing w:after="40"/>
            </w:pPr>
            <w:r/>
            <w:r>
              <w:rPr>
                <w:rFonts w:ascii="Inter" w:hAnsi="Inter" w:cs="Inter"/>
                <w:b/>
                <w:i w:val="0"/>
                <w:color w:val="1C1E2E"/>
                <w:sz w:val="19"/>
              </w:rPr>
              <w:t>PI6 · Replicabilidad</w:t>
            </w:r>
          </w:p>
        </w:tc>
        <w:tc>
          <w:tcPr>
            <w:tcW w:type="dxa" w:w="3216"/>
          </w:tcPr>
          <w:p>
            <w:pPr>
              <w:spacing w:after="40"/>
            </w:pPr>
            <w:r/>
            <w:r>
              <w:rPr>
                <w:rFonts w:ascii="Inter" w:hAnsi="Inter" w:cs="Inter"/>
                <w:b w:val="0"/>
                <w:i w:val="0"/>
                <w:color w:val="1C1E2E"/>
                <w:sz w:val="19"/>
              </w:rPr>
              <w:t xml:space="preserve">¿Puede un equipo independiente instanciar </w:t>
            </w:r>
            <w:r>
              <w:rPr>
                <w:rFonts w:ascii="Inter" w:hAnsi="Inter" w:cs="Inter"/>
                <w:b/>
                <w:i w:val="0"/>
                <w:color w:val="1C1E2E"/>
                <w:sz w:val="19"/>
              </w:rPr>
              <w:t>el motor de diseño y el de medición</w:t>
            </w:r>
            <w:r>
              <w:rPr>
                <w:rFonts w:ascii="Inter" w:hAnsi="Inter" w:cs="Inter"/>
                <w:b w:val="0"/>
                <w:i w:val="0"/>
                <w:color w:val="1C1E2E"/>
                <w:sz w:val="19"/>
              </w:rPr>
              <w:t xml:space="preserve"> en una segunda aplicación </w:t>
            </w:r>
            <w:r>
              <w:rPr>
                <w:rFonts w:ascii="Inter" w:hAnsi="Inter" w:cs="Inter"/>
                <w:b/>
                <w:i w:val="0"/>
                <w:color w:val="1C1E2E"/>
                <w:sz w:val="19"/>
              </w:rPr>
              <w:t>rellenando un pack</w:t>
            </w:r>
            <w:r>
              <w:rPr>
                <w:rFonts w:ascii="Inter" w:hAnsi="Inter" w:cs="Inter"/>
                <w:b w:val="0"/>
                <w:i w:val="0"/>
                <w:color w:val="1C1E2E"/>
                <w:sz w:val="19"/>
              </w:rPr>
              <w:t>, sin tocar el motor, y obtener lecciones y medidas comparables?</w:t>
            </w:r>
          </w:p>
        </w:tc>
        <w:tc>
          <w:tcPr>
            <w:tcW w:type="dxa" w:w="3216"/>
          </w:tcPr>
          <w:p>
            <w:pPr>
              <w:spacing w:after="40"/>
            </w:pPr>
            <w:r/>
            <w:r>
              <w:rPr>
                <w:rFonts w:ascii="Inter" w:hAnsi="Inter" w:cs="Inter"/>
                <w:b w:val="0"/>
                <w:i w:val="0"/>
                <w:color w:val="1C1E2E"/>
                <w:sz w:val="19"/>
              </w:rPr>
              <w:t>C3</w:t>
            </w:r>
          </w:p>
        </w:tc>
      </w:tr>
    </w:tbl>
    <w:p/>
    <w:p>
      <w:pPr>
        <w:spacing w:before="240" w:after="120"/>
      </w:pPr>
      <w:r>
        <w:rPr>
          <w:rFonts w:ascii="Inter" w:hAnsi="Inter" w:cs="Inter"/>
          <w:b/>
          <w:i w:val="0"/>
          <w:color w:val="1C1E2E"/>
          <w:sz w:val="26"/>
        </w:rPr>
        <w:t>6.2 Objetivos</w:t>
      </w:r>
    </w:p>
    <w:p>
      <w:pPr>
        <w:pStyle w:val="ListNumber"/>
        <w:spacing w:after="60"/>
        <w:ind w:left="403"/>
      </w:pPr>
      <w:r>
        <w:rPr>
          <w:rFonts w:ascii="Inter" w:hAnsi="Inter" w:cs="Inter"/>
          <w:b/>
          <w:i w:val="0"/>
          <w:color w:val="1C1E2E"/>
          <w:sz w:val="22"/>
        </w:rPr>
        <w:t>O1</w:t>
      </w:r>
      <w:r>
        <w:rPr>
          <w:rFonts w:ascii="Inter" w:hAnsi="Inter" w:cs="Inter"/>
          <w:b w:val="0"/>
          <w:i w:val="0"/>
          <w:color w:val="1C1E2E"/>
          <w:sz w:val="22"/>
        </w:rPr>
        <w:t xml:space="preserve"> — Formalizar el Módulo de Medición MLLDE (principios, registry de escalas, esquema de packs, reglas del consolidador) en una especificación verificable por terceros.</w:t>
      </w:r>
    </w:p>
    <w:p>
      <w:pPr>
        <w:pStyle w:val="ListNumber"/>
        <w:spacing w:after="60"/>
        <w:ind w:left="403"/>
      </w:pPr>
      <w:r>
        <w:rPr>
          <w:rFonts w:ascii="Inter" w:hAnsi="Inter" w:cs="Inter"/>
          <w:b/>
          <w:i w:val="0"/>
          <w:color w:val="1C1E2E"/>
          <w:sz w:val="22"/>
        </w:rPr>
        <w:t>O2</w:t>
      </w:r>
      <w:r>
        <w:rPr>
          <w:rFonts w:ascii="Inter" w:hAnsi="Inter" w:cs="Inter"/>
          <w:b w:val="0"/>
          <w:i w:val="0"/>
          <w:color w:val="1C1E2E"/>
          <w:sz w:val="22"/>
        </w:rPr>
        <w:t xml:space="preserve"> — Establecer la </w:t>
      </w:r>
      <w:r>
        <w:rPr>
          <w:rFonts w:ascii="Inter" w:hAnsi="Inter" w:cs="Inter"/>
          <w:b/>
          <w:i w:val="0"/>
          <w:color w:val="1C1E2E"/>
          <w:sz w:val="22"/>
        </w:rPr>
        <w:t>validez del Tier 1</w:t>
      </w:r>
      <w:r>
        <w:rPr>
          <w:rFonts w:ascii="Inter" w:hAnsi="Inter" w:cs="Inter"/>
          <w:b w:val="0"/>
          <w:i w:val="0"/>
          <w:color w:val="1C1E2E"/>
          <w:sz w:val="22"/>
        </w:rPr>
        <w:t>: acuerdo con evaluación humana experta, estabilidad test-retest y sensibilidad al tamaño del modelo.</w:t>
      </w:r>
    </w:p>
    <w:p>
      <w:pPr>
        <w:pStyle w:val="ListNumber"/>
        <w:spacing w:after="60"/>
        <w:ind w:left="403"/>
      </w:pPr>
      <w:r>
        <w:rPr>
          <w:rFonts w:ascii="Inter" w:hAnsi="Inter" w:cs="Inter"/>
          <w:b/>
          <w:i w:val="0"/>
          <w:color w:val="1C1E2E"/>
          <w:sz w:val="22"/>
        </w:rPr>
        <w:t>O3</w:t>
      </w:r>
      <w:r>
        <w:rPr>
          <w:rFonts w:ascii="Inter" w:hAnsi="Inter" w:cs="Inter"/>
          <w:b w:val="0"/>
          <w:i w:val="0"/>
          <w:color w:val="1C1E2E"/>
          <w:sz w:val="22"/>
        </w:rPr>
        <w:t xml:space="preserve"> — Instrumentar y validar el </w:t>
      </w:r>
      <w:r>
        <w:rPr>
          <w:rFonts w:ascii="Inter" w:hAnsi="Inter" w:cs="Inter"/>
          <w:b/>
          <w:i w:val="0"/>
          <w:color w:val="1C1E2E"/>
          <w:sz w:val="22"/>
        </w:rPr>
        <w:t>Tier 2</w:t>
      </w:r>
      <w:r>
        <w:rPr>
          <w:rFonts w:ascii="Inter" w:hAnsi="Inter" w:cs="Inter"/>
          <w:b w:val="0"/>
          <w:i w:val="0"/>
          <w:color w:val="1C1E2E"/>
          <w:sz w:val="22"/>
        </w:rPr>
        <w:t>, encendiendo la banda de pronunciación hoy declarada «—», y determinar su piso de inteligibilidad.</w:t>
      </w:r>
    </w:p>
    <w:p>
      <w:pPr>
        <w:pStyle w:val="ListNumber"/>
        <w:spacing w:after="60"/>
        <w:ind w:left="403"/>
      </w:pPr>
      <w:r>
        <w:rPr>
          <w:rFonts w:ascii="Inter" w:hAnsi="Inter" w:cs="Inter"/>
          <w:b/>
          <w:i w:val="0"/>
          <w:color w:val="1C1E2E"/>
          <w:sz w:val="22"/>
        </w:rPr>
        <w:t>O4</w:t>
      </w:r>
      <w:r>
        <w:rPr>
          <w:rFonts w:ascii="Inter" w:hAnsi="Inter" w:cs="Inter"/>
          <w:b w:val="0"/>
          <w:i w:val="0"/>
          <w:color w:val="1C1E2E"/>
          <w:sz w:val="22"/>
        </w:rPr>
        <w:t xml:space="preserve"> — Desarrollar el </w:t>
      </w:r>
      <w:r>
        <w:rPr>
          <w:rFonts w:ascii="Inter" w:hAnsi="Inter" w:cs="Inter"/>
          <w:b/>
          <w:i w:val="0"/>
          <w:color w:val="1C1E2E"/>
          <w:sz w:val="22"/>
        </w:rPr>
        <w:t>Tier 3</w:t>
      </w:r>
      <w:r>
        <w:rPr>
          <w:rFonts w:ascii="Inter" w:hAnsi="Inter" w:cs="Inter"/>
          <w:b w:val="0"/>
          <w:i w:val="0"/>
          <w:color w:val="1C1E2E"/>
          <w:sz w:val="22"/>
        </w:rPr>
        <w:t>: inventario IPA por nivel con variantes aceptadas y un GOP a medida, explicable y no penalizador de variedades legítimas.</w:t>
      </w:r>
    </w:p>
    <w:p>
      <w:pPr>
        <w:pStyle w:val="ListNumber"/>
        <w:spacing w:after="60"/>
        <w:ind w:left="403"/>
      </w:pPr>
      <w:r>
        <w:rPr>
          <w:rFonts w:ascii="Inter" w:hAnsi="Inter" w:cs="Inter"/>
          <w:b/>
          <w:i w:val="0"/>
          <w:color w:val="1C1E2E"/>
          <w:sz w:val="22"/>
        </w:rPr>
        <w:t>O5</w:t>
      </w:r>
      <w:r>
        <w:rPr>
          <w:rFonts w:ascii="Inter" w:hAnsi="Inter" w:cs="Inter"/>
          <w:b w:val="0"/>
          <w:i w:val="0"/>
          <w:color w:val="1C1E2E"/>
          <w:sz w:val="22"/>
        </w:rPr>
        <w:t xml:space="preserve"> — Formalizar el </w:t>
      </w:r>
      <w:r>
        <w:rPr>
          <w:rFonts w:ascii="Inter" w:hAnsi="Inter" w:cs="Inter"/>
          <w:b/>
          <w:i w:val="0"/>
          <w:color w:val="1C1E2E"/>
          <w:sz w:val="22"/>
        </w:rPr>
        <w:t>pilar de diseño</w:t>
      </w:r>
      <w:r>
        <w:rPr>
          <w:rFonts w:ascii="Inter" w:hAnsi="Inter" w:cs="Inter"/>
          <w:b w:val="0"/>
          <w:i w:val="0"/>
          <w:color w:val="1C1E2E"/>
          <w:sz w:val="22"/>
        </w:rPr>
        <w:t>: contrato de entrada con perfil de modalidad, plantilla de planificación, rúbrica de conformidad, y validarlo mediante panel de personas expertas y prueba de equivalencia entre diseñadoras.</w:t>
      </w:r>
    </w:p>
    <w:p>
      <w:pPr>
        <w:pStyle w:val="ListNumber"/>
        <w:spacing w:after="60"/>
        <w:ind w:left="403"/>
      </w:pPr>
      <w:r>
        <w:rPr>
          <w:rFonts w:ascii="Inter" w:hAnsi="Inter" w:cs="Inter"/>
          <w:b/>
          <w:i w:val="0"/>
          <w:color w:val="1C1E2E"/>
          <w:sz w:val="22"/>
        </w:rPr>
        <w:t>O6</w:t>
      </w:r>
      <w:r>
        <w:rPr>
          <w:rFonts w:ascii="Inter" w:hAnsi="Inter" w:cs="Inter"/>
          <w:b w:val="0"/>
          <w:i w:val="0"/>
          <w:color w:val="1C1E2E"/>
          <w:sz w:val="22"/>
        </w:rPr>
        <w:t xml:space="preserve"> — Publicar el </w:t>
      </w:r>
      <w:r>
        <w:rPr>
          <w:rFonts w:ascii="Inter" w:hAnsi="Inter" w:cs="Inter"/>
          <w:b/>
          <w:i w:val="0"/>
          <w:color w:val="1C1E2E"/>
          <w:sz w:val="22"/>
        </w:rPr>
        <w:t>perfil xAPI</w:t>
      </w:r>
      <w:r>
        <w:rPr>
          <w:rFonts w:ascii="Inter" w:hAnsi="Inter" w:cs="Inter"/>
          <w:b w:val="0"/>
          <w:i w:val="0"/>
          <w:color w:val="1C1E2E"/>
          <w:sz w:val="22"/>
        </w:rPr>
        <w:t xml:space="preserve"> de evidencia de competencia anclada al MCER, con declaración de tier y de modelo de medición, y demostrar la </w:t>
      </w:r>
      <w:r>
        <w:rPr>
          <w:rFonts w:ascii="Inter" w:hAnsi="Inter" w:cs="Inter"/>
          <w:b/>
          <w:i w:val="0"/>
          <w:color w:val="1C1E2E"/>
          <w:sz w:val="22"/>
        </w:rPr>
        <w:t>replicabilidad motor + pack</w:t>
      </w:r>
      <w:r>
        <w:rPr>
          <w:rFonts w:ascii="Inter" w:hAnsi="Inter" w:cs="Inter"/>
          <w:b w:val="0"/>
          <w:i w:val="0"/>
          <w:color w:val="1C1E2E"/>
          <w:sz w:val="22"/>
        </w:rPr>
        <w:t xml:space="preserve"> —diseño y medición— en una segunda aplicación.</w:t>
      </w:r>
    </w:p>
    <w:p>
      <w:pPr>
        <w:spacing w:before="240" w:after="120"/>
      </w:pPr>
      <w:r>
        <w:rPr>
          <w:rFonts w:ascii="Inter" w:hAnsi="Inter" w:cs="Inter"/>
          <w:b/>
          <w:i w:val="0"/>
          <w:color w:val="1C1E2E"/>
          <w:sz w:val="26"/>
        </w:rPr>
        <w:t>6.3 Hipótesis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Hipótesis</w:t>
            </w:r>
          </w:p>
        </w:tc>
        <w:tc>
          <w:tcPr>
            <w:tcW w:type="dxa" w:w="3216"/>
            <w:shd w:val="clear" w:color="auto" w:fill="EEF2FD"/>
          </w:tcPr>
          <w:p>
            <w:pPr>
              <w:spacing w:after="40"/>
            </w:pPr>
            <w:r/>
            <w:r>
              <w:rPr>
                <w:rFonts w:ascii="Inter" w:hAnsi="Inter" w:cs="Inter"/>
                <w:b/>
                <w:i w:val="0"/>
                <w:color w:val="22307C"/>
                <w:sz w:val="19"/>
              </w:rPr>
              <w:t>Contraste</w:t>
            </w:r>
          </w:p>
        </w:tc>
      </w:tr>
      <w:tr>
        <w:tc>
          <w:tcPr>
            <w:tcW w:type="dxa" w:w="3216"/>
          </w:tcPr>
          <w:p>
            <w:pPr>
              <w:spacing w:after="40"/>
            </w:pPr>
            <w:r/>
            <w:r>
              <w:rPr>
                <w:rFonts w:ascii="Inter" w:hAnsi="Inter" w:cs="Inter"/>
                <w:b/>
                <w:i w:val="0"/>
                <w:color w:val="1C1E2E"/>
                <w:sz w:val="19"/>
              </w:rPr>
              <w:t>H1</w:t>
            </w:r>
          </w:p>
        </w:tc>
        <w:tc>
          <w:tcPr>
            <w:tcW w:type="dxa" w:w="3216"/>
          </w:tcPr>
          <w:p>
            <w:pPr>
              <w:spacing w:after="40"/>
            </w:pPr>
            <w:r/>
            <w:r>
              <w:rPr>
                <w:rFonts w:ascii="Inter" w:hAnsi="Inter" w:cs="Inter"/>
                <w:b w:val="0"/>
                <w:i w:val="0"/>
                <w:color w:val="1C1E2E"/>
                <w:sz w:val="19"/>
              </w:rPr>
              <w:t xml:space="preserve">El acuerdo entre la banda del Tier 1 y la evaluación humana experta alcanza una fiabilidad aceptable para uso formativo, y es </w:t>
            </w:r>
            <w:r>
              <w:rPr>
                <w:rFonts w:ascii="Inter" w:hAnsi="Inter" w:cs="Inter"/>
                <w:b/>
                <w:i w:val="0"/>
                <w:color w:val="1C1E2E"/>
                <w:sz w:val="19"/>
              </w:rPr>
              <w:t>estable</w:t>
            </w:r>
            <w:r>
              <w:rPr>
                <w:rFonts w:ascii="Inter" w:hAnsi="Inter" w:cs="Inter"/>
                <w:b w:val="0"/>
                <w:i w:val="0"/>
                <w:color w:val="1C1E2E"/>
                <w:sz w:val="19"/>
              </w:rPr>
              <w:t xml:space="preserve"> en test-retest.</w:t>
            </w:r>
          </w:p>
        </w:tc>
        <w:tc>
          <w:tcPr>
            <w:tcW w:type="dxa" w:w="3216"/>
          </w:tcPr>
          <w:p>
            <w:pPr>
              <w:spacing w:after="40"/>
            </w:pPr>
            <w:r/>
            <w:r>
              <w:rPr>
                <w:rFonts w:ascii="Inter" w:hAnsi="Inter" w:cs="Inter"/>
                <w:b w:val="0"/>
                <w:i w:val="0"/>
                <w:color w:val="1C1E2E"/>
                <w:sz w:val="19"/>
              </w:rPr>
              <w:t>CCI / κ ponderado; test-retest</w:t>
            </w:r>
          </w:p>
        </w:tc>
      </w:tr>
      <w:tr>
        <w:tc>
          <w:tcPr>
            <w:tcW w:type="dxa" w:w="3216"/>
          </w:tcPr>
          <w:p>
            <w:pPr>
              <w:spacing w:after="40"/>
            </w:pPr>
            <w:r/>
            <w:r>
              <w:rPr>
                <w:rFonts w:ascii="Inter" w:hAnsi="Inter" w:cs="Inter"/>
                <w:b/>
                <w:i w:val="0"/>
                <w:color w:val="1C1E2E"/>
                <w:sz w:val="19"/>
              </w:rPr>
              <w:t>H2</w:t>
            </w:r>
          </w:p>
        </w:tc>
        <w:tc>
          <w:tcPr>
            <w:tcW w:type="dxa" w:w="3216"/>
          </w:tcPr>
          <w:p>
            <w:pPr>
              <w:spacing w:after="40"/>
            </w:pPr>
            <w:r/>
            <w:r>
              <w:rPr>
                <w:rFonts w:ascii="Inter" w:hAnsi="Inter" w:cs="Inter"/>
                <w:b w:val="0"/>
                <w:i w:val="0"/>
                <w:color w:val="1C1E2E"/>
                <w:sz w:val="19"/>
              </w:rPr>
              <w:t xml:space="preserve">La banda del Tier 1 es </w:t>
            </w:r>
            <w:r>
              <w:rPr>
                <w:rFonts w:ascii="Inter" w:hAnsi="Inter" w:cs="Inter"/>
                <w:b/>
                <w:i w:val="0"/>
                <w:color w:val="1C1E2E"/>
                <w:sz w:val="19"/>
              </w:rPr>
              <w:t>sensible al tamaño del modelo</w:t>
            </w:r>
            <w:r>
              <w:rPr>
                <w:rFonts w:ascii="Inter" w:hAnsi="Inter" w:cs="Inter"/>
                <w:b w:val="0"/>
                <w:i w:val="0"/>
                <w:color w:val="1C1E2E"/>
                <w:sz w:val="19"/>
              </w:rPr>
              <w:t xml:space="preserve">, lo que obliga a declarar </w:t>
            </w:r>
            <w:r>
              <w:rPr>
                <w:rFonts w:ascii="Consolas" w:hAnsi="Consolas" w:cs="Consolas"/>
                <w:b w:val="0"/>
                <w:i w:val="0"/>
                <w:color w:val="5B5F77"/>
                <w:sz w:val="18"/>
              </w:rPr>
              <w:t>measure_model</w:t>
            </w:r>
            <w:r>
              <w:rPr>
                <w:rFonts w:ascii="Inter" w:hAnsi="Inter" w:cs="Inter"/>
                <w:b w:val="0"/>
                <w:i w:val="0"/>
                <w:color w:val="1C1E2E"/>
                <w:sz w:val="19"/>
              </w:rPr>
              <w:t xml:space="preserve"> para que las sesiones sean comparables.</w:t>
            </w:r>
          </w:p>
        </w:tc>
        <w:tc>
          <w:tcPr>
            <w:tcW w:type="dxa" w:w="3216"/>
          </w:tcPr>
          <w:p>
            <w:pPr>
              <w:spacing w:after="40"/>
            </w:pPr>
            <w:r/>
            <w:r>
              <w:rPr>
                <w:rFonts w:ascii="Inter" w:hAnsi="Inter" w:cs="Inter"/>
                <w:b w:val="0"/>
                <w:i w:val="0"/>
                <w:color w:val="1C1E2E"/>
                <w:sz w:val="19"/>
              </w:rPr>
              <w:t>Comparación entre modelos sobre las mismas sesiones</w:t>
            </w:r>
          </w:p>
        </w:tc>
      </w:tr>
      <w:tr>
        <w:tc>
          <w:tcPr>
            <w:tcW w:type="dxa" w:w="3216"/>
          </w:tcPr>
          <w:p>
            <w:pPr>
              <w:spacing w:after="40"/>
            </w:pPr>
            <w:r/>
            <w:r>
              <w:rPr>
                <w:rFonts w:ascii="Inter" w:hAnsi="Inter" w:cs="Inter"/>
                <w:b/>
                <w:i w:val="0"/>
                <w:color w:val="1C1E2E"/>
                <w:sz w:val="19"/>
              </w:rPr>
              <w:t>H3</w:t>
            </w:r>
          </w:p>
        </w:tc>
        <w:tc>
          <w:tcPr>
            <w:tcW w:type="dxa" w:w="3216"/>
          </w:tcPr>
          <w:p>
            <w:pPr>
              <w:spacing w:after="40"/>
            </w:pPr>
            <w:r/>
            <w:r>
              <w:rPr>
                <w:rFonts w:ascii="Inter" w:hAnsi="Inter" w:cs="Inter"/>
                <w:b w:val="0"/>
                <w:i w:val="0"/>
                <w:color w:val="1C1E2E"/>
                <w:sz w:val="19"/>
              </w:rPr>
              <w:t xml:space="preserve">La escala de noticing dosificada por nivel aumenta el </w:t>
            </w:r>
            <w:r>
              <w:rPr>
                <w:rFonts w:ascii="Inter" w:hAnsi="Inter" w:cs="Inter"/>
                <w:b/>
                <w:i w:val="0"/>
                <w:color w:val="1C1E2E"/>
                <w:sz w:val="19"/>
              </w:rPr>
              <w:t>*uptake</w:t>
            </w:r>
            <w:r>
              <w:rPr>
                <w:rFonts w:ascii="Inter" w:hAnsi="Inter" w:cs="Inter"/>
                <w:b w:val="0"/>
                <w:i w:val="0"/>
                <w:color w:val="1C1E2E"/>
                <w:sz w:val="19"/>
              </w:rPr>
              <w:t>* frente a una retroalimentación uniforme, sin aumentar el abandono.</w:t>
            </w:r>
          </w:p>
        </w:tc>
        <w:tc>
          <w:tcPr>
            <w:tcW w:type="dxa" w:w="3216"/>
          </w:tcPr>
          <w:p>
            <w:pPr>
              <w:spacing w:after="40"/>
            </w:pPr>
            <w:r/>
            <w:r>
              <w:rPr>
                <w:rFonts w:ascii="Inter" w:hAnsi="Inter" w:cs="Inter"/>
                <w:b w:val="0"/>
                <w:i w:val="0"/>
                <w:color w:val="1C1E2E"/>
                <w:sz w:val="19"/>
              </w:rPr>
              <w:t>Contraste entre condiciones + métricas de persistencia</w:t>
            </w:r>
          </w:p>
        </w:tc>
      </w:tr>
      <w:tr>
        <w:tc>
          <w:tcPr>
            <w:tcW w:type="dxa" w:w="3216"/>
          </w:tcPr>
          <w:p>
            <w:pPr>
              <w:spacing w:after="40"/>
            </w:pPr>
            <w:r/>
            <w:r>
              <w:rPr>
                <w:rFonts w:ascii="Inter" w:hAnsi="Inter" w:cs="Inter"/>
                <w:b/>
                <w:i w:val="0"/>
                <w:color w:val="1C1E2E"/>
                <w:sz w:val="19"/>
              </w:rPr>
              <w:t>H4</w:t>
            </w:r>
          </w:p>
        </w:tc>
        <w:tc>
          <w:tcPr>
            <w:tcW w:type="dxa" w:w="3216"/>
          </w:tcPr>
          <w:p>
            <w:pPr>
              <w:spacing w:after="40"/>
            </w:pPr>
            <w:r/>
            <w:r>
              <w:rPr>
                <w:rFonts w:ascii="Inter" w:hAnsi="Inter" w:cs="Inter"/>
                <w:b w:val="0"/>
                <w:i w:val="0"/>
                <w:color w:val="1C1E2E"/>
                <w:sz w:val="19"/>
              </w:rPr>
              <w:t xml:space="preserve">El paso a Tier 2 mejora la validez de la afirmación de pronunciación frente a juicio humano de inteligibilidad; el Tier 3 la hace además </w:t>
            </w:r>
            <w:r>
              <w:rPr>
                <w:rFonts w:ascii="Inter" w:hAnsi="Inter" w:cs="Inter"/>
                <w:b/>
                <w:i w:val="0"/>
                <w:color w:val="1C1E2E"/>
                <w:sz w:val="19"/>
              </w:rPr>
              <w:t>explicable</w:t>
            </w:r>
            <w:r>
              <w:rPr>
                <w:rFonts w:ascii="Inter" w:hAnsi="Inter" w:cs="Inter"/>
                <w:b w:val="0"/>
                <w:i w:val="0"/>
                <w:color w:val="1C1E2E"/>
                <w:sz w:val="19"/>
              </w:rPr>
              <w:t xml:space="preserve"> a nivel fonémico.</w:t>
            </w:r>
          </w:p>
        </w:tc>
        <w:tc>
          <w:tcPr>
            <w:tcW w:type="dxa" w:w="3216"/>
          </w:tcPr>
          <w:p>
            <w:pPr>
              <w:spacing w:after="40"/>
            </w:pPr>
            <w:r/>
            <w:r>
              <w:rPr>
                <w:rFonts w:ascii="Inter" w:hAnsi="Inter" w:cs="Inter"/>
                <w:b w:val="0"/>
                <w:i w:val="0"/>
                <w:color w:val="1C1E2E"/>
                <w:sz w:val="19"/>
              </w:rPr>
              <w:t>Validez concurrente por tier</w:t>
            </w:r>
          </w:p>
        </w:tc>
      </w:tr>
      <w:tr>
        <w:tc>
          <w:tcPr>
            <w:tcW w:type="dxa" w:w="3216"/>
          </w:tcPr>
          <w:p>
            <w:pPr>
              <w:spacing w:after="40"/>
            </w:pPr>
            <w:r/>
            <w:r>
              <w:rPr>
                <w:rFonts w:ascii="Inter" w:hAnsi="Inter" w:cs="Inter"/>
                <w:b/>
                <w:i w:val="0"/>
                <w:color w:val="1C1E2E"/>
                <w:sz w:val="19"/>
              </w:rPr>
              <w:t>H5</w:t>
            </w:r>
          </w:p>
        </w:tc>
        <w:tc>
          <w:tcPr>
            <w:tcW w:type="dxa" w:w="3216"/>
          </w:tcPr>
          <w:p>
            <w:pPr>
              <w:spacing w:after="40"/>
            </w:pPr>
            <w:r/>
            <w:r>
              <w:rPr>
                <w:rFonts w:ascii="Inter" w:hAnsi="Inter" w:cs="Inter"/>
                <w:b w:val="0"/>
                <w:i w:val="0"/>
                <w:color w:val="1C1E2E"/>
                <w:sz w:val="19"/>
              </w:rPr>
              <w:t xml:space="preserve">Diseñadoras distintas que parten del mismo descriptor y perfil de modalidad producen lecciones con </w:t>
            </w:r>
            <w:r>
              <w:rPr>
                <w:rFonts w:ascii="Inter" w:hAnsi="Inter" w:cs="Inter"/>
                <w:b/>
                <w:i w:val="0"/>
                <w:color w:val="1C1E2E"/>
                <w:sz w:val="19"/>
              </w:rPr>
              <w:t>alta concordancia</w:t>
            </w:r>
            <w:r>
              <w:rPr>
                <w:rFonts w:ascii="Inter" w:hAnsi="Inter" w:cs="Inter"/>
                <w:b w:val="0"/>
                <w:i w:val="0"/>
                <w:color w:val="1C1E2E"/>
                <w:sz w:val="19"/>
              </w:rPr>
              <w:t xml:space="preserve"> en modo, competencia y canal.</w:t>
            </w:r>
          </w:p>
        </w:tc>
        <w:tc>
          <w:tcPr>
            <w:tcW w:type="dxa" w:w="3216"/>
          </w:tcPr>
          <w:p>
            <w:pPr>
              <w:spacing w:after="40"/>
            </w:pPr>
            <w:r/>
            <w:r>
              <w:rPr>
                <w:rFonts w:ascii="Inter" w:hAnsi="Inter" w:cs="Inter"/>
                <w:b w:val="0"/>
                <w:i w:val="0"/>
                <w:color w:val="1C1E2E"/>
                <w:sz w:val="19"/>
              </w:rPr>
              <w:t>Acuerdo interjueces sobre rúbrica de conformidad</w:t>
            </w:r>
          </w:p>
        </w:tc>
      </w:tr>
      <w:tr>
        <w:tc>
          <w:tcPr>
            <w:tcW w:type="dxa" w:w="3216"/>
          </w:tcPr>
          <w:p>
            <w:pPr>
              <w:spacing w:after="40"/>
            </w:pPr>
            <w:r/>
            <w:r>
              <w:rPr>
                <w:rFonts w:ascii="Inter" w:hAnsi="Inter" w:cs="Inter"/>
                <w:b/>
                <w:i w:val="0"/>
                <w:color w:val="1C1E2E"/>
                <w:sz w:val="19"/>
              </w:rPr>
              <w:t>H6</w:t>
            </w:r>
          </w:p>
        </w:tc>
        <w:tc>
          <w:tcPr>
            <w:tcW w:type="dxa" w:w="3216"/>
          </w:tcPr>
          <w:p>
            <w:pPr>
              <w:spacing w:after="40"/>
            </w:pPr>
            <w:r/>
            <w:r>
              <w:rPr>
                <w:rFonts w:ascii="Inter" w:hAnsi="Inter" w:cs="Inter"/>
                <w:b w:val="0"/>
                <w:i w:val="0"/>
                <w:color w:val="1C1E2E"/>
                <w:sz w:val="19"/>
              </w:rPr>
              <w:t xml:space="preserve">Un equipo independiente reproduce </w:t>
            </w:r>
            <w:r>
              <w:rPr>
                <w:rFonts w:ascii="Inter" w:hAnsi="Inter" w:cs="Inter"/>
                <w:b/>
                <w:i w:val="0"/>
                <w:color w:val="1C1E2E"/>
                <w:sz w:val="19"/>
              </w:rPr>
              <w:t>lecciones y medidas</w:t>
            </w:r>
            <w:r>
              <w:rPr>
                <w:rFonts w:ascii="Inter" w:hAnsi="Inter" w:cs="Inter"/>
                <w:b w:val="0"/>
                <w:i w:val="0"/>
                <w:color w:val="1C1E2E"/>
                <w:sz w:val="19"/>
              </w:rPr>
              <w:t xml:space="preserve"> comparables </w:t>
            </w:r>
            <w:r>
              <w:rPr>
                <w:rFonts w:ascii="Inter" w:hAnsi="Inter" w:cs="Inter"/>
                <w:b/>
                <w:i w:val="0"/>
                <w:color w:val="1C1E2E"/>
                <w:sz w:val="19"/>
              </w:rPr>
              <w:t>rellenando un pack</w:t>
            </w:r>
            <w:r>
              <w:rPr>
                <w:rFonts w:ascii="Inter" w:hAnsi="Inter" w:cs="Inter"/>
                <w:b w:val="0"/>
                <w:i w:val="0"/>
                <w:color w:val="1C1E2E"/>
                <w:sz w:val="19"/>
              </w:rPr>
              <w:t>, sin modificar el motor.</w:t>
            </w:r>
          </w:p>
        </w:tc>
        <w:tc>
          <w:tcPr>
            <w:tcW w:type="dxa" w:w="3216"/>
          </w:tcPr>
          <w:p>
            <w:pPr>
              <w:spacing w:after="40"/>
            </w:pPr>
            <w:r/>
            <w:r>
              <w:rPr>
                <w:rFonts w:ascii="Inter" w:hAnsi="Inter" w:cs="Inter"/>
                <w:b w:val="0"/>
                <w:i w:val="0"/>
                <w:color w:val="1C1E2E"/>
                <w:sz w:val="19"/>
              </w:rPr>
              <w:t>Prueba de replicabilidad end-to-end</w:t>
            </w:r>
          </w:p>
        </w:tc>
      </w:tr>
    </w:tbl>
    <w:p/>
    <w:p>
      <w:pPr>
        <w:pBdr>
          <w:bottom w:val="single" w:sz="6" w:space="1" w:color="E6E8F2"/>
        </w:pBdr>
      </w:pPr>
    </w:p>
    <w:p>
      <w:pPr>
        <w:spacing w:before="320" w:after="120"/>
      </w:pPr>
      <w:r>
        <w:rPr>
          <w:rFonts w:ascii="Fraunces" w:hAnsi="Fraunces" w:cs="Fraunces"/>
          <w:b/>
          <w:i w:val="0"/>
          <w:color w:val="22307C"/>
          <w:sz w:val="32"/>
        </w:rPr>
        <w:t>7. Metodología</w:t>
      </w:r>
    </w:p>
    <w:p>
      <w:pPr>
        <w:spacing w:before="240" w:after="120"/>
      </w:pPr>
      <w:r>
        <w:rPr>
          <w:rFonts w:ascii="Inter" w:hAnsi="Inter" w:cs="Inter"/>
          <w:b/>
          <w:i w:val="0"/>
          <w:color w:val="1C1E2E"/>
          <w:sz w:val="26"/>
        </w:rPr>
        <w:t>7.1 Diseño</w:t>
      </w:r>
    </w:p>
    <w:p>
      <w:r>
        <w:rPr>
          <w:rFonts w:ascii="Inter" w:hAnsi="Inter" w:cs="Inter"/>
          <w:b/>
          <w:i w:val="0"/>
          <w:color w:val="1C1E2E"/>
          <w:sz w:val="22"/>
        </w:rPr>
        <w:t>Investigación basada en diseño (DBR) con validación en producción.</w:t>
      </w:r>
      <w:r>
        <w:rPr>
          <w:rFonts w:ascii="Inter" w:hAnsi="Inter" w:cs="Inter"/>
          <w:b w:val="0"/>
          <w:i w:val="0"/>
          <w:color w:val="1C1E2E"/>
          <w:sz w:val="22"/>
        </w:rPr>
        <w:t xml:space="preserve"> El objeto es a la vez un artefacto (el módulo) y un conocimiento (los principios que lo sostienen). Que el Tier 1 esté </w:t>
      </w:r>
      <w:r>
        <w:rPr>
          <w:rFonts w:ascii="Inter" w:hAnsi="Inter" w:cs="Inter"/>
          <w:b/>
          <w:i w:val="0"/>
          <w:color w:val="1C1E2E"/>
          <w:sz w:val="22"/>
        </w:rPr>
        <w:t>ya desplegado</w:t>
      </w:r>
      <w:r>
        <w:rPr>
          <w:rFonts w:ascii="Inter" w:hAnsi="Inter" w:cs="Inter"/>
          <w:b w:val="0"/>
          <w:i w:val="0"/>
          <w:color w:val="1C1E2E"/>
          <w:sz w:val="22"/>
        </w:rPr>
        <w:t xml:space="preserve"> distingue esta propuesta de un estudio de laboratorio: los datos de validez proceden de uso real, no de simulaciones.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Ciclo</w:t>
            </w:r>
          </w:p>
        </w:tc>
        <w:tc>
          <w:tcPr>
            <w:tcW w:type="dxa" w:w="2412"/>
            <w:shd w:val="clear" w:color="auto" w:fill="EEF2FD"/>
          </w:tcPr>
          <w:p>
            <w:pPr>
              <w:spacing w:after="40"/>
            </w:pPr>
            <w:r/>
            <w:r>
              <w:rPr>
                <w:rFonts w:ascii="Inter" w:hAnsi="Inter" w:cs="Inter"/>
                <w:b/>
                <w:i w:val="0"/>
                <w:color w:val="22307C"/>
                <w:sz w:val="19"/>
              </w:rPr>
              <w:t>Foco</w:t>
            </w:r>
          </w:p>
        </w:tc>
        <w:tc>
          <w:tcPr>
            <w:tcW w:type="dxa" w:w="2412"/>
            <w:shd w:val="clear" w:color="auto" w:fill="EEF2FD"/>
          </w:tcPr>
          <w:p>
            <w:pPr>
              <w:spacing w:after="40"/>
            </w:pPr>
            <w:r/>
            <w:r>
              <w:rPr>
                <w:rFonts w:ascii="Inter" w:hAnsi="Inter" w:cs="Inter"/>
                <w:b/>
                <w:i w:val="0"/>
                <w:color w:val="22307C"/>
                <w:sz w:val="19"/>
              </w:rPr>
              <w:t>Objetivos</w:t>
            </w:r>
          </w:p>
        </w:tc>
        <w:tc>
          <w:tcPr>
            <w:tcW w:type="dxa" w:w="2412"/>
            <w:shd w:val="clear" w:color="auto" w:fill="EEF2FD"/>
          </w:tcPr>
          <w:p>
            <w:pPr>
              <w:spacing w:after="40"/>
            </w:pPr>
            <w:r/>
            <w:r>
              <w:rPr>
                <w:rFonts w:ascii="Inter" w:hAnsi="Inter" w:cs="Inter"/>
                <w:b/>
                <w:i w:val="0"/>
                <w:color w:val="22307C"/>
                <w:sz w:val="19"/>
              </w:rPr>
              <w:t>Métodos</w:t>
            </w:r>
          </w:p>
        </w:tc>
      </w:tr>
      <w:tr>
        <w:tc>
          <w:tcPr>
            <w:tcW w:type="dxa" w:w="2412"/>
          </w:tcPr>
          <w:p>
            <w:pPr>
              <w:spacing w:after="40"/>
            </w:pPr>
            <w:r/>
            <w:r>
              <w:rPr>
                <w:rFonts w:ascii="Inter" w:hAnsi="Inter" w:cs="Inter"/>
                <w:b/>
                <w:i w:val="0"/>
                <w:color w:val="1C1E2E"/>
                <w:sz w:val="19"/>
              </w:rPr>
              <w:t>C1 — Formalización y validez del Tier 1</w:t>
            </w:r>
          </w:p>
        </w:tc>
        <w:tc>
          <w:tcPr>
            <w:tcW w:type="dxa" w:w="2412"/>
          </w:tcPr>
          <w:p>
            <w:pPr>
              <w:spacing w:after="40"/>
            </w:pPr>
            <w:r/>
            <w:r>
              <w:rPr>
                <w:rFonts w:ascii="Inter" w:hAnsi="Inter" w:cs="Inter"/>
                <w:b w:val="0"/>
                <w:i w:val="0"/>
                <w:color w:val="1C1E2E"/>
                <w:sz w:val="19"/>
              </w:rPr>
              <w:t>El método y la medida que ya existe</w:t>
            </w:r>
          </w:p>
        </w:tc>
        <w:tc>
          <w:tcPr>
            <w:tcW w:type="dxa" w:w="2412"/>
          </w:tcPr>
          <w:p>
            <w:pPr>
              <w:spacing w:after="40"/>
            </w:pPr>
            <w:r/>
            <w:r>
              <w:rPr>
                <w:rFonts w:ascii="Inter" w:hAnsi="Inter" w:cs="Inter"/>
                <w:b w:val="0"/>
                <w:i w:val="0"/>
                <w:color w:val="1C1E2E"/>
                <w:sz w:val="19"/>
              </w:rPr>
              <w:t>O1, O2, O5</w:t>
            </w:r>
          </w:p>
        </w:tc>
        <w:tc>
          <w:tcPr>
            <w:tcW w:type="dxa" w:w="2412"/>
          </w:tcPr>
          <w:p>
            <w:pPr>
              <w:spacing w:after="40"/>
            </w:pPr>
            <w:r/>
            <w:r>
              <w:rPr>
                <w:rFonts w:ascii="Inter" w:hAnsi="Inter" w:cs="Inter"/>
                <w:b w:val="0"/>
                <w:i w:val="0"/>
                <w:color w:val="1C1E2E"/>
                <w:sz w:val="19"/>
              </w:rPr>
              <w:t xml:space="preserve">Formalización de ambos pilares; </w:t>
            </w:r>
            <w:r>
              <w:rPr>
                <w:rFonts w:ascii="Inter" w:hAnsi="Inter" w:cs="Inter"/>
                <w:b/>
                <w:i w:val="0"/>
                <w:color w:val="1C1E2E"/>
                <w:sz w:val="19"/>
              </w:rPr>
              <w:t>panel Delphi</w:t>
            </w:r>
            <w:r>
              <w:rPr>
                <w:rFonts w:ascii="Inter" w:hAnsi="Inter" w:cs="Inter"/>
                <w:b w:val="0"/>
                <w:i w:val="0"/>
                <w:color w:val="1C1E2E"/>
                <w:sz w:val="19"/>
              </w:rPr>
              <w:t xml:space="preserve"> sobre el contrato de diseño; </w:t>
            </w:r>
            <w:r>
              <w:rPr>
                <w:rFonts w:ascii="Inter" w:hAnsi="Inter" w:cs="Inter"/>
                <w:b/>
                <w:i w:val="0"/>
                <w:color w:val="1C1E2E"/>
                <w:sz w:val="19"/>
              </w:rPr>
              <w:t>prueba de equivalencia</w:t>
            </w:r>
            <w:r>
              <w:rPr>
                <w:rFonts w:ascii="Inter" w:hAnsi="Inter" w:cs="Inter"/>
                <w:b w:val="0"/>
                <w:i w:val="0"/>
                <w:color w:val="1C1E2E"/>
                <w:sz w:val="19"/>
              </w:rPr>
              <w:t xml:space="preserve"> con diseñadoras independientes; muestreo de sesiones del LRS; </w:t>
            </w:r>
            <w:r>
              <w:rPr>
                <w:rFonts w:ascii="Inter" w:hAnsi="Inter" w:cs="Inter"/>
                <w:b/>
                <w:i w:val="0"/>
                <w:color w:val="1C1E2E"/>
                <w:sz w:val="19"/>
              </w:rPr>
              <w:t>doble evaluación humana experta</w:t>
            </w:r>
            <w:r>
              <w:rPr>
                <w:rFonts w:ascii="Inter" w:hAnsi="Inter" w:cs="Inter"/>
                <w:b w:val="0"/>
                <w:i w:val="0"/>
                <w:color w:val="1C1E2E"/>
                <w:sz w:val="19"/>
              </w:rPr>
              <w:t xml:space="preserve"> con acuerdo interjueces; test-retest; sensibilidad al modelo; auditoría de integridad</w:t>
            </w:r>
          </w:p>
        </w:tc>
      </w:tr>
      <w:tr>
        <w:tc>
          <w:tcPr>
            <w:tcW w:type="dxa" w:w="2412"/>
          </w:tcPr>
          <w:p>
            <w:pPr>
              <w:spacing w:after="40"/>
            </w:pPr>
            <w:r/>
            <w:r>
              <w:rPr>
                <w:rFonts w:ascii="Inter" w:hAnsi="Inter" w:cs="Inter"/>
                <w:b/>
                <w:i w:val="0"/>
                <w:color w:val="1C1E2E"/>
                <w:sz w:val="19"/>
              </w:rPr>
              <w:t>C2 — Instrumentación y feedback</w:t>
            </w:r>
          </w:p>
        </w:tc>
        <w:tc>
          <w:tcPr>
            <w:tcW w:type="dxa" w:w="2412"/>
          </w:tcPr>
          <w:p>
            <w:pPr>
              <w:spacing w:after="40"/>
            </w:pPr>
            <w:r/>
            <w:r>
              <w:rPr>
                <w:rFonts w:ascii="Inter" w:hAnsi="Inter" w:cs="Inter"/>
                <w:b w:val="0"/>
                <w:i w:val="0"/>
                <w:color w:val="1C1E2E"/>
                <w:sz w:val="19"/>
              </w:rPr>
              <w:t>Pronunciación Tier 2 + noticing</w:t>
            </w:r>
          </w:p>
        </w:tc>
        <w:tc>
          <w:tcPr>
            <w:tcW w:type="dxa" w:w="2412"/>
          </w:tcPr>
          <w:p>
            <w:pPr>
              <w:spacing w:after="40"/>
            </w:pPr>
            <w:r/>
            <w:r>
              <w:rPr>
                <w:rFonts w:ascii="Inter" w:hAnsi="Inter" w:cs="Inter"/>
                <w:b w:val="0"/>
                <w:i w:val="0"/>
                <w:color w:val="1C1E2E"/>
                <w:sz w:val="19"/>
              </w:rPr>
              <w:t>O3</w:t>
            </w:r>
          </w:p>
        </w:tc>
        <w:tc>
          <w:tcPr>
            <w:tcW w:type="dxa" w:w="2412"/>
          </w:tcPr>
          <w:p>
            <w:pPr>
              <w:spacing w:after="40"/>
            </w:pPr>
            <w:r/>
            <w:r>
              <w:rPr>
                <w:rFonts w:ascii="Inter" w:hAnsi="Inter" w:cs="Inter"/>
                <w:b w:val="0"/>
                <w:i w:val="0"/>
                <w:color w:val="1C1E2E"/>
                <w:sz w:val="19"/>
              </w:rPr>
              <w:t xml:space="preserve">Integración de la capa acústica; validez concurrente frente a juicio de inteligibilidad; estudio del </w:t>
            </w:r>
            <w:r>
              <w:rPr>
                <w:rFonts w:ascii="Inter" w:hAnsi="Inter" w:cs="Inter"/>
                <w:b w:val="0"/>
                <w:i/>
                <w:color w:val="1C1E2E"/>
                <w:sz w:val="19"/>
              </w:rPr>
              <w:t>uptake</w:t>
            </w:r>
            <w:r>
              <w:rPr>
                <w:rFonts w:ascii="Inter" w:hAnsi="Inter" w:cs="Inter"/>
                <w:b w:val="0"/>
                <w:i w:val="0"/>
                <w:color w:val="1C1E2E"/>
                <w:sz w:val="19"/>
              </w:rPr>
              <w:t xml:space="preserve"> con condiciones de saliencia contrastadas; </w:t>
            </w:r>
            <w:r>
              <w:rPr>
                <w:rFonts w:ascii="Inter" w:hAnsi="Inter" w:cs="Inter"/>
                <w:b w:val="0"/>
                <w:i/>
                <w:color w:val="1C1E2E"/>
                <w:sz w:val="19"/>
              </w:rPr>
              <w:t>think-aloud</w:t>
            </w:r>
          </w:p>
        </w:tc>
      </w:tr>
      <w:tr>
        <w:tc>
          <w:tcPr>
            <w:tcW w:type="dxa" w:w="2412"/>
          </w:tcPr>
          <w:p>
            <w:pPr>
              <w:spacing w:after="40"/>
            </w:pPr>
            <w:r/>
            <w:r>
              <w:rPr>
                <w:rFonts w:ascii="Inter" w:hAnsi="Inter" w:cs="Inter"/>
                <w:b/>
                <w:i w:val="0"/>
                <w:color w:val="1C1E2E"/>
                <w:sz w:val="19"/>
              </w:rPr>
              <w:t>C3 — Tier 3 y replicabilidad</w:t>
            </w:r>
          </w:p>
        </w:tc>
        <w:tc>
          <w:tcPr>
            <w:tcW w:type="dxa" w:w="2412"/>
          </w:tcPr>
          <w:p>
            <w:pPr>
              <w:spacing w:after="40"/>
            </w:pPr>
            <w:r/>
            <w:r>
              <w:rPr>
                <w:rFonts w:ascii="Inter" w:hAnsi="Inter" w:cs="Inter"/>
                <w:b w:val="0"/>
                <w:i w:val="0"/>
                <w:color w:val="1C1E2E"/>
                <w:sz w:val="19"/>
              </w:rPr>
              <w:t>La contribución fonémica y la prueba del método</w:t>
            </w:r>
          </w:p>
        </w:tc>
        <w:tc>
          <w:tcPr>
            <w:tcW w:type="dxa" w:w="2412"/>
          </w:tcPr>
          <w:p>
            <w:pPr>
              <w:spacing w:after="40"/>
            </w:pPr>
            <w:r/>
            <w:r>
              <w:rPr>
                <w:rFonts w:ascii="Inter" w:hAnsi="Inter" w:cs="Inter"/>
                <w:b w:val="0"/>
                <w:i w:val="0"/>
                <w:color w:val="1C1E2E"/>
                <w:sz w:val="19"/>
              </w:rPr>
              <w:t>O4, O6</w:t>
            </w:r>
          </w:p>
        </w:tc>
        <w:tc>
          <w:tcPr>
            <w:tcW w:type="dxa" w:w="2412"/>
          </w:tcPr>
          <w:p>
            <w:pPr>
              <w:spacing w:after="40"/>
            </w:pPr>
            <w:r/>
            <w:r>
              <w:rPr>
                <w:rFonts w:ascii="Inter" w:hAnsi="Inter" w:cs="Inter"/>
                <w:b w:val="0"/>
                <w:i w:val="0"/>
                <w:color w:val="1C1E2E"/>
                <w:sz w:val="19"/>
              </w:rPr>
              <w:t xml:space="preserve">Inventario IPA por nivel; GOP a medida; validación fonémica; </w:t>
            </w:r>
            <w:r>
              <w:rPr>
                <w:rFonts w:ascii="Inter" w:hAnsi="Inter" w:cs="Inter"/>
                <w:b/>
                <w:i w:val="0"/>
                <w:color w:val="1C1E2E"/>
                <w:sz w:val="19"/>
              </w:rPr>
              <w:t>prueba de replicabilidad end-to-end</w:t>
            </w:r>
            <w:r>
              <w:rPr>
                <w:rFonts w:ascii="Inter" w:hAnsi="Inter" w:cs="Inter"/>
                <w:b w:val="0"/>
                <w:i w:val="0"/>
                <w:color w:val="1C1E2E"/>
                <w:sz w:val="19"/>
              </w:rPr>
              <w:t xml:space="preserve"> (diseño + medición) con equipo independiente rellenando un pack; publicación del perfil xAPI</w:t>
            </w:r>
          </w:p>
        </w:tc>
      </w:tr>
    </w:tbl>
    <w:p/>
    <w:p>
      <w:pPr>
        <w:spacing w:before="240" w:after="120"/>
      </w:pPr>
      <w:r>
        <w:rPr>
          <w:rFonts w:ascii="Inter" w:hAnsi="Inter" w:cs="Inter"/>
          <w:b/>
          <w:i w:val="0"/>
          <w:color w:val="1C1E2E"/>
          <w:sz w:val="26"/>
        </w:rPr>
        <w:t>7.2 Datos e instrumentos</w:t>
      </w:r>
    </w:p>
    <w:p>
      <w:pPr>
        <w:pStyle w:val="ListBullet"/>
        <w:spacing w:after="60"/>
        <w:ind w:left="403"/>
      </w:pPr>
      <w:r>
        <w:rPr>
          <w:rFonts w:ascii="Inter" w:hAnsi="Inter" w:cs="Inter"/>
          <w:b/>
          <w:i w:val="0"/>
          <w:color w:val="1C1E2E"/>
          <w:sz w:val="22"/>
        </w:rPr>
        <w:t>Evidencia de aprendizaje:</w:t>
      </w:r>
      <w:r>
        <w:rPr>
          <w:rFonts w:ascii="Inter" w:hAnsi="Inter" w:cs="Inter"/>
          <w:b w:val="0"/>
          <w:i w:val="0"/>
          <w:color w:val="1C1E2E"/>
          <w:sz w:val="22"/>
        </w:rPr>
        <w:t xml:space="preserve"> sentencias </w:t>
      </w:r>
      <w:r>
        <w:rPr>
          <w:rFonts w:ascii="Inter" w:hAnsi="Inter" w:cs="Inter"/>
          <w:b/>
          <w:i w:val="0"/>
          <w:color w:val="1C1E2E"/>
          <w:sz w:val="22"/>
        </w:rPr>
        <w:t>xAPI</w:t>
      </w:r>
      <w:r>
        <w:rPr>
          <w:rFonts w:ascii="Inter" w:hAnsi="Inter" w:cs="Inter"/>
          <w:b w:val="0"/>
          <w:i w:val="0"/>
          <w:color w:val="1C1E2E"/>
          <w:sz w:val="22"/>
        </w:rPr>
        <w:t xml:space="preserve"> en un </w:t>
      </w:r>
      <w:r>
        <w:rPr>
          <w:rFonts w:ascii="Inter" w:hAnsi="Inter" w:cs="Inter"/>
          <w:b/>
          <w:i w:val="0"/>
          <w:color w:val="1C1E2E"/>
          <w:sz w:val="22"/>
        </w:rPr>
        <w:t>LRS</w:t>
      </w:r>
      <w:r>
        <w:rPr>
          <w:rFonts w:ascii="Inter" w:hAnsi="Inter" w:cs="Inter"/>
          <w:b w:val="0"/>
          <w:i w:val="0"/>
          <w:color w:val="1C1E2E"/>
          <w:sz w:val="22"/>
        </w:rPr>
        <w:t xml:space="preserve"> (Veracity), </w:t>
      </w:r>
      <w:r>
        <w:rPr>
          <w:rFonts w:ascii="Inter" w:hAnsi="Inter" w:cs="Inter"/>
          <w:b/>
          <w:i w:val="0"/>
          <w:color w:val="1C1E2E"/>
          <w:sz w:val="22"/>
        </w:rPr>
        <w:t>actor seudónimo</w:t>
      </w:r>
      <w:r>
        <w:rPr>
          <w:rFonts w:ascii="Inter" w:hAnsi="Inter" w:cs="Inter"/>
          <w:b w:val="0"/>
          <w:i w:val="0"/>
          <w:color w:val="1C1E2E"/>
          <w:sz w:val="22"/>
        </w:rPr>
        <w:t xml:space="preserve">, dos flujos separados (medición / pedagogía), puerta ASR 0.70, y las extensiones </w:t>
      </w:r>
      <w:r>
        <w:rPr>
          <w:rFonts w:ascii="Consolas" w:hAnsi="Consolas" w:cs="Consolas"/>
          <w:b w:val="0"/>
          <w:i w:val="0"/>
          <w:color w:val="5B5F77"/>
          <w:sz w:val="21"/>
        </w:rPr>
        <w:t>ext/effective-time</w:t>
      </w:r>
      <w:r>
        <w:rPr>
          <w:rFonts w:ascii="Inter" w:hAnsi="Inter" w:cs="Inter"/>
          <w:b w:val="0"/>
          <w:i w:val="0"/>
          <w:color w:val="1C1E2E"/>
          <w:sz w:val="22"/>
        </w:rPr>
        <w:t xml:space="preserve">, </w:t>
      </w:r>
      <w:r>
        <w:rPr>
          <w:rFonts w:ascii="Consolas" w:hAnsi="Consolas" w:cs="Consolas"/>
          <w:b w:val="0"/>
          <w:i w:val="0"/>
          <w:color w:val="5B5F77"/>
          <w:sz w:val="21"/>
        </w:rPr>
        <w:t>ext/measure-model</w:t>
      </w:r>
      <w:r>
        <w:rPr>
          <w:rFonts w:ascii="Inter" w:hAnsi="Inter" w:cs="Inter"/>
          <w:b w:val="0"/>
          <w:i w:val="0"/>
          <w:color w:val="1C1E2E"/>
          <w:sz w:val="22"/>
        </w:rPr>
        <w:t xml:space="preserve">, </w:t>
      </w:r>
      <w:r>
        <w:rPr>
          <w:rFonts w:ascii="Consolas" w:hAnsi="Consolas" w:cs="Consolas"/>
          <w:b w:val="0"/>
          <w:i w:val="0"/>
          <w:color w:val="5B5F77"/>
          <w:sz w:val="21"/>
        </w:rPr>
        <w:t>ext/srs-schedule</w:t>
      </w:r>
      <w:r>
        <w:rPr>
          <w:rFonts w:ascii="Inter" w:hAnsi="Inter" w:cs="Inter"/>
          <w:b w:val="0"/>
          <w:i w:val="0"/>
          <w:color w:val="1C1E2E"/>
          <w:sz w:val="22"/>
        </w:rPr>
        <w:t xml:space="preserve">, </w:t>
      </w:r>
      <w:r>
        <w:rPr>
          <w:rFonts w:ascii="Consolas" w:hAnsi="Consolas" w:cs="Consolas"/>
          <w:b w:val="0"/>
          <w:i w:val="0"/>
          <w:color w:val="5B5F77"/>
          <w:sz w:val="21"/>
        </w:rPr>
        <w:t>ext/learning-target</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Criterio humano:</w:t>
      </w:r>
      <w:r>
        <w:rPr>
          <w:rFonts w:ascii="Inter" w:hAnsi="Inter" w:cs="Inter"/>
          <w:b w:val="0"/>
          <w:i w:val="0"/>
          <w:color w:val="1C1E2E"/>
          <w:sz w:val="22"/>
        </w:rPr>
        <w:t xml:space="preserve"> panel de evaluadores expertos con formación MCER, doble corrección ciega sobre una submuestra y acuerdo reportado.</w:t>
      </w:r>
    </w:p>
    <w:p>
      <w:pPr>
        <w:pStyle w:val="ListBullet"/>
        <w:spacing w:after="60"/>
        <w:ind w:left="403"/>
      </w:pPr>
      <w:r>
        <w:rPr>
          <w:rFonts w:ascii="Inter" w:hAnsi="Inter" w:cs="Inter"/>
          <w:b/>
          <w:i w:val="0"/>
          <w:color w:val="1C1E2E"/>
          <w:sz w:val="22"/>
        </w:rPr>
        <w:t>Pronunciación:</w:t>
      </w:r>
      <w:r>
        <w:rPr>
          <w:rFonts w:ascii="Inter" w:hAnsi="Inter" w:cs="Inter"/>
          <w:b w:val="0"/>
          <w:i w:val="0"/>
          <w:color w:val="1C1E2E"/>
          <w:sz w:val="22"/>
        </w:rPr>
        <w:t xml:space="preserve"> juicios humanos de inteligibilidad como criterio externo para los Tiers 2 y 3.</w:t>
      </w:r>
    </w:p>
    <w:p>
      <w:pPr>
        <w:pStyle w:val="ListBullet"/>
        <w:spacing w:after="60"/>
        <w:ind w:left="403"/>
      </w:pPr>
      <w:r>
        <w:rPr>
          <w:rFonts w:ascii="Inter" w:hAnsi="Inter" w:cs="Inter"/>
          <w:b/>
          <w:i w:val="0"/>
          <w:color w:val="1C1E2E"/>
          <w:sz w:val="22"/>
        </w:rPr>
        <w:t>Auditoría de integridad:</w:t>
      </w:r>
      <w:r>
        <w:rPr>
          <w:rFonts w:ascii="Inter" w:hAnsi="Inter" w:cs="Inter"/>
          <w:b w:val="0"/>
          <w:i w:val="0"/>
          <w:color w:val="1C1E2E"/>
          <w:sz w:val="22"/>
        </w:rPr>
        <w:t xml:space="preserve"> auditoría de medición con matriz de hallazgos, un </w:t>
      </w:r>
      <w:r>
        <w:rPr>
          <w:rFonts w:ascii="Inter" w:hAnsi="Inter" w:cs="Inter"/>
          <w:b/>
          <w:i w:val="0"/>
          <w:color w:val="1C1E2E"/>
          <w:sz w:val="22"/>
        </w:rPr>
        <w:t>*«H0 watchdog»</w:t>
      </w:r>
      <w:r>
        <w:rPr>
          <w:rFonts w:ascii="Inter" w:hAnsi="Inter" w:cs="Inter"/>
          <w:b w:val="0"/>
          <w:i/>
          <w:color w:val="1C1E2E"/>
          <w:sz w:val="22"/>
        </w:rPr>
        <w:t xml:space="preserve"> que verifica que </w:t>
      </w:r>
      <w:r>
        <w:rPr>
          <w:rFonts w:ascii="Inter" w:hAnsi="Inter" w:cs="Inter"/>
          <w:b w:val="0"/>
          <w:i/>
          <w:color w:val="1C1E2E"/>
          <w:sz w:val="22"/>
        </w:rPr>
        <w:t>ningún descriptor se pinte como si fuera una banda</w:t>
      </w:r>
      <w:r>
        <w:rPr>
          <w:rFonts w:ascii="Inter" w:hAnsi="Inter" w:cs="Inter"/>
          <w:b w:val="0"/>
          <w:i w:val="0"/>
          <w:color w:val="1C1E2E"/>
          <w:sz w:val="22"/>
        </w:rPr>
        <w:t>*, y verificación en producción.</w:t>
      </w:r>
    </w:p>
    <w:p>
      <w:pPr>
        <w:pStyle w:val="ListBullet"/>
        <w:spacing w:after="60"/>
        <w:ind w:left="403"/>
      </w:pPr>
      <w:r>
        <w:rPr>
          <w:rFonts w:ascii="Inter" w:hAnsi="Inter" w:cs="Inter"/>
          <w:b/>
          <w:i w:val="0"/>
          <w:color w:val="1C1E2E"/>
          <w:sz w:val="22"/>
        </w:rPr>
        <w:t>Instrumentos de transferencia:</w:t>
      </w:r>
      <w:r>
        <w:rPr>
          <w:rFonts w:ascii="Inter" w:hAnsi="Inter" w:cs="Inter"/>
          <w:b w:val="0"/>
          <w:i w:val="0"/>
          <w:color w:val="1C1E2E"/>
          <w:sz w:val="22"/>
        </w:rPr>
        <w:t xml:space="preserve"> informes por persona (aprendiz / docente / RR. HH.) bajo marco Kirkpatrick y Phillips, con alineación </w:t>
      </w:r>
      <w:r>
        <w:rPr>
          <w:rFonts w:ascii="Inter" w:hAnsi="Inter" w:cs="Inter"/>
          <w:b/>
          <w:i w:val="0"/>
          <w:color w:val="1C1E2E"/>
          <w:sz w:val="22"/>
        </w:rPr>
        <w:t>ESCO</w:t>
      </w:r>
      <w:r>
        <w:rPr>
          <w:rFonts w:ascii="Inter" w:hAnsi="Inter" w:cs="Inter"/>
          <w:b w:val="0"/>
          <w:i w:val="0"/>
          <w:color w:val="1C1E2E"/>
          <w:sz w:val="22"/>
        </w:rPr>
        <w:t xml:space="preserve"> opcional.</w:t>
      </w:r>
    </w:p>
    <w:p>
      <w:pPr>
        <w:spacing w:before="240" w:after="120"/>
      </w:pPr>
      <w:r>
        <w:rPr>
          <w:rFonts w:ascii="Inter" w:hAnsi="Inter" w:cs="Inter"/>
          <w:b/>
          <w:i w:val="0"/>
          <w:color w:val="1C1E2E"/>
          <w:sz w:val="26"/>
        </w:rPr>
        <w:t>7.3 Análisis</w:t>
      </w:r>
    </w:p>
    <w:p>
      <w:r>
        <w:rPr>
          <w:rFonts w:ascii="Inter" w:hAnsi="Inter" w:cs="Inter"/>
          <w:b w:val="0"/>
          <w:i w:val="0"/>
          <w:color w:val="1C1E2E"/>
          <w:sz w:val="22"/>
        </w:rPr>
        <w:t xml:space="preserve">Fiabilidad interjueces (CCI, κ ponderado) y acuerdo LLM–humano; estabilidad test-retest; modelos mixtos para el efecto de la condición de saliencia sobre el </w:t>
      </w:r>
      <w:r>
        <w:rPr>
          <w:rFonts w:ascii="Inter" w:hAnsi="Inter" w:cs="Inter"/>
          <w:b w:val="0"/>
          <w:i/>
          <w:color w:val="1C1E2E"/>
          <w:sz w:val="22"/>
        </w:rPr>
        <w:t>uptake</w:t>
      </w:r>
      <w:r>
        <w:rPr>
          <w:rFonts w:ascii="Inter" w:hAnsi="Inter" w:cs="Inter"/>
          <w:b w:val="0"/>
          <w:i w:val="0"/>
          <w:color w:val="1C1E2E"/>
          <w:sz w:val="22"/>
        </w:rPr>
        <w:t xml:space="preserve">, con el centro como efecto aleatorio; validez concurrente por tier con intervalos de confianza; análisis de secuencias sobre xAPI para reconstruir trayectorias reales; análisis temático de los </w:t>
      </w:r>
      <w:r>
        <w:rPr>
          <w:rFonts w:ascii="Inter" w:hAnsi="Inter" w:cs="Inter"/>
          <w:b w:val="0"/>
          <w:i/>
          <w:color w:val="1C1E2E"/>
          <w:sz w:val="22"/>
        </w:rPr>
        <w:t>think-aloud</w:t>
      </w:r>
      <w:r>
        <w:rPr>
          <w:rFonts w:ascii="Inter" w:hAnsi="Inter" w:cs="Inter"/>
          <w:b w:val="0"/>
          <w:i w:val="0"/>
          <w:color w:val="1C1E2E"/>
          <w:sz w:val="22"/>
        </w:rPr>
        <w:t xml:space="preserve">. </w:t>
      </w:r>
      <w:r>
        <w:rPr>
          <w:rFonts w:ascii="Inter" w:hAnsi="Inter" w:cs="Inter"/>
          <w:b/>
          <w:i w:val="0"/>
          <w:color w:val="1C1E2E"/>
          <w:sz w:val="22"/>
        </w:rPr>
        <w:t>Preinscripción</w:t>
      </w:r>
      <w:r>
        <w:rPr>
          <w:rFonts w:ascii="Inter" w:hAnsi="Inter" w:cs="Inter"/>
          <w:b w:val="0"/>
          <w:i w:val="0"/>
          <w:color w:val="1C1E2E"/>
          <w:sz w:val="22"/>
        </w:rPr>
        <w:t xml:space="preserve"> del plan analítico de cada ciclo antes de la recogida.</w:t>
      </w:r>
    </w:p>
    <w:p>
      <w:pPr>
        <w:spacing w:before="240" w:after="120"/>
      </w:pPr>
      <w:r>
        <w:rPr>
          <w:rFonts w:ascii="Inter" w:hAnsi="Inter" w:cs="Inter"/>
          <w:b/>
          <w:i w:val="0"/>
          <w:color w:val="1C1E2E"/>
          <w:sz w:val="26"/>
        </w:rPr>
        <w:t>7.4 Ética y cumplimiento</w:t>
      </w:r>
    </w:p>
    <w:p>
      <w:pPr>
        <w:pStyle w:val="ListNumber"/>
        <w:spacing w:after="60"/>
        <w:ind w:left="403"/>
      </w:pPr>
      <w:r>
        <w:rPr>
          <w:rFonts w:ascii="Inter" w:hAnsi="Inter" w:cs="Inter"/>
          <w:b/>
          <w:i w:val="0"/>
          <w:color w:val="1C1E2E"/>
          <w:sz w:val="22"/>
        </w:rPr>
        <w:t>RGPD</w:t>
      </w:r>
      <w:r>
        <w:rPr>
          <w:rFonts w:ascii="Inter" w:hAnsi="Inter" w:cs="Inter"/>
          <w:b w:val="0"/>
          <w:i w:val="0"/>
          <w:color w:val="1C1E2E"/>
          <w:sz w:val="22"/>
        </w:rPr>
        <w:t xml:space="preserve"> (Reg. UE 2016/679): datos personales fuera del modelo y del LRS; seudonimización en origen; medición sobre servicio de pago </w:t>
      </w:r>
      <w:r>
        <w:rPr>
          <w:rFonts w:ascii="Inter" w:hAnsi="Inter" w:cs="Inter"/>
          <w:b/>
          <w:i w:val="0"/>
          <w:color w:val="1C1E2E"/>
          <w:sz w:val="22"/>
        </w:rPr>
        <w:t>sin entrenamiento</w:t>
      </w:r>
      <w:r>
        <w:rPr>
          <w:rFonts w:ascii="Inter" w:hAnsi="Inter" w:cs="Inter"/>
          <w:b w:val="0"/>
          <w:i w:val="0"/>
          <w:color w:val="1C1E2E"/>
          <w:sz w:val="22"/>
        </w:rPr>
        <w:t xml:space="preserve"> con los datos.</w:t>
      </w:r>
    </w:p>
    <w:p>
      <w:pPr>
        <w:pStyle w:val="ListNumber"/>
        <w:spacing w:after="60"/>
        <w:ind w:left="403"/>
      </w:pPr>
      <w:r>
        <w:rPr>
          <w:rFonts w:ascii="Inter" w:hAnsi="Inter" w:cs="Inter"/>
          <w:b/>
          <w:i w:val="0"/>
          <w:color w:val="1C1E2E"/>
          <w:sz w:val="22"/>
        </w:rPr>
        <w:t>Ley de IA de la UE, art. 50</w:t>
      </w:r>
      <w:r>
        <w:rPr>
          <w:rFonts w:ascii="Inter" w:hAnsi="Inter" w:cs="Inter"/>
          <w:b w:val="0"/>
          <w:i w:val="0"/>
          <w:color w:val="1C1E2E"/>
          <w:sz w:val="22"/>
        </w:rPr>
        <w:t xml:space="preserve"> (Reg. UE 2024/1689): el agente se declara como IA ante el aprendiz; el contenido asistido o generado se etiqueta.</w:t>
      </w:r>
    </w:p>
    <w:p>
      <w:pPr>
        <w:pStyle w:val="ListNumber"/>
        <w:spacing w:after="60"/>
        <w:ind w:left="403"/>
      </w:pPr>
      <w:r>
        <w:rPr>
          <w:rFonts w:ascii="Inter" w:hAnsi="Inter" w:cs="Inter"/>
          <w:b/>
          <w:i w:val="0"/>
          <w:color w:val="1C1E2E"/>
          <w:sz w:val="22"/>
        </w:rPr>
        <w:t>Inteligibilidad, no acento nativo:</w:t>
      </w:r>
      <w:r>
        <w:rPr>
          <w:rFonts w:ascii="Inter" w:hAnsi="Inter" w:cs="Inter"/>
          <w:b w:val="0"/>
          <w:i w:val="0"/>
          <w:color w:val="1C1E2E"/>
          <w:sz w:val="22"/>
        </w:rPr>
        <w:t xml:space="preserve"> decisión ética explícita — no penalizar variedades legítimas del inglés.</w:t>
      </w:r>
    </w:p>
    <w:p>
      <w:pPr>
        <w:pStyle w:val="ListNumber"/>
        <w:spacing w:after="60"/>
        <w:ind w:left="403"/>
      </w:pPr>
      <w:r>
        <w:rPr>
          <w:rFonts w:ascii="Inter" w:hAnsi="Inter" w:cs="Inter"/>
          <w:b/>
          <w:i w:val="0"/>
          <w:color w:val="1C1E2E"/>
          <w:sz w:val="22"/>
        </w:rPr>
        <w:t>Comité de ética</w:t>
      </w:r>
      <w:r>
        <w:rPr>
          <w:rFonts w:ascii="Inter" w:hAnsi="Inter" w:cs="Inter"/>
          <w:b w:val="0"/>
          <w:i w:val="0"/>
          <w:color w:val="1C1E2E"/>
          <w:sz w:val="22"/>
        </w:rPr>
        <w:t xml:space="preserve"> de la UPV antes del ciclo 2. Participación voluntaria y revocable; personas menores excluidas.</w:t>
      </w:r>
    </w:p>
    <w:p>
      <w:pPr>
        <w:pStyle w:val="ListNumber"/>
        <w:spacing w:after="60"/>
        <w:ind w:left="403"/>
      </w:pPr>
      <w:r>
        <w:rPr>
          <w:rFonts w:ascii="Inter" w:hAnsi="Inter" w:cs="Inter"/>
          <w:b/>
          <w:i w:val="0"/>
          <w:color w:val="1C1E2E"/>
          <w:sz w:val="22"/>
        </w:rPr>
        <w:t>Accesibilidad:</w:t>
      </w:r>
      <w:r>
        <w:rPr>
          <w:rFonts w:ascii="Inter" w:hAnsi="Inter" w:cs="Inter"/>
          <w:b w:val="0"/>
          <w:i w:val="0"/>
          <w:color w:val="1C1E2E"/>
          <w:sz w:val="22"/>
        </w:rPr>
        <w:t xml:space="preserve"> WCAG 2.1 AA en todas las superficies de la intervención.</w:t>
      </w:r>
    </w:p>
    <w:p>
      <w:pPr>
        <w:pStyle w:val="ListNumber"/>
        <w:spacing w:after="60"/>
        <w:ind w:left="403"/>
      </w:pPr>
      <w:r>
        <w:rPr>
          <w:rFonts w:ascii="Inter" w:hAnsi="Inter" w:cs="Inter"/>
          <w:b/>
          <w:i w:val="0"/>
          <w:color w:val="1C1E2E"/>
          <w:sz w:val="22"/>
        </w:rPr>
        <w:t>Propiedad intelectual:</w:t>
      </w:r>
      <w:r>
        <w:rPr>
          <w:rFonts w:ascii="Inter" w:hAnsi="Inter" w:cs="Inter"/>
          <w:b w:val="0"/>
          <w:i w:val="0"/>
          <w:color w:val="1C1E2E"/>
          <w:sz w:val="22"/>
        </w:rPr>
        <w:t xml:space="preserve"> el MCER se parafrasea y se cita, no se reproduce; Cambridge, xAPI (ADL/IEEE), IPA y ESCO se citan como estándares.</w:t>
      </w:r>
    </w:p>
    <w:p>
      <w:pPr>
        <w:spacing w:before="240" w:after="120"/>
      </w:pPr>
      <w:r>
        <w:rPr>
          <w:rFonts w:ascii="Inter" w:hAnsi="Inter" w:cs="Inter"/>
          <w:b/>
          <w:i w:val="0"/>
          <w:color w:val="1C1E2E"/>
          <w:sz w:val="26"/>
        </w:rPr>
        <w:t>7.5 Limitaciones previstas</w:t>
      </w:r>
    </w:p>
    <w:p>
      <w:r>
        <w:rPr>
          <w:rFonts w:ascii="Inter" w:hAnsi="Inter" w:cs="Inter"/>
          <w:b w:val="0"/>
          <w:i w:val="0"/>
          <w:color w:val="1C1E2E"/>
          <w:sz w:val="22"/>
        </w:rPr>
        <w:t xml:space="preserve">Dependencia de proveedores comerciales de ASR y de evaluación de pronunciación (mitigada declarando </w:t>
      </w:r>
      <w:r>
        <w:rPr>
          <w:rFonts w:ascii="Consolas" w:hAnsi="Consolas" w:cs="Consolas"/>
          <w:b w:val="0"/>
          <w:i w:val="0"/>
          <w:color w:val="5B5F77"/>
          <w:sz w:val="21"/>
        </w:rPr>
        <w:t>measure_model</w:t>
      </w:r>
      <w:r>
        <w:rPr>
          <w:rFonts w:ascii="Inter" w:hAnsi="Inter" w:cs="Inter"/>
          <w:b w:val="0"/>
          <w:i w:val="0"/>
          <w:color w:val="1C1E2E"/>
          <w:sz w:val="22"/>
        </w:rPr>
        <w:t xml:space="preserve"> por sesión y anclando el contrato al método, no al proveedor); el caso testigo es </w:t>
      </w:r>
      <w:r>
        <w:rPr>
          <w:rFonts w:ascii="Inter" w:hAnsi="Inter" w:cs="Inter"/>
          <w:b/>
          <w:i w:val="0"/>
          <w:color w:val="1C1E2E"/>
          <w:sz w:val="22"/>
        </w:rPr>
        <w:t>inglés de negocios</w:t>
      </w:r>
      <w:r>
        <w:rPr>
          <w:rFonts w:ascii="Inter" w:hAnsi="Inter" w:cs="Inter"/>
          <w:b w:val="0"/>
          <w:i w:val="0"/>
          <w:color w:val="1C1E2E"/>
          <w:sz w:val="22"/>
        </w:rPr>
        <w:t>, de modo que la generalización a otras lenguas y dominios se apoya en la prueba de packs y debe reportarse como límite de alcance; autoselección de las personas usuarias de un producto en producción; posible efecto de novedad, mitigado con medidas de seguimiento.</w:t>
      </w:r>
    </w:p>
    <w:p>
      <w:pPr>
        <w:pBdr>
          <w:bottom w:val="single" w:sz="6" w:space="1" w:color="E6E8F2"/>
        </w:pBdr>
      </w:pPr>
    </w:p>
    <w:p>
      <w:pPr>
        <w:spacing w:before="320" w:after="120"/>
      </w:pPr>
      <w:r>
        <w:rPr>
          <w:rFonts w:ascii="Fraunces" w:hAnsi="Fraunces" w:cs="Fraunces"/>
          <w:b/>
          <w:i w:val="0"/>
          <w:color w:val="22307C"/>
          <w:sz w:val="32"/>
        </w:rPr>
        <w:t>8. Plan de trabajo</w:t>
      </w:r>
    </w:p>
    <w:p>
      <w:r>
        <w:rPr>
          <w:rFonts w:ascii="Inter" w:hAnsi="Inter" w:cs="Inter"/>
          <w:b w:val="0"/>
          <w:i w:val="0"/>
          <w:color w:val="1C1E2E"/>
          <w:sz w:val="22"/>
        </w:rPr>
        <w:t xml:space="preserve">Modalidad a </w:t>
      </w:r>
      <w:r>
        <w:rPr>
          <w:rFonts w:ascii="Inter" w:hAnsi="Inter" w:cs="Inter"/>
          <w:b/>
          <w:i w:val="0"/>
          <w:color w:val="1C1E2E"/>
          <w:sz w:val="22"/>
        </w:rPr>
        <w:t>tiempo parcial, cuatro años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Año</w:t>
            </w:r>
          </w:p>
        </w:tc>
        <w:tc>
          <w:tcPr>
            <w:tcW w:type="dxa" w:w="3216"/>
            <w:shd w:val="clear" w:color="auto" w:fill="EEF2FD"/>
          </w:tcPr>
          <w:p>
            <w:pPr>
              <w:spacing w:after="40"/>
            </w:pPr>
            <w:r/>
            <w:r>
              <w:rPr>
                <w:rFonts w:ascii="Inter" w:hAnsi="Inter" w:cs="Inter"/>
                <w:b/>
                <w:i w:val="0"/>
                <w:color w:val="22307C"/>
                <w:sz w:val="19"/>
              </w:rPr>
              <w:t>Hitos</w:t>
            </w:r>
          </w:p>
        </w:tc>
        <w:tc>
          <w:tcPr>
            <w:tcW w:type="dxa" w:w="3216"/>
            <w:shd w:val="clear" w:color="auto" w:fill="EEF2FD"/>
          </w:tcPr>
          <w:p>
            <w:pPr>
              <w:spacing w:after="40"/>
            </w:pPr>
            <w:r/>
            <w:r>
              <w:rPr>
                <w:rFonts w:ascii="Inter" w:hAnsi="Inter" w:cs="Inter"/>
                <w:b/>
                <w:i w:val="0"/>
                <w:color w:val="22307C"/>
                <w:sz w:val="19"/>
              </w:rPr>
              <w:t>Entregable</w:t>
            </w:r>
          </w:p>
        </w:tc>
      </w:tr>
      <w:tr>
        <w:tc>
          <w:tcPr>
            <w:tcW w:type="dxa" w:w="3216"/>
          </w:tcPr>
          <w:p>
            <w:pPr>
              <w:spacing w:after="40"/>
            </w:pPr>
            <w:r/>
            <w:r>
              <w:rPr>
                <w:rFonts w:ascii="Inter" w:hAnsi="Inter" w:cs="Inter"/>
                <w:b/>
                <w:i w:val="0"/>
                <w:color w:val="1C1E2E"/>
                <w:sz w:val="19"/>
              </w:rPr>
              <w:t>1</w:t>
            </w:r>
          </w:p>
        </w:tc>
        <w:tc>
          <w:tcPr>
            <w:tcW w:type="dxa" w:w="3216"/>
          </w:tcPr>
          <w:p>
            <w:pPr>
              <w:spacing w:after="40"/>
            </w:pPr>
            <w:r/>
            <w:r>
              <w:rPr>
                <w:rFonts w:ascii="Inter" w:hAnsi="Inter" w:cs="Inter"/>
                <w:b w:val="0"/>
                <w:i w:val="0"/>
                <w:color w:val="1C1E2E"/>
                <w:sz w:val="19"/>
              </w:rPr>
              <w:t>Revisión sistemática; especificación formal del Módulo de Medición y del registry de escalas; diseño del estudio de validez del Tier 1; solicitud al comité de ética; convenios</w:t>
            </w:r>
          </w:p>
        </w:tc>
        <w:tc>
          <w:tcPr>
            <w:tcW w:type="dxa" w:w="3216"/>
          </w:tcPr>
          <w:p>
            <w:pPr>
              <w:spacing w:after="40"/>
            </w:pPr>
            <w:r/>
            <w:r>
              <w:rPr>
                <w:rFonts w:ascii="Inter" w:hAnsi="Inter" w:cs="Inter"/>
                <w:b w:val="0"/>
                <w:i w:val="0"/>
                <w:color w:val="1C1E2E"/>
                <w:sz w:val="19"/>
              </w:rPr>
              <w:t>Especificación v1.0 · plan de investigación aprobado</w:t>
            </w:r>
          </w:p>
        </w:tc>
      </w:tr>
      <w:tr>
        <w:tc>
          <w:tcPr>
            <w:tcW w:type="dxa" w:w="3216"/>
          </w:tcPr>
          <w:p>
            <w:pPr>
              <w:spacing w:after="40"/>
            </w:pPr>
            <w:r/>
            <w:r>
              <w:rPr>
                <w:rFonts w:ascii="Inter" w:hAnsi="Inter" w:cs="Inter"/>
                <w:b/>
                <w:i w:val="0"/>
                <w:color w:val="1C1E2E"/>
                <w:sz w:val="19"/>
              </w:rPr>
              <w:t>2</w:t>
            </w:r>
          </w:p>
        </w:tc>
        <w:tc>
          <w:tcPr>
            <w:tcW w:type="dxa" w:w="3216"/>
          </w:tcPr>
          <w:p>
            <w:pPr>
              <w:spacing w:after="40"/>
            </w:pPr>
            <w:r/>
            <w:r>
              <w:rPr>
                <w:rFonts w:ascii="Inter" w:hAnsi="Inter" w:cs="Inter"/>
                <w:b w:val="0"/>
                <w:i w:val="0"/>
                <w:color w:val="1C1E2E"/>
                <w:sz w:val="19"/>
              </w:rPr>
              <w:t>Ciclo 1 completo: muestreo del LRS, doble evaluación humana experta, test-retest, sensibilidad al modelo, auditoría de integridad</w:t>
            </w:r>
          </w:p>
        </w:tc>
        <w:tc>
          <w:tcPr>
            <w:tcW w:type="dxa" w:w="3216"/>
          </w:tcPr>
          <w:p>
            <w:pPr>
              <w:spacing w:after="40"/>
            </w:pPr>
            <w:r/>
            <w:r>
              <w:rPr>
                <w:rFonts w:ascii="Inter" w:hAnsi="Inter" w:cs="Inter"/>
                <w:b/>
                <w:i w:val="0"/>
                <w:color w:val="1C1E2E"/>
                <w:sz w:val="19"/>
              </w:rPr>
              <w:t>Artículo 1</w:t>
            </w:r>
            <w:r>
              <w:rPr>
                <w:rFonts w:ascii="Inter" w:hAnsi="Inter" w:cs="Inter"/>
                <w:b w:val="0"/>
                <w:i w:val="0"/>
                <w:color w:val="1C1E2E"/>
                <w:sz w:val="19"/>
              </w:rPr>
              <w:t xml:space="preserve"> — validez del Tier 1 · perfil xAPI v0.9</w:t>
            </w:r>
          </w:p>
        </w:tc>
      </w:tr>
      <w:tr>
        <w:tc>
          <w:tcPr>
            <w:tcW w:type="dxa" w:w="3216"/>
          </w:tcPr>
          <w:p>
            <w:pPr>
              <w:spacing w:after="40"/>
            </w:pPr>
            <w:r/>
            <w:r>
              <w:rPr>
                <w:rFonts w:ascii="Inter" w:hAnsi="Inter" w:cs="Inter"/>
                <w:b/>
                <w:i w:val="0"/>
                <w:color w:val="1C1E2E"/>
                <w:sz w:val="19"/>
              </w:rPr>
              <w:t>3</w:t>
            </w:r>
          </w:p>
        </w:tc>
        <w:tc>
          <w:tcPr>
            <w:tcW w:type="dxa" w:w="3216"/>
          </w:tcPr>
          <w:p>
            <w:pPr>
              <w:spacing w:after="40"/>
            </w:pPr>
            <w:r/>
            <w:r>
              <w:rPr>
                <w:rFonts w:ascii="Inter" w:hAnsi="Inter" w:cs="Inter"/>
                <w:b w:val="0"/>
                <w:i w:val="0"/>
                <w:color w:val="1C1E2E"/>
                <w:sz w:val="19"/>
              </w:rPr>
              <w:t xml:space="preserve">Ciclo 2: integración de la capa acústica (Tier 2), validez concurrente, estudio del </w:t>
            </w:r>
            <w:r>
              <w:rPr>
                <w:rFonts w:ascii="Inter" w:hAnsi="Inter" w:cs="Inter"/>
                <w:b w:val="0"/>
                <w:i/>
                <w:color w:val="1C1E2E"/>
                <w:sz w:val="19"/>
              </w:rPr>
              <w:t>uptake</w:t>
            </w:r>
            <w:r>
              <w:rPr>
                <w:rFonts w:ascii="Inter" w:hAnsi="Inter" w:cs="Inter"/>
                <w:b w:val="0"/>
                <w:i w:val="0"/>
                <w:color w:val="1C1E2E"/>
                <w:sz w:val="19"/>
              </w:rPr>
              <w:t xml:space="preserve"> del noticing; estancia de investigación</w:t>
            </w:r>
          </w:p>
        </w:tc>
        <w:tc>
          <w:tcPr>
            <w:tcW w:type="dxa" w:w="3216"/>
          </w:tcPr>
          <w:p>
            <w:pPr>
              <w:spacing w:after="40"/>
            </w:pPr>
            <w:r/>
            <w:r>
              <w:rPr>
                <w:rFonts w:ascii="Inter" w:hAnsi="Inter" w:cs="Inter"/>
                <w:b/>
                <w:i w:val="0"/>
                <w:color w:val="1C1E2E"/>
                <w:sz w:val="19"/>
              </w:rPr>
              <w:t>Artículo 2</w:t>
            </w:r>
            <w:r>
              <w:rPr>
                <w:rFonts w:ascii="Inter" w:hAnsi="Inter" w:cs="Inter"/>
                <w:b w:val="0"/>
                <w:i w:val="0"/>
                <w:color w:val="1C1E2E"/>
                <w:sz w:val="19"/>
              </w:rPr>
              <w:t xml:space="preserve"> — pronunciación instrumentada y noticing</w:t>
            </w:r>
          </w:p>
        </w:tc>
      </w:tr>
      <w:tr>
        <w:tc>
          <w:tcPr>
            <w:tcW w:type="dxa" w:w="3216"/>
          </w:tcPr>
          <w:p>
            <w:pPr>
              <w:spacing w:after="40"/>
            </w:pPr>
            <w:r/>
            <w:r>
              <w:rPr>
                <w:rFonts w:ascii="Inter" w:hAnsi="Inter" w:cs="Inter"/>
                <w:b/>
                <w:i w:val="0"/>
                <w:color w:val="1C1E2E"/>
                <w:sz w:val="19"/>
              </w:rPr>
              <w:t>4</w:t>
            </w:r>
          </w:p>
        </w:tc>
        <w:tc>
          <w:tcPr>
            <w:tcW w:type="dxa" w:w="3216"/>
          </w:tcPr>
          <w:p>
            <w:pPr>
              <w:spacing w:after="40"/>
            </w:pPr>
            <w:r/>
            <w:r>
              <w:rPr>
                <w:rFonts w:ascii="Inter" w:hAnsi="Inter" w:cs="Inter"/>
                <w:b w:val="0"/>
                <w:i w:val="0"/>
                <w:color w:val="1C1E2E"/>
                <w:sz w:val="19"/>
              </w:rPr>
              <w:t>Ciclo 3: inventario IPA y GOP a medida (Tier 3); prueba de replicabilidad motor + pack; redacción, depósito y defensa</w:t>
            </w:r>
          </w:p>
        </w:tc>
        <w:tc>
          <w:tcPr>
            <w:tcW w:type="dxa" w:w="3216"/>
          </w:tcPr>
          <w:p>
            <w:pPr>
              <w:spacing w:after="40"/>
            </w:pPr>
            <w:r/>
            <w:r>
              <w:rPr>
                <w:rFonts w:ascii="Inter" w:hAnsi="Inter" w:cs="Inter"/>
                <w:b/>
                <w:i w:val="0"/>
                <w:color w:val="1C1E2E"/>
                <w:sz w:val="19"/>
              </w:rPr>
              <w:t>Artículo 3</w:t>
            </w:r>
            <w:r>
              <w:rPr>
                <w:rFonts w:ascii="Inter" w:hAnsi="Inter" w:cs="Inter"/>
                <w:b w:val="0"/>
                <w:i w:val="0"/>
                <w:color w:val="1C1E2E"/>
                <w:sz w:val="19"/>
              </w:rPr>
              <w:t xml:space="preserve"> — GOP fonémico · tesis depositada · mención internacional</w:t>
            </w:r>
          </w:p>
        </w:tc>
      </w:tr>
    </w:tbl>
    <w:p/>
    <w:p>
      <w:r>
        <w:rPr>
          <w:rFonts w:ascii="Inter" w:hAnsi="Inter" w:cs="Inter"/>
          <w:b/>
          <w:i w:val="0"/>
          <w:color w:val="1C1E2E"/>
          <w:sz w:val="22"/>
        </w:rPr>
        <w:t>Mención internacional:</w:t>
      </w:r>
      <w:r>
        <w:rPr>
          <w:rFonts w:ascii="Inter" w:hAnsi="Inter" w:cs="Inter"/>
          <w:b w:val="0"/>
          <w:i w:val="0"/>
          <w:color w:val="1C1E2E"/>
          <w:sz w:val="22"/>
        </w:rPr>
        <w:t xml:space="preserve"> estancia de tres meses en el año 3 en un grupo europeo de referencia en evaluación del habla o CALL, y redacción de parte de la tesis en inglés.</w:t>
      </w:r>
    </w:p>
    <w:p>
      <w:pPr>
        <w:pBdr>
          <w:bottom w:val="single" w:sz="6" w:space="1" w:color="E6E8F2"/>
        </w:pBdr>
      </w:pPr>
    </w:p>
    <w:p>
      <w:pPr>
        <w:spacing w:before="320" w:after="120"/>
      </w:pPr>
      <w:r>
        <w:rPr>
          <w:rFonts w:ascii="Fraunces" w:hAnsi="Fraunces" w:cs="Fraunces"/>
          <w:b/>
          <w:i w:val="0"/>
          <w:color w:val="22307C"/>
          <w:sz w:val="32"/>
        </w:rPr>
        <w:t>9. Resultados esperados y contribución original</w:t>
      </w:r>
    </w:p>
    <w:p>
      <w:pPr>
        <w:pStyle w:val="ListNumber"/>
        <w:spacing w:after="60"/>
        <w:ind w:left="403"/>
      </w:pPr>
      <w:r>
        <w:rPr>
          <w:rFonts w:ascii="Inter" w:hAnsi="Inter" w:cs="Inter"/>
          <w:b/>
          <w:i w:val="0"/>
          <w:color w:val="1C1E2E"/>
          <w:sz w:val="22"/>
        </w:rPr>
        <w:t>Una especificación abierta de MLLDE en sus dos pilares</w:t>
      </w:r>
      <w:r>
        <w:rPr>
          <w:rFonts w:ascii="Inter" w:hAnsi="Inter" w:cs="Inter"/>
          <w:b w:val="0"/>
          <w:i w:val="0"/>
          <w:color w:val="1C1E2E"/>
          <w:sz w:val="22"/>
        </w:rPr>
        <w:t xml:space="preserve"> — el contrato de diseño con perfil de modalidad y su rúbrica de conformidad, y el Módulo de Medición con su registry de escalas MCER, esquema de packs y reglas del consolidador, aplicables por terceros.</w:t>
      </w:r>
    </w:p>
    <w:p>
      <w:pPr>
        <w:pStyle w:val="ListNumber"/>
        <w:spacing w:after="60"/>
        <w:ind w:left="403"/>
      </w:pPr>
      <w:r>
        <w:rPr>
          <w:rFonts w:ascii="Inter" w:hAnsi="Inter" w:cs="Inter"/>
          <w:b/>
          <w:i w:val="0"/>
          <w:color w:val="1C1E2E"/>
          <w:sz w:val="22"/>
        </w:rPr>
        <w:t>Evidencia de validez del Tier 1</w:t>
      </w:r>
      <w:r>
        <w:rPr>
          <w:rFonts w:ascii="Inter" w:hAnsi="Inter" w:cs="Inter"/>
          <w:b w:val="0"/>
          <w:i w:val="0"/>
          <w:color w:val="1C1E2E"/>
          <w:sz w:val="22"/>
        </w:rPr>
        <w:t xml:space="preserve"> — acuerdo con evaluación humana experta, estabilidad y sensibilidad al modelo, sobre datos de producción.</w:t>
      </w:r>
    </w:p>
    <w:p>
      <w:pPr>
        <w:pStyle w:val="ListNumber"/>
        <w:spacing w:after="60"/>
        <w:ind w:left="403"/>
      </w:pPr>
      <w:r>
        <w:rPr>
          <w:rFonts w:ascii="Inter" w:hAnsi="Inter" w:cs="Inter"/>
          <w:b/>
          <w:i w:val="0"/>
          <w:color w:val="1C1E2E"/>
          <w:sz w:val="22"/>
        </w:rPr>
        <w:t>La pronunciación, encendida y explicada</w:t>
      </w:r>
      <w:r>
        <w:rPr>
          <w:rFonts w:ascii="Inter" w:hAnsi="Inter" w:cs="Inter"/>
          <w:b w:val="0"/>
          <w:i w:val="0"/>
          <w:color w:val="1C1E2E"/>
          <w:sz w:val="22"/>
        </w:rPr>
        <w:t xml:space="preserve"> — del «—» honesto al Tier 2 instrumentado y al Tier 3 fonémico, con inventario IPA por nivel y variantes aceptadas.</w:t>
      </w:r>
    </w:p>
    <w:p>
      <w:pPr>
        <w:pStyle w:val="ListNumber"/>
        <w:spacing w:after="60"/>
        <w:ind w:left="403"/>
      </w:pPr>
      <w:r>
        <w:rPr>
          <w:rFonts w:ascii="Inter" w:hAnsi="Inter" w:cs="Inter"/>
          <w:b/>
          <w:i w:val="0"/>
          <w:color w:val="1C1E2E"/>
          <w:sz w:val="22"/>
        </w:rPr>
        <w:t>Un perfil xAPI abierto</w:t>
      </w:r>
      <w:r>
        <w:rPr>
          <w:rFonts w:ascii="Inter" w:hAnsi="Inter" w:cs="Inter"/>
          <w:b w:val="0"/>
          <w:i w:val="0"/>
          <w:color w:val="1C1E2E"/>
          <w:sz w:val="22"/>
        </w:rPr>
        <w:t xml:space="preserve"> para evidencia de competencia anclada al MCER, con declaración de tier y de modelo de medición.</w:t>
      </w:r>
    </w:p>
    <w:p>
      <w:pPr>
        <w:pStyle w:val="ListNumber"/>
        <w:spacing w:after="60"/>
        <w:ind w:left="403"/>
      </w:pPr>
      <w:r>
        <w:rPr>
          <w:rFonts w:ascii="Inter" w:hAnsi="Inter" w:cs="Inter"/>
          <w:b/>
          <w:i w:val="0"/>
          <w:color w:val="1C1E2E"/>
          <w:sz w:val="22"/>
        </w:rPr>
        <w:t>La prueba de replicabilidad motor + pack</w:t>
      </w:r>
      <w:r>
        <w:rPr>
          <w:rFonts w:ascii="Inter" w:hAnsi="Inter" w:cs="Inter"/>
          <w:b w:val="0"/>
          <w:i w:val="0"/>
          <w:color w:val="1C1E2E"/>
          <w:sz w:val="22"/>
        </w:rPr>
        <w:t xml:space="preserve"> en una segunda aplicación.</w:t>
      </w:r>
    </w:p>
    <w:p>
      <w:pPr>
        <w:pStyle w:val="ListNumber"/>
        <w:spacing w:after="60"/>
        <w:ind w:left="403"/>
      </w:pPr>
      <w:r>
        <w:rPr>
          <w:rFonts w:ascii="Inter" w:hAnsi="Inter" w:cs="Inter"/>
          <w:b/>
          <w:i w:val="0"/>
          <w:color w:val="1C1E2E"/>
          <w:sz w:val="22"/>
        </w:rPr>
        <w:t>Una política de honestidad de la evidencia</w:t>
      </w:r>
      <w:r>
        <w:rPr>
          <w:rFonts w:ascii="Inter" w:hAnsi="Inter" w:cs="Inter"/>
          <w:b w:val="0"/>
          <w:i w:val="0"/>
          <w:color w:val="1C1E2E"/>
          <w:sz w:val="22"/>
        </w:rPr>
        <w:t xml:space="preserve"> transferible a cualquier producto educativo con IA.</w:t>
      </w:r>
    </w:p>
    <w:p>
      <w:r>
        <w:rPr>
          <w:rFonts w:ascii="Inter" w:hAnsi="Inter" w:cs="Inter"/>
          <w:b/>
          <w:i w:val="0"/>
          <w:color w:val="1C1E2E"/>
          <w:sz w:val="22"/>
        </w:rPr>
        <w:t>Originalidad.</w:t>
      </w:r>
      <w:r>
        <w:rPr>
          <w:rFonts w:ascii="Inter" w:hAnsi="Inter" w:cs="Inter"/>
          <w:b w:val="0"/>
          <w:i w:val="0"/>
          <w:color w:val="1C1E2E"/>
          <w:sz w:val="22"/>
        </w:rPr>
        <w:t xml:space="preserve"> No está en proponer una rúbrica nueva ni un algoritmo acústico nuevo, sino en </w:t>
      </w:r>
      <w:r>
        <w:rPr>
          <w:rFonts w:ascii="Inter" w:hAnsi="Inter" w:cs="Inter"/>
          <w:b/>
          <w:i w:val="0"/>
          <w:color w:val="1C1E2E"/>
          <w:sz w:val="22"/>
        </w:rPr>
        <w:t>una arquitectura de responsabilidad</w:t>
      </w:r>
      <w:r>
        <w:rPr>
          <w:rFonts w:ascii="Inter" w:hAnsi="Inter" w:cs="Inter"/>
          <w:b w:val="0"/>
          <w:i w:val="0"/>
          <w:color w:val="1C1E2E"/>
          <w:sz w:val="22"/>
        </w:rPr>
        <w:t>: separar observación de decisión, obligar a cada afirmación a declarar su grado de precisión, y hacer ambas cosas verificables en datos interoperables. Es una aportación metodológica a la evaluación asistida por IA, con la pronunciación como caso testigo llevado hasta el nivel fonémico.</w:t>
      </w:r>
    </w:p>
    <w:p>
      <w:pPr>
        <w:pBdr>
          <w:bottom w:val="single" w:sz="6" w:space="1" w:color="E6E8F2"/>
        </w:pBdr>
      </w:pPr>
    </w:p>
    <w:p>
      <w:pPr>
        <w:spacing w:before="320" w:after="120"/>
      </w:pPr>
      <w:r>
        <w:rPr>
          <w:rFonts w:ascii="Fraunces" w:hAnsi="Fraunces" w:cs="Fraunces"/>
          <w:b/>
          <w:i w:val="0"/>
          <w:color w:val="22307C"/>
          <w:sz w:val="32"/>
        </w:rPr>
        <w:t>10. Difusión</w:t>
      </w:r>
    </w:p>
    <w:p>
      <w:r>
        <w:rPr>
          <w:rFonts w:ascii="Inter" w:hAnsi="Inter" w:cs="Inter"/>
          <w:b/>
          <w:i w:val="0"/>
          <w:color w:val="1C1E2E"/>
          <w:sz w:val="22"/>
        </w:rPr>
        <w:t>Revistas objetivo:</w:t>
      </w:r>
      <w:r>
        <w:rPr>
          <w:rFonts w:ascii="Inter" w:hAnsi="Inter" w:cs="Inter"/>
          <w:b w:val="0"/>
          <w:i w:val="0"/>
          <w:color w:val="1C1E2E"/>
          <w:sz w:val="22"/>
        </w:rPr>
        <w:t xml:space="preserve"> </w:t>
      </w:r>
      <w:r>
        <w:rPr>
          <w:rFonts w:ascii="Inter" w:hAnsi="Inter" w:cs="Inter"/>
          <w:b w:val="0"/>
          <w:i/>
          <w:color w:val="1C1E2E"/>
          <w:sz w:val="22"/>
        </w:rPr>
        <w:t>Language Testing</w:t>
      </w:r>
      <w:r>
        <w:rPr>
          <w:rFonts w:ascii="Inter" w:hAnsi="Inter" w:cs="Inter"/>
          <w:b w:val="0"/>
          <w:i w:val="0"/>
          <w:color w:val="1C1E2E"/>
          <w:sz w:val="22"/>
        </w:rPr>
        <w:t xml:space="preserve"> · </w:t>
      </w:r>
      <w:r>
        <w:rPr>
          <w:rFonts w:ascii="Inter" w:hAnsi="Inter" w:cs="Inter"/>
          <w:b w:val="0"/>
          <w:i/>
          <w:color w:val="1C1E2E"/>
          <w:sz w:val="22"/>
        </w:rPr>
        <w:t>Assessing Writing / Assessing Speaking</w:t>
      </w:r>
      <w:r>
        <w:rPr>
          <w:rFonts w:ascii="Inter" w:hAnsi="Inter" w:cs="Inter"/>
          <w:b w:val="0"/>
          <w:i w:val="0"/>
          <w:color w:val="1C1E2E"/>
          <w:sz w:val="22"/>
        </w:rPr>
        <w:t xml:space="preserve"> · </w:t>
      </w:r>
      <w:r>
        <w:rPr>
          <w:rFonts w:ascii="Inter" w:hAnsi="Inter" w:cs="Inter"/>
          <w:b w:val="0"/>
          <w:i/>
          <w:color w:val="1C1E2E"/>
          <w:sz w:val="22"/>
        </w:rPr>
        <w:t>ReCALL</w:t>
      </w:r>
      <w:r>
        <w:rPr>
          <w:rFonts w:ascii="Inter" w:hAnsi="Inter" w:cs="Inter"/>
          <w:b w:val="0"/>
          <w:i w:val="0"/>
          <w:color w:val="1C1E2E"/>
          <w:sz w:val="22"/>
        </w:rPr>
        <w:t xml:space="preserve"> · </w:t>
      </w:r>
      <w:r>
        <w:rPr>
          <w:rFonts w:ascii="Inter" w:hAnsi="Inter" w:cs="Inter"/>
          <w:b w:val="0"/>
          <w:i/>
          <w:color w:val="1C1E2E"/>
          <w:sz w:val="22"/>
        </w:rPr>
        <w:t>Computer Assisted Language Learning</w:t>
      </w:r>
      <w:r>
        <w:rPr>
          <w:rFonts w:ascii="Inter" w:hAnsi="Inter" w:cs="Inter"/>
          <w:b w:val="0"/>
          <w:i w:val="0"/>
          <w:color w:val="1C1E2E"/>
          <w:sz w:val="22"/>
        </w:rPr>
        <w:t xml:space="preserve"> · </w:t>
      </w:r>
      <w:r>
        <w:rPr>
          <w:rFonts w:ascii="Inter" w:hAnsi="Inter" w:cs="Inter"/>
          <w:b w:val="0"/>
          <w:i/>
          <w:color w:val="1C1E2E"/>
          <w:sz w:val="22"/>
        </w:rPr>
        <w:t>Language Learning &amp; Technology</w:t>
      </w:r>
      <w:r>
        <w:rPr>
          <w:rFonts w:ascii="Inter" w:hAnsi="Inter" w:cs="Inter"/>
          <w:b w:val="0"/>
          <w:i w:val="0"/>
          <w:color w:val="1C1E2E"/>
          <w:sz w:val="22"/>
        </w:rPr>
        <w:t xml:space="preserve"> · </w:t>
      </w:r>
      <w:r>
        <w:rPr>
          <w:rFonts w:ascii="Inter" w:hAnsi="Inter" w:cs="Inter"/>
          <w:b w:val="0"/>
          <w:i/>
          <w:color w:val="1C1E2E"/>
          <w:sz w:val="22"/>
        </w:rPr>
        <w:t>Speech Communication</w:t>
      </w:r>
      <w:r>
        <w:rPr>
          <w:rFonts w:ascii="Inter" w:hAnsi="Inter" w:cs="Inter"/>
          <w:b w:val="0"/>
          <w:i w:val="0"/>
          <w:color w:val="1C1E2E"/>
          <w:sz w:val="22"/>
        </w:rPr>
        <w:t xml:space="preserve"> · </w:t>
      </w:r>
      <w:r>
        <w:rPr>
          <w:rFonts w:ascii="Inter" w:hAnsi="Inter" w:cs="Inter"/>
          <w:b w:val="0"/>
          <w:i/>
          <w:color w:val="1C1E2E"/>
          <w:sz w:val="22"/>
        </w:rPr>
        <w:t>System</w:t>
      </w:r>
      <w:r>
        <w:rPr>
          <w:rFonts w:ascii="Inter" w:hAnsi="Inter" w:cs="Inter"/>
          <w:b w:val="0"/>
          <w:i w:val="0"/>
          <w:color w:val="1C1E2E"/>
          <w:sz w:val="22"/>
        </w:rPr>
        <w:t xml:space="preserve"> · </w:t>
      </w:r>
      <w:r>
        <w:rPr>
          <w:rFonts w:ascii="Inter" w:hAnsi="Inter" w:cs="Inter"/>
          <w:b w:val="0"/>
          <w:i/>
          <w:color w:val="1C1E2E"/>
          <w:sz w:val="22"/>
        </w:rPr>
        <w:t>Computers &amp; Education</w:t>
      </w:r>
      <w:r>
        <w:rPr>
          <w:rFonts w:ascii="Inter" w:hAnsi="Inter" w:cs="Inter"/>
          <w:b w:val="0"/>
          <w:i w:val="0"/>
          <w:color w:val="1C1E2E"/>
          <w:sz w:val="22"/>
        </w:rPr>
        <w:t xml:space="preserve"> · </w:t>
      </w:r>
      <w:r>
        <w:rPr>
          <w:rFonts w:ascii="Inter" w:hAnsi="Inter" w:cs="Inter"/>
          <w:b w:val="0"/>
          <w:i/>
          <w:color w:val="1C1E2E"/>
          <w:sz w:val="22"/>
        </w:rPr>
        <w:t>RESLA</w:t>
      </w:r>
      <w:r>
        <w:rPr>
          <w:rFonts w:ascii="Inter" w:hAnsi="Inter" w:cs="Inter"/>
          <w:b w:val="0"/>
          <w:i w:val="0"/>
          <w:color w:val="1C1E2E"/>
          <w:sz w:val="22"/>
        </w:rPr>
        <w:t xml:space="preserve"> · </w:t>
      </w:r>
      <w:r>
        <w:rPr>
          <w:rFonts w:ascii="Inter" w:hAnsi="Inter" w:cs="Inter"/>
          <w:b w:val="0"/>
          <w:i/>
          <w:color w:val="1C1E2E"/>
          <w:sz w:val="22"/>
        </w:rPr>
        <w:t>Educación XX1</w:t>
      </w:r>
      <w:r>
        <w:rPr>
          <w:rFonts w:ascii="Inter" w:hAnsi="Inter" w:cs="Inter"/>
          <w:b w:val="0"/>
          <w:i w:val="0"/>
          <w:color w:val="1C1E2E"/>
          <w:sz w:val="22"/>
        </w:rPr>
        <w:t>.</w:t>
      </w:r>
    </w:p>
    <w:p>
      <w:r>
        <w:rPr>
          <w:rFonts w:ascii="Inter" w:hAnsi="Inter" w:cs="Inter"/>
          <w:b/>
          <w:i w:val="0"/>
          <w:color w:val="1C1E2E"/>
          <w:sz w:val="22"/>
        </w:rPr>
        <w:t>Congresos:</w:t>
      </w:r>
      <w:r>
        <w:rPr>
          <w:rFonts w:ascii="Inter" w:hAnsi="Inter" w:cs="Inter"/>
          <w:b w:val="0"/>
          <w:i w:val="0"/>
          <w:color w:val="1C1E2E"/>
          <w:sz w:val="22"/>
        </w:rPr>
        <w:t xml:space="preserve"> EUROCALL · WorldCALL · Interspeech / SLaTE · ALTE · EALTA · AESLA · AELFE · Jornadas de Innovación Educativa y Docencia en Red (UPV).</w:t>
      </w:r>
    </w:p>
    <w:p>
      <w:r>
        <w:rPr>
          <w:rFonts w:ascii="Inter" w:hAnsi="Inter" w:cs="Inter"/>
          <w:b/>
          <w:i w:val="0"/>
          <w:color w:val="1C1E2E"/>
          <w:sz w:val="22"/>
        </w:rPr>
        <w:t>Acceso abierto:</w:t>
      </w:r>
      <w:r>
        <w:rPr>
          <w:rFonts w:ascii="Inter" w:hAnsi="Inter" w:cs="Inter"/>
          <w:b w:val="0"/>
          <w:i w:val="0"/>
          <w:color w:val="1C1E2E"/>
          <w:sz w:val="22"/>
        </w:rPr>
        <w:t xml:space="preserve"> especificación, registry, rúbricas y perfil xAPI en repositorio público; RiuNet (UPV); ORCID.</w:t>
      </w:r>
    </w:p>
    <w:p>
      <w:pPr>
        <w:pBdr>
          <w:bottom w:val="single" w:sz="6" w:space="1" w:color="E6E8F2"/>
        </w:pBdr>
      </w:pPr>
    </w:p>
    <w:p>
      <w:pPr>
        <w:spacing w:before="320" w:after="120"/>
      </w:pPr>
      <w:r>
        <w:rPr>
          <w:rFonts w:ascii="Fraunces" w:hAnsi="Fraunces" w:cs="Fraunces"/>
          <w:b/>
          <w:i w:val="0"/>
          <w:color w:val="22307C"/>
          <w:sz w:val="32"/>
        </w:rPr>
        <w:t>11. Viabilidad y encaje</w:t>
      </w:r>
    </w:p>
    <w:p>
      <w:r>
        <w:rPr>
          <w:rFonts w:ascii="Inter" w:hAnsi="Inter" w:cs="Inter"/>
          <w:b/>
          <w:i w:val="0"/>
          <w:color w:val="1C1E2E"/>
          <w:sz w:val="22"/>
        </w:rPr>
        <w:t>Técnica.</w:t>
      </w:r>
      <w:r>
        <w:rPr>
          <w:rFonts w:ascii="Inter" w:hAnsi="Inter" w:cs="Inter"/>
          <w:b w:val="0"/>
          <w:i w:val="0"/>
          <w:color w:val="1C1E2E"/>
          <w:sz w:val="22"/>
        </w:rPr>
        <w:t xml:space="preserve"> El Tier 1 está </w:t>
      </w:r>
      <w:r>
        <w:rPr>
          <w:rFonts w:ascii="Inter" w:hAnsi="Inter" w:cs="Inter"/>
          <w:b/>
          <w:i w:val="0"/>
          <w:color w:val="1C1E2E"/>
          <w:sz w:val="22"/>
        </w:rPr>
        <w:t>en producción y verificado</w:t>
      </w:r>
      <w:r>
        <w:rPr>
          <w:rFonts w:ascii="Inter" w:hAnsi="Inter" w:cs="Inter"/>
          <w:b w:val="0"/>
          <w:i w:val="0"/>
          <w:color w:val="1C1E2E"/>
          <w:sz w:val="22"/>
        </w:rPr>
        <w:t xml:space="preserve"> sobre un LRS vivo; la doctoranda administra LMS desde 2019, empaqueta SCORM/xAPI y ha construido el sistema completo. La infraestructura de recogida existe: no hay que crearla, hay que validarla.</w:t>
      </w:r>
    </w:p>
    <w:p>
      <w:r>
        <w:rPr>
          <w:rFonts w:ascii="Inter" w:hAnsi="Inter" w:cs="Inter"/>
          <w:b/>
          <w:i w:val="0"/>
          <w:color w:val="1C1E2E"/>
          <w:sz w:val="22"/>
        </w:rPr>
        <w:t>Acceso al campo.</w:t>
      </w:r>
      <w:r>
        <w:rPr>
          <w:rFonts w:ascii="Inter" w:hAnsi="Inter" w:cs="Inter"/>
          <w:b w:val="0"/>
          <w:i w:val="0"/>
          <w:color w:val="1C1E2E"/>
          <w:sz w:val="22"/>
        </w:rPr>
        <w:t xml:space="preserve"> Población real de aprendices adultos a través de TK Coach, más veinte años de docencia y la acreditación como examinadora DELE del Instituto Cervantes.</w:t>
      </w:r>
    </w:p>
    <w:p>
      <w:r>
        <w:rPr>
          <w:rFonts w:ascii="Inter" w:hAnsi="Inter" w:cs="Inter"/>
          <w:b/>
          <w:i w:val="0"/>
          <w:color w:val="1C1E2E"/>
          <w:sz w:val="22"/>
        </w:rPr>
        <w:t>Recursos.</w:t>
      </w:r>
      <w:r>
        <w:rPr>
          <w:rFonts w:ascii="Inter" w:hAnsi="Inter" w:cs="Inter"/>
          <w:b w:val="0"/>
          <w:i w:val="0"/>
          <w:color w:val="1C1E2E"/>
          <w:sz w:val="22"/>
        </w:rPr>
        <w:t xml:space="preserve"> LRS (Veracity, ya operativo); créditos de API de LLM y de evaluación de pronunciación de proveedor para el Tier 2; tiempo de evaluadores humanos expertos (partida principal); herramientas estadísticas abiertas; financiación para estancia y publicación en acceso abierto — se concurrirá a convocatorias predoctorales y de movilidad.</w:t>
      </w:r>
    </w:p>
    <w:p>
      <w:r>
        <w:rPr>
          <w:rFonts w:ascii="Inter" w:hAnsi="Inter" w:cs="Inter"/>
          <w:b/>
          <w:i w:val="0"/>
          <w:color w:val="1C1E2E"/>
          <w:sz w:val="22"/>
        </w:rPr>
        <w:t>Encaje con la UPV.</w:t>
      </w:r>
      <w:r>
        <w:rPr>
          <w:rFonts w:ascii="Inter" w:hAnsi="Inter" w:cs="Inter"/>
          <w:b w:val="0"/>
          <w:i w:val="0"/>
          <w:color w:val="1C1E2E"/>
          <w:sz w:val="22"/>
        </w:rPr>
        <w:t xml:space="preserve"> La propuesta se inscribe en el </w:t>
      </w:r>
      <w:r>
        <w:rPr>
          <w:rFonts w:ascii="Inter" w:hAnsi="Inter" w:cs="Inter"/>
          <w:b/>
          <w:i w:val="0"/>
          <w:color w:val="1C1E2E"/>
          <w:sz w:val="22"/>
        </w:rPr>
        <w:t>Departamento de Lingüística Aplicada</w:t>
      </w:r>
      <w:r>
        <w:rPr>
          <w:rFonts w:ascii="Inter" w:hAnsi="Inter" w:cs="Inter"/>
          <w:b w:val="0"/>
          <w:i w:val="0"/>
          <w:color w:val="1C1E2E"/>
          <w:sz w:val="22"/>
        </w:rPr>
        <w:t>, donde la doctoranda cursó el máster y desarrolló su investigación de corpus sobre metadiscurso, y donde el modelo IPO gamificado que alimenta el diseño instruccional de MLLDE fue desarrollado.</w:t>
      </w:r>
    </w:p>
    <w:p>
      <w:pPr>
        <w:pBdr>
          <w:bottom w:val="single" w:sz="6" w:space="1" w:color="E6E8F2"/>
        </w:pBdr>
      </w:pPr>
    </w:p>
    <w:p>
      <w:pPr>
        <w:spacing w:before="320" w:after="120"/>
      </w:pPr>
      <w:r>
        <w:rPr>
          <w:rFonts w:ascii="Fraunces" w:hAnsi="Fraunces" w:cs="Fraunces"/>
          <w:b/>
          <w:i w:val="0"/>
          <w:color w:val="22307C"/>
          <w:sz w:val="32"/>
        </w:rPr>
        <w:t>12. Referencias (APA 7.ª)</w:t>
      </w:r>
    </w:p>
    <w:p>
      <w:r>
        <w:rPr>
          <w:rFonts w:ascii="Inter" w:hAnsi="Inter" w:cs="Inter"/>
          <w:b w:val="0"/>
          <w:i w:val="0"/>
          <w:color w:val="1C1E2E"/>
          <w:sz w:val="22"/>
        </w:rPr>
        <w:t xml:space="preserve">Advanced Distributed Learning Initiative. (2017). </w:t>
      </w:r>
      <w:r>
        <w:rPr>
          <w:rFonts w:ascii="Inter" w:hAnsi="Inter" w:cs="Inter"/>
          <w:b w:val="0"/>
          <w:i/>
          <w:color w:val="1C1E2E"/>
          <w:sz w:val="22"/>
        </w:rPr>
        <w:t>xAPI profiles specification</w:t>
      </w:r>
      <w:r>
        <w:rPr>
          <w:rFonts w:ascii="Inter" w:hAnsi="Inter" w:cs="Inter"/>
          <w:b w:val="0"/>
          <w:i w:val="0"/>
          <w:color w:val="1C1E2E"/>
          <w:sz w:val="22"/>
        </w:rPr>
        <w:t xml:space="preserve"> (Version 1.0). https://adlnet.github.io/xapi-profiles/</w:t>
      </w:r>
    </w:p>
    <w:p>
      <w:r>
        <w:rPr>
          <w:rFonts w:ascii="Inter" w:hAnsi="Inter" w:cs="Inter"/>
          <w:b w:val="0"/>
          <w:i w:val="0"/>
          <w:color w:val="1C1E2E"/>
          <w:sz w:val="22"/>
        </w:rPr>
        <w:t xml:space="preserve">Casañ-Pitarch, R. (2017). </w:t>
      </w:r>
      <w:r>
        <w:rPr>
          <w:rFonts w:ascii="Inter" w:hAnsi="Inter" w:cs="Inter"/>
          <w:b w:val="0"/>
          <w:i/>
          <w:color w:val="1C1E2E"/>
          <w:sz w:val="22"/>
        </w:rPr>
        <w:t>An approach to digital game-based learning: Video-games principles for language learning</w:t>
      </w:r>
      <w:r>
        <w:rPr>
          <w:rFonts w:ascii="Inter" w:hAnsi="Inter" w:cs="Inter"/>
          <w:b w:val="0"/>
          <w:i w:val="0"/>
          <w:color w:val="1C1E2E"/>
          <w:sz w:val="22"/>
        </w:rPr>
        <w:t>. Journal of Language Teaching and Research.</w:t>
      </w:r>
    </w:p>
    <w:p>
      <w:r>
        <w:rPr>
          <w:rFonts w:ascii="Inter" w:hAnsi="Inter" w:cs="Inter"/>
          <w:b w:val="0"/>
          <w:i w:val="0"/>
          <w:color w:val="1C1E2E"/>
          <w:sz w:val="22"/>
        </w:rPr>
        <w:t xml:space="preserve">Council of Europe. (2020). </w:t>
      </w:r>
      <w:r>
        <w:rPr>
          <w:rFonts w:ascii="Inter" w:hAnsi="Inter" w:cs="Inter"/>
          <w:b w:val="0"/>
          <w:i/>
          <w:color w:val="1C1E2E"/>
          <w:sz w:val="22"/>
        </w:rPr>
        <w:t>Common European Framework of Reference for Languages: Learning, teaching, assessment — Companion volume</w:t>
      </w:r>
      <w:r>
        <w:rPr>
          <w:rFonts w:ascii="Inter" w:hAnsi="Inter" w:cs="Inter"/>
          <w:b w:val="0"/>
          <w:i w:val="0"/>
          <w:color w:val="1C1E2E"/>
          <w:sz w:val="22"/>
        </w:rPr>
        <w:t>. Council of Europe Publishing.</w:t>
      </w:r>
    </w:p>
    <w:p>
      <w:r>
        <w:rPr>
          <w:rFonts w:ascii="Inter" w:hAnsi="Inter" w:cs="Inter"/>
          <w:b w:val="0"/>
          <w:i w:val="0"/>
          <w:color w:val="1C1E2E"/>
          <w:sz w:val="22"/>
        </w:rPr>
        <w:t xml:space="preserve">Coyle, D. (2007). Content and language integrated learning: Towards a connected research agenda for CLIL pedagogies. </w:t>
      </w:r>
      <w:r>
        <w:rPr>
          <w:rFonts w:ascii="Inter" w:hAnsi="Inter" w:cs="Inter"/>
          <w:b w:val="0"/>
          <w:i/>
          <w:color w:val="1C1E2E"/>
          <w:sz w:val="22"/>
        </w:rPr>
        <w:t>International Journal of Bilingual Education and Bilingualism, 10</w:t>
      </w:r>
      <w:r>
        <w:rPr>
          <w:rFonts w:ascii="Inter" w:hAnsi="Inter" w:cs="Inter"/>
          <w:b w:val="0"/>
          <w:i w:val="0"/>
          <w:color w:val="1C1E2E"/>
          <w:sz w:val="22"/>
        </w:rPr>
        <w:t>(5), 543–562.</w:t>
      </w:r>
    </w:p>
    <w:p>
      <w:r>
        <w:rPr>
          <w:rFonts w:ascii="Inter" w:hAnsi="Inter" w:cs="Inter"/>
          <w:b w:val="0"/>
          <w:i w:val="0"/>
          <w:color w:val="1C1E2E"/>
          <w:sz w:val="22"/>
        </w:rPr>
        <w:t xml:space="preserve">Crawford, M. L. (2001). </w:t>
      </w:r>
      <w:r>
        <w:rPr>
          <w:rFonts w:ascii="Inter" w:hAnsi="Inter" w:cs="Inter"/>
          <w:b w:val="0"/>
          <w:i/>
          <w:color w:val="1C1E2E"/>
          <w:sz w:val="22"/>
        </w:rPr>
        <w:t>Teaching contextually: Research, rationale, and techniques for improving student motivation and achievement in mathematics and science</w:t>
      </w:r>
      <w:r>
        <w:rPr>
          <w:rFonts w:ascii="Inter" w:hAnsi="Inter" w:cs="Inter"/>
          <w:b w:val="0"/>
          <w:i w:val="0"/>
          <w:color w:val="1C1E2E"/>
          <w:sz w:val="22"/>
        </w:rPr>
        <w:t>. CCI Publishing / CORD.</w:t>
      </w:r>
    </w:p>
    <w:p>
      <w:r>
        <w:rPr>
          <w:rFonts w:ascii="Inter" w:hAnsi="Inter" w:cs="Inter"/>
          <w:b w:val="0"/>
          <w:i w:val="0"/>
          <w:color w:val="1C1E2E"/>
          <w:sz w:val="22"/>
        </w:rPr>
        <w:t xml:space="preserve">European Commission. (n.d.). </w:t>
      </w:r>
      <w:r>
        <w:rPr>
          <w:rFonts w:ascii="Inter" w:hAnsi="Inter" w:cs="Inter"/>
          <w:b w:val="0"/>
          <w:i/>
          <w:color w:val="1C1E2E"/>
          <w:sz w:val="22"/>
        </w:rPr>
        <w:t>ESCO: European Skills, Competences, Qualifications and Occupations</w:t>
      </w:r>
      <w:r>
        <w:rPr>
          <w:rFonts w:ascii="Inter" w:hAnsi="Inter" w:cs="Inter"/>
          <w:b w:val="0"/>
          <w:i w:val="0"/>
          <w:color w:val="1C1E2E"/>
          <w:sz w:val="22"/>
        </w:rPr>
        <w:t>. Recuperado el 5 de septiembre de 2026, de https://esco.ec.europa.eu/</w:t>
      </w:r>
    </w:p>
    <w:p>
      <w:r>
        <w:rPr>
          <w:rFonts w:ascii="Inter" w:hAnsi="Inter" w:cs="Inter"/>
          <w:b w:val="0"/>
          <w:i w:val="0"/>
          <w:color w:val="1C1E2E"/>
          <w:sz w:val="22"/>
        </w:rPr>
        <w:t xml:space="preserve">IEEE. (2023). </w:t>
      </w:r>
      <w:r>
        <w:rPr>
          <w:rFonts w:ascii="Inter" w:hAnsi="Inter" w:cs="Inter"/>
          <w:b w:val="0"/>
          <w:i/>
          <w:color w:val="1C1E2E"/>
          <w:sz w:val="22"/>
        </w:rPr>
        <w:t>IEEE standard for learning technology — JSON data model format and RESTful web service for learner experience data tracking and access (xAPI)</w:t>
      </w:r>
      <w:r>
        <w:rPr>
          <w:rFonts w:ascii="Inter" w:hAnsi="Inter" w:cs="Inter"/>
          <w:b w:val="0"/>
          <w:i w:val="0"/>
          <w:color w:val="1C1E2E"/>
          <w:sz w:val="22"/>
        </w:rPr>
        <w:t xml:space="preserve"> (IEEE Std 9274.1.1-2023). IEEE Standards Association.</w:t>
      </w:r>
    </w:p>
    <w:p>
      <w:r>
        <w:rPr>
          <w:rFonts w:ascii="Inter" w:hAnsi="Inter" w:cs="Inter"/>
          <w:b w:val="0"/>
          <w:i w:val="0"/>
          <w:color w:val="1C1E2E"/>
          <w:sz w:val="22"/>
        </w:rPr>
        <w:t xml:space="preserve">International Phonetic Association. (1999). </w:t>
      </w:r>
      <w:r>
        <w:rPr>
          <w:rFonts w:ascii="Inter" w:hAnsi="Inter" w:cs="Inter"/>
          <w:b w:val="0"/>
          <w:i/>
          <w:color w:val="1C1E2E"/>
          <w:sz w:val="22"/>
        </w:rPr>
        <w:t>Handbook of the International Phonetic Association: A guide to the use of the International Phonetic Alphabet</w:t>
      </w:r>
      <w:r>
        <w:rPr>
          <w:rFonts w:ascii="Inter" w:hAnsi="Inter" w:cs="Inter"/>
          <w:b w:val="0"/>
          <w:i w:val="0"/>
          <w:color w:val="1C1E2E"/>
          <w:sz w:val="22"/>
        </w:rPr>
        <w:t>. Cambridge University Press.</w:t>
      </w:r>
    </w:p>
    <w:p>
      <w:r>
        <w:rPr>
          <w:rFonts w:ascii="Inter" w:hAnsi="Inter" w:cs="Inter"/>
          <w:b w:val="0"/>
          <w:i w:val="0"/>
          <w:color w:val="1C1E2E"/>
          <w:sz w:val="22"/>
        </w:rPr>
        <w:t xml:space="preserve">Harmer, J. (2007). </w:t>
      </w:r>
      <w:r>
        <w:rPr>
          <w:rFonts w:ascii="Inter" w:hAnsi="Inter" w:cs="Inter"/>
          <w:b w:val="0"/>
          <w:i/>
          <w:color w:val="1C1E2E"/>
          <w:sz w:val="22"/>
        </w:rPr>
        <w:t>The practice of English language teaching</w:t>
      </w:r>
      <w:r>
        <w:rPr>
          <w:rFonts w:ascii="Inter" w:hAnsi="Inter" w:cs="Inter"/>
          <w:b w:val="0"/>
          <w:i w:val="0"/>
          <w:color w:val="1C1E2E"/>
          <w:sz w:val="22"/>
        </w:rPr>
        <w:t xml:space="preserve"> (4.ª ed.). Pearson Longman.</w:t>
      </w:r>
    </w:p>
    <w:p>
      <w:r>
        <w:rPr>
          <w:rFonts w:ascii="Inter" w:hAnsi="Inter" w:cs="Inter"/>
          <w:b w:val="0"/>
          <w:i w:val="0"/>
          <w:color w:val="1C1E2E"/>
          <w:sz w:val="22"/>
        </w:rPr>
        <w:t xml:space="preserve">Johnson, E. B. (2002). </w:t>
      </w:r>
      <w:r>
        <w:rPr>
          <w:rFonts w:ascii="Inter" w:hAnsi="Inter" w:cs="Inter"/>
          <w:b w:val="0"/>
          <w:i/>
          <w:color w:val="1C1E2E"/>
          <w:sz w:val="22"/>
        </w:rPr>
        <w:t>Contextual teaching and learning: What it is and why it's here to stay</w:t>
      </w:r>
      <w:r>
        <w:rPr>
          <w:rFonts w:ascii="Inter" w:hAnsi="Inter" w:cs="Inter"/>
          <w:b w:val="0"/>
          <w:i w:val="0"/>
          <w:color w:val="1C1E2E"/>
          <w:sz w:val="22"/>
        </w:rPr>
        <w:t>. Corwin Press.</w:t>
      </w:r>
    </w:p>
    <w:p>
      <w:r>
        <w:rPr>
          <w:rFonts w:ascii="Inter" w:hAnsi="Inter" w:cs="Inter"/>
          <w:b w:val="0"/>
          <w:i w:val="0"/>
          <w:color w:val="1C1E2E"/>
          <w:sz w:val="22"/>
        </w:rPr>
        <w:t xml:space="preserve">Kirkpatrick, J. D., &amp; Kirkpatrick, W. K. (2016). </w:t>
      </w:r>
      <w:r>
        <w:rPr>
          <w:rFonts w:ascii="Inter" w:hAnsi="Inter" w:cs="Inter"/>
          <w:b w:val="0"/>
          <w:i/>
          <w:color w:val="1C1E2E"/>
          <w:sz w:val="22"/>
        </w:rPr>
        <w:t>Kirkpatrick's four levels of training evaluation</w:t>
      </w:r>
      <w:r>
        <w:rPr>
          <w:rFonts w:ascii="Inter" w:hAnsi="Inter" w:cs="Inter"/>
          <w:b w:val="0"/>
          <w:i w:val="0"/>
          <w:color w:val="1C1E2E"/>
          <w:sz w:val="22"/>
        </w:rPr>
        <w:t>. ATD Press.</w:t>
      </w:r>
    </w:p>
    <w:p>
      <w:r>
        <w:rPr>
          <w:rFonts w:ascii="Inter" w:hAnsi="Inter" w:cs="Inter"/>
          <w:b w:val="0"/>
          <w:i w:val="0"/>
          <w:color w:val="1C1E2E"/>
          <w:sz w:val="22"/>
        </w:rPr>
        <w:t xml:space="preserve">Krashen, S. D. (1985). </w:t>
      </w:r>
      <w:r>
        <w:rPr>
          <w:rFonts w:ascii="Inter" w:hAnsi="Inter" w:cs="Inter"/>
          <w:b w:val="0"/>
          <w:i/>
          <w:color w:val="1C1E2E"/>
          <w:sz w:val="22"/>
        </w:rPr>
        <w:t>The input hypothesis: Issues and implications</w:t>
      </w:r>
      <w:r>
        <w:rPr>
          <w:rFonts w:ascii="Inter" w:hAnsi="Inter" w:cs="Inter"/>
          <w:b w:val="0"/>
          <w:i w:val="0"/>
          <w:color w:val="1C1E2E"/>
          <w:sz w:val="22"/>
        </w:rPr>
        <w:t>. Longman.</w:t>
      </w:r>
    </w:p>
    <w:p>
      <w:r>
        <w:rPr>
          <w:rFonts w:ascii="Inter" w:hAnsi="Inter" w:cs="Inter"/>
          <w:b w:val="0"/>
          <w:i w:val="0"/>
          <w:color w:val="1C1E2E"/>
          <w:sz w:val="22"/>
        </w:rPr>
        <w:t xml:space="preserve">Lewis, M. (1993). </w:t>
      </w:r>
      <w:r>
        <w:rPr>
          <w:rFonts w:ascii="Inter" w:hAnsi="Inter" w:cs="Inter"/>
          <w:b w:val="0"/>
          <w:i/>
          <w:color w:val="1C1E2E"/>
          <w:sz w:val="22"/>
        </w:rPr>
        <w:t>The lexical approach: The state of ELT and a way forward</w:t>
      </w:r>
      <w:r>
        <w:rPr>
          <w:rFonts w:ascii="Inter" w:hAnsi="Inter" w:cs="Inter"/>
          <w:b w:val="0"/>
          <w:i w:val="0"/>
          <w:color w:val="1C1E2E"/>
          <w:sz w:val="22"/>
        </w:rPr>
        <w:t>. Language Teaching Publications.</w:t>
      </w:r>
    </w:p>
    <w:p>
      <w:r>
        <w:rPr>
          <w:rFonts w:ascii="Inter" w:hAnsi="Inter" w:cs="Inter"/>
          <w:b w:val="0"/>
          <w:i w:val="0"/>
          <w:color w:val="1C1E2E"/>
          <w:sz w:val="22"/>
        </w:rPr>
        <w:t xml:space="preserve">Mayer, R. E. (2009). </w:t>
      </w:r>
      <w:r>
        <w:rPr>
          <w:rFonts w:ascii="Inter" w:hAnsi="Inter" w:cs="Inter"/>
          <w:b w:val="0"/>
          <w:i/>
          <w:color w:val="1C1E2E"/>
          <w:sz w:val="22"/>
        </w:rPr>
        <w:t>Multimedia learning</w:t>
      </w:r>
      <w:r>
        <w:rPr>
          <w:rFonts w:ascii="Inter" w:hAnsi="Inter" w:cs="Inter"/>
          <w:b w:val="0"/>
          <w:i w:val="0"/>
          <w:color w:val="1C1E2E"/>
          <w:sz w:val="22"/>
        </w:rPr>
        <w:t xml:space="preserve"> (2.ª ed.). Cambridge University Press.</w:t>
      </w:r>
    </w:p>
    <w:p>
      <w:r>
        <w:rPr>
          <w:rFonts w:ascii="Inter" w:hAnsi="Inter" w:cs="Inter"/>
          <w:b w:val="0"/>
          <w:i w:val="0"/>
          <w:color w:val="1C1E2E"/>
          <w:sz w:val="22"/>
        </w:rPr>
        <w:t xml:space="preserve">Phillips, J. J., &amp; Phillips, P. P. (2016). </w:t>
      </w:r>
      <w:r>
        <w:rPr>
          <w:rFonts w:ascii="Inter" w:hAnsi="Inter" w:cs="Inter"/>
          <w:b w:val="0"/>
          <w:i/>
          <w:color w:val="1C1E2E"/>
          <w:sz w:val="22"/>
        </w:rPr>
        <w:t>Handbook of training evaluation and measurement methods</w:t>
      </w:r>
      <w:r>
        <w:rPr>
          <w:rFonts w:ascii="Inter" w:hAnsi="Inter" w:cs="Inter"/>
          <w:b w:val="0"/>
          <w:i w:val="0"/>
          <w:color w:val="1C1E2E"/>
          <w:sz w:val="22"/>
        </w:rPr>
        <w:t xml:space="preserve"> (4.ª ed.). Routledge.</w:t>
      </w:r>
    </w:p>
    <w:p>
      <w:r>
        <w:rPr>
          <w:rFonts w:ascii="Inter" w:hAnsi="Inter" w:cs="Inter"/>
          <w:b w:val="0"/>
          <w:i w:val="0"/>
          <w:color w:val="1C1E2E"/>
          <w:sz w:val="22"/>
        </w:rPr>
        <w:t xml:space="preserve">Schmidt, R. W. (1990). The role of consciousness in second language learning. </w:t>
      </w:r>
      <w:r>
        <w:rPr>
          <w:rFonts w:ascii="Inter" w:hAnsi="Inter" w:cs="Inter"/>
          <w:b w:val="0"/>
          <w:i/>
          <w:color w:val="1C1E2E"/>
          <w:sz w:val="22"/>
        </w:rPr>
        <w:t>Applied Linguistics, 11</w:t>
      </w:r>
      <w:r>
        <w:rPr>
          <w:rFonts w:ascii="Inter" w:hAnsi="Inter" w:cs="Inter"/>
          <w:b w:val="0"/>
          <w:i w:val="0"/>
          <w:color w:val="1C1E2E"/>
          <w:sz w:val="22"/>
        </w:rPr>
        <w:t>(2), 129–158. https://doi.org/10.1093/applin/11.2.129</w:t>
      </w:r>
    </w:p>
    <w:p>
      <w:r>
        <w:rPr>
          <w:rFonts w:ascii="Inter" w:hAnsi="Inter" w:cs="Inter"/>
          <w:b w:val="0"/>
          <w:i w:val="0"/>
          <w:color w:val="1C1E2E"/>
          <w:sz w:val="22"/>
        </w:rPr>
        <w:t xml:space="preserve">Unión Europea. (2016). </w:t>
      </w:r>
      <w:r>
        <w:rPr>
          <w:rFonts w:ascii="Inter" w:hAnsi="Inter" w:cs="Inter"/>
          <w:b w:val="0"/>
          <w:i/>
          <w:color w:val="1C1E2E"/>
          <w:sz w:val="22"/>
        </w:rPr>
        <w:t>Reglamento (UE) 2016/679, General de Protección de Datos</w:t>
      </w:r>
      <w:r>
        <w:rPr>
          <w:rFonts w:ascii="Inter" w:hAnsi="Inter" w:cs="Inter"/>
          <w:b w:val="0"/>
          <w:i w:val="0"/>
          <w:color w:val="1C1E2E"/>
          <w:sz w:val="22"/>
        </w:rPr>
        <w:t>. DOUE L 119.</w:t>
      </w:r>
    </w:p>
    <w:p>
      <w:r>
        <w:rPr>
          <w:rFonts w:ascii="Inter" w:hAnsi="Inter" w:cs="Inter"/>
          <w:b w:val="0"/>
          <w:i w:val="0"/>
          <w:color w:val="1C1E2E"/>
          <w:sz w:val="22"/>
        </w:rPr>
        <w:t xml:space="preserve">Unión Europea. (2024). </w:t>
      </w:r>
      <w:r>
        <w:rPr>
          <w:rFonts w:ascii="Inter" w:hAnsi="Inter" w:cs="Inter"/>
          <w:b w:val="0"/>
          <w:i/>
          <w:color w:val="1C1E2E"/>
          <w:sz w:val="22"/>
        </w:rPr>
        <w:t>Reglamento (UE) 2024/1689, Ley de Inteligencia Artificial</w:t>
      </w:r>
      <w:r>
        <w:rPr>
          <w:rFonts w:ascii="Inter" w:hAnsi="Inter" w:cs="Inter"/>
          <w:b w:val="0"/>
          <w:i w:val="0"/>
          <w:color w:val="1C1E2E"/>
          <w:sz w:val="22"/>
        </w:rPr>
        <w:t>. DOUE.</w:t>
      </w:r>
    </w:p>
    <w:p>
      <w:r>
        <w:rPr>
          <w:rFonts w:ascii="Inter" w:hAnsi="Inter" w:cs="Inter"/>
          <w:b w:val="0"/>
          <w:i w:val="0"/>
          <w:color w:val="1C1E2E"/>
          <w:sz w:val="22"/>
        </w:rPr>
        <w:t xml:space="preserve">Witt, S. M., &amp; Young, S. J. (2000). Phone-level pronunciation scoring and assessment for interactive language learning. </w:t>
      </w:r>
      <w:r>
        <w:rPr>
          <w:rFonts w:ascii="Inter" w:hAnsi="Inter" w:cs="Inter"/>
          <w:b w:val="0"/>
          <w:i/>
          <w:color w:val="1C1E2E"/>
          <w:sz w:val="22"/>
        </w:rPr>
        <w:t>Speech Communication, 30</w:t>
      </w:r>
      <w:r>
        <w:rPr>
          <w:rFonts w:ascii="Inter" w:hAnsi="Inter" w:cs="Inter"/>
          <w:b w:val="0"/>
          <w:i w:val="0"/>
          <w:color w:val="1C1E2E"/>
          <w:sz w:val="22"/>
        </w:rPr>
        <w:t>(2–3), 95–108. https://doi.org/10.1016/S0167-6393(99)00044-8</w:t>
      </w:r>
    </w:p>
    <w:p>
      <w:pPr>
        <w:pBdr>
          <w:left w:val="single" w:sz="18" w:space="8" w:color="9A5B00"/>
        </w:pBdr>
        <w:spacing w:before="120" w:after="200"/>
        <w:ind w:left="317"/>
      </w:pPr>
      <w:r>
        <w:rPr>
          <w:rFonts w:ascii="Inter" w:hAnsi="Inter" w:cs="Inter"/>
          <w:b/>
          <w:i w:val="0"/>
          <w:color w:val="5B5F77"/>
          <w:sz w:val="21"/>
        </w:rPr>
        <w:t>Nota.</w:t>
      </w:r>
      <w:r>
        <w:rPr>
          <w:rFonts w:ascii="Inter" w:hAnsi="Inter" w:cs="Inter"/>
          <w:b w:val="0"/>
          <w:i w:val="0"/>
          <w:color w:val="5B5F77"/>
          <w:sz w:val="21"/>
        </w:rPr>
        <w:t xml:space="preserve"> Antes del depósito conviene ampliar §4.2 con la literatura 2024–2026 sobre evaluación automática del habla con modelos de lenguaje, y §4.3 con los trabajos recientes sobre </w:t>
      </w:r>
      <w:r>
        <w:rPr>
          <w:rFonts w:ascii="Inter" w:hAnsi="Inter" w:cs="Inter"/>
          <w:b w:val="0"/>
          <w:i/>
          <w:color w:val="5B5F77"/>
          <w:sz w:val="21"/>
        </w:rPr>
        <w:t>uptake</w:t>
      </w:r>
      <w:r>
        <w:rPr>
          <w:rFonts w:ascii="Inter" w:hAnsi="Inter" w:cs="Inter"/>
          <w:b w:val="0"/>
          <w:i w:val="0"/>
          <w:color w:val="5B5F77"/>
          <w:sz w:val="21"/>
        </w:rPr>
        <w:t xml:space="preserve"> y retroalimentación correctiva en interacción con agentes.</w:t>
      </w:r>
    </w:p>
    <w:p>
      <w:pPr>
        <w:pBdr>
          <w:bottom w:val="single" w:sz="6" w:space="1" w:color="E6E8F2"/>
        </w:pBdr>
      </w:pPr>
    </w:p>
    <w:p>
      <w:r>
        <w:rPr>
          <w:rFonts w:ascii="Inter" w:hAnsi="Inter" w:cs="Inter"/>
          <w:b w:val="0"/>
          <w:i/>
          <w:color w:val="1C1E2E"/>
          <w:sz w:val="22"/>
        </w:rPr>
        <w:t>© 2026 Ana Eslava-Graterol — MLLDE (Universitat Politècnica de València). TK Coach y «Capi» © Talketika. El MCER (Consejo de Europa) se parafrasea y se cita, no se reproduce; Cambridge, xAPI (ADL/IEEE), IPA y ESCO se citan como estándares. Elaborado con asistencia de IA; revisado y aprobado por la autora, en el espíritu del art. 50 de la Ley de IA de la UE.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