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rFonts w:ascii="Fraunces" w:hAnsi="Fraunces" w:cs="Fraunces"/>
          <w:b/>
          <w:i w:val="0"/>
          <w:color w:val="22307C"/>
          <w:sz w:val="42"/>
        </w:rPr>
        <w:t>Ana Zoraimy Eslava Graterol</w:t>
      </w:r>
    </w:p>
    <w:p>
      <w:pPr>
        <w:spacing w:before="240" w:after="120"/>
      </w:pPr>
      <w:r>
        <w:rPr>
          <w:rFonts w:ascii="Inter" w:hAnsi="Inter" w:cs="Inter"/>
          <w:b/>
          <w:i w:val="0"/>
          <w:color w:val="1C1E2E"/>
          <w:sz w:val="26"/>
        </w:rPr>
        <w:t>Academic curriculum vitae · Doctoral admission application</w:t>
      </w:r>
    </w:p>
    <w:p>
      <w:pPr>
        <w:pBdr>
          <w:bottom w:val="single" w:sz="6" w:space="1" w:color="E6E8F2"/>
        </w:pBdr>
      </w:pPr>
    </w:p>
    <w:p>
      <w:pPr>
        <w:spacing w:before="320" w:after="120"/>
      </w:pPr>
      <w:r>
        <w:rPr>
          <w:rFonts w:ascii="Fraunces" w:hAnsi="Fraunces" w:cs="Fraunces"/>
          <w:b/>
          <w:i w:val="0"/>
          <w:color w:val="22307C"/>
          <w:sz w:val="32"/>
        </w:rPr>
        <w:t>1 · Personal and contact details</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4824"/>
        <w:gridCol w:w="4824"/>
      </w:tblGrid>
      <w:tr>
        <w:tc>
          <w:tcPr>
            <w:tcW w:type="dxa" w:w="4824"/>
            <w:shd w:val="clear" w:color="auto" w:fill="EEF2FD"/>
          </w:tcPr>
          <w:p>
            <w:pPr>
              <w:spacing w:after="40"/>
            </w:pPr>
            <w:r/>
          </w:p>
        </w:tc>
        <w:tc>
          <w:tcPr>
            <w:tcW w:type="dxa" w:w="4824"/>
            <w:shd w:val="clear" w:color="auto" w:fill="EEF2FD"/>
          </w:tcPr>
          <w:p>
            <w:pPr>
              <w:spacing w:after="40"/>
            </w:pPr>
            <w:r/>
          </w:p>
        </w:tc>
      </w:tr>
      <w:tr>
        <w:tc>
          <w:tcPr>
            <w:tcW w:type="dxa" w:w="4824"/>
          </w:tcPr>
          <w:p>
            <w:pPr>
              <w:spacing w:after="40"/>
            </w:pPr>
            <w:r/>
            <w:r>
              <w:rPr>
                <w:rFonts w:ascii="Inter" w:hAnsi="Inter" w:cs="Inter"/>
                <w:b/>
                <w:i w:val="0"/>
                <w:color w:val="1C1E2E"/>
                <w:sz w:val="19"/>
              </w:rPr>
              <w:t>Name</w:t>
            </w:r>
          </w:p>
        </w:tc>
        <w:tc>
          <w:tcPr>
            <w:tcW w:type="dxa" w:w="4824"/>
          </w:tcPr>
          <w:p>
            <w:pPr>
              <w:spacing w:after="40"/>
            </w:pPr>
            <w:r/>
            <w:r>
              <w:rPr>
                <w:rFonts w:ascii="Inter" w:hAnsi="Inter" w:cs="Inter"/>
                <w:b w:val="0"/>
                <w:i w:val="0"/>
                <w:color w:val="1C1E2E"/>
                <w:sz w:val="19"/>
              </w:rPr>
              <w:t>Ana Zoraimy Eslava Graterol</w:t>
            </w:r>
          </w:p>
        </w:tc>
      </w:tr>
      <w:tr>
        <w:tc>
          <w:tcPr>
            <w:tcW w:type="dxa" w:w="4824"/>
          </w:tcPr>
          <w:p>
            <w:pPr>
              <w:spacing w:after="40"/>
            </w:pPr>
            <w:r/>
            <w:r>
              <w:rPr>
                <w:rFonts w:ascii="Inter" w:hAnsi="Inter" w:cs="Inter"/>
                <w:b/>
                <w:i w:val="0"/>
                <w:color w:val="1C1E2E"/>
                <w:sz w:val="19"/>
              </w:rPr>
              <w:t>Email</w:t>
            </w:r>
          </w:p>
        </w:tc>
        <w:tc>
          <w:tcPr>
            <w:tcW w:type="dxa" w:w="4824"/>
          </w:tcPr>
          <w:p>
            <w:pPr>
              <w:spacing w:after="40"/>
            </w:pPr>
            <w:r/>
            <w:r>
              <w:rPr>
                <w:rFonts w:ascii="Inter" w:hAnsi="Inter" w:cs="Inter"/>
                <w:b w:val="0"/>
                <w:i w:val="0"/>
                <w:color w:val="1C1E2E"/>
                <w:sz w:val="19"/>
              </w:rPr>
              <w:t>profeanaeslava@gmail.com</w:t>
            </w:r>
          </w:p>
        </w:tc>
      </w:tr>
      <w:tr>
        <w:tc>
          <w:tcPr>
            <w:tcW w:type="dxa" w:w="4824"/>
          </w:tcPr>
          <w:p>
            <w:pPr>
              <w:spacing w:after="40"/>
            </w:pPr>
            <w:r/>
            <w:r>
              <w:rPr>
                <w:rFonts w:ascii="Inter" w:hAnsi="Inter" w:cs="Inter"/>
                <w:b/>
                <w:i w:val="0"/>
                <w:color w:val="1C1E2E"/>
                <w:sz w:val="19"/>
              </w:rPr>
              <w:t>Phone</w:t>
            </w:r>
          </w:p>
        </w:tc>
        <w:tc>
          <w:tcPr>
            <w:tcW w:type="dxa" w:w="4824"/>
          </w:tcPr>
          <w:p>
            <w:pPr>
              <w:spacing w:after="40"/>
            </w:pPr>
            <w:r/>
            <w:r>
              <w:rPr>
                <w:rFonts w:ascii="Inter" w:hAnsi="Inter" w:cs="Inter"/>
                <w:b w:val="0"/>
                <w:i/>
                <w:color w:val="1C1E2E"/>
                <w:sz w:val="19"/>
              </w:rPr>
              <w:t>[to complete]</w:t>
            </w:r>
          </w:p>
        </w:tc>
      </w:tr>
      <w:tr>
        <w:tc>
          <w:tcPr>
            <w:tcW w:type="dxa" w:w="4824"/>
          </w:tcPr>
          <w:p>
            <w:pPr>
              <w:spacing w:after="40"/>
            </w:pPr>
            <w:r/>
            <w:r>
              <w:rPr>
                <w:rFonts w:ascii="Inter" w:hAnsi="Inter" w:cs="Inter"/>
                <w:b/>
                <w:i w:val="0"/>
                <w:color w:val="1C1E2E"/>
                <w:sz w:val="19"/>
              </w:rPr>
              <w:t>Location</w:t>
            </w:r>
          </w:p>
        </w:tc>
        <w:tc>
          <w:tcPr>
            <w:tcW w:type="dxa" w:w="4824"/>
          </w:tcPr>
          <w:p>
            <w:pPr>
              <w:spacing w:after="40"/>
            </w:pPr>
            <w:r/>
            <w:r>
              <w:rPr>
                <w:rFonts w:ascii="Inter" w:hAnsi="Inter" w:cs="Inter"/>
                <w:b w:val="0"/>
                <w:i w:val="0"/>
                <w:color w:val="1C1E2E"/>
                <w:sz w:val="19"/>
              </w:rPr>
              <w:t>Valencia, Spain — immediate availability</w:t>
            </w:r>
          </w:p>
        </w:tc>
      </w:tr>
      <w:tr>
        <w:tc>
          <w:tcPr>
            <w:tcW w:type="dxa" w:w="4824"/>
          </w:tcPr>
          <w:p>
            <w:pPr>
              <w:spacing w:after="40"/>
            </w:pPr>
            <w:r/>
            <w:r>
              <w:rPr>
                <w:rFonts w:ascii="Inter" w:hAnsi="Inter" w:cs="Inter"/>
                <w:b/>
                <w:i w:val="0"/>
                <w:color w:val="1C1E2E"/>
                <w:sz w:val="19"/>
              </w:rPr>
              <w:t>ORCID</w:t>
            </w:r>
          </w:p>
        </w:tc>
        <w:tc>
          <w:tcPr>
            <w:tcW w:type="dxa" w:w="4824"/>
          </w:tcPr>
          <w:p>
            <w:pPr>
              <w:spacing w:after="40"/>
            </w:pPr>
            <w:r/>
            <w:r>
              <w:rPr>
                <w:rFonts w:ascii="Inter" w:hAnsi="Inter" w:cs="Inter"/>
                <w:b w:val="0"/>
                <w:i w:val="0"/>
                <w:color w:val="1C1E2E"/>
                <w:sz w:val="19"/>
              </w:rPr>
              <w:t>https://orcid.org/0000-0002-8076-1189</w:t>
            </w:r>
          </w:p>
        </w:tc>
      </w:tr>
      <w:tr>
        <w:tc>
          <w:tcPr>
            <w:tcW w:type="dxa" w:w="4824"/>
          </w:tcPr>
          <w:p>
            <w:pPr>
              <w:spacing w:after="40"/>
            </w:pPr>
            <w:r/>
            <w:r>
              <w:rPr>
                <w:rFonts w:ascii="Inter" w:hAnsi="Inter" w:cs="Inter"/>
                <w:b/>
                <w:i w:val="0"/>
                <w:color w:val="1C1E2E"/>
                <w:sz w:val="19"/>
              </w:rPr>
              <w:t>LinkedIn</w:t>
            </w:r>
          </w:p>
        </w:tc>
        <w:tc>
          <w:tcPr>
            <w:tcW w:type="dxa" w:w="4824"/>
          </w:tcPr>
          <w:p>
            <w:pPr>
              <w:spacing w:after="40"/>
            </w:pPr>
            <w:r/>
            <w:r>
              <w:rPr>
                <w:rFonts w:ascii="Inter" w:hAnsi="Inter" w:cs="Inter"/>
                <w:b w:val="0"/>
                <w:i w:val="0"/>
                <w:color w:val="1C1E2E"/>
                <w:sz w:val="19"/>
              </w:rPr>
              <w:t>linkedin.com/in/anaeslava</w:t>
            </w:r>
          </w:p>
        </w:tc>
      </w:tr>
      <w:tr>
        <w:tc>
          <w:tcPr>
            <w:tcW w:type="dxa" w:w="4824"/>
          </w:tcPr>
          <w:p>
            <w:pPr>
              <w:spacing w:after="40"/>
            </w:pPr>
            <w:r/>
            <w:r>
              <w:rPr>
                <w:rFonts w:ascii="Inter" w:hAnsi="Inter" w:cs="Inter"/>
                <w:b/>
                <w:i w:val="0"/>
                <w:color w:val="1C1E2E"/>
                <w:sz w:val="19"/>
              </w:rPr>
              <w:t>Research portfolio</w:t>
            </w:r>
          </w:p>
        </w:tc>
        <w:tc>
          <w:tcPr>
            <w:tcW w:type="dxa" w:w="4824"/>
          </w:tcPr>
          <w:p>
            <w:pPr>
              <w:spacing w:after="40"/>
            </w:pPr>
            <w:r/>
            <w:r>
              <w:rPr>
                <w:rFonts w:ascii="Inter" w:hAnsi="Inter" w:cs="Inter"/>
                <w:b w:val="0"/>
                <w:i w:val="0"/>
                <w:color w:val="1C1E2E"/>
                <w:sz w:val="19"/>
              </w:rPr>
              <w:t>profeanaeslavaedtech.github.io/portofolio</w:t>
            </w:r>
          </w:p>
        </w:tc>
      </w:tr>
    </w:tbl>
    <w:p/>
    <w:p>
      <w:r>
        <w:rPr>
          <w:rFonts w:ascii="Inter" w:hAnsi="Inter" w:cs="Inter"/>
          <w:b/>
          <w:i w:val="0"/>
          <w:color w:val="1C1E2E"/>
          <w:sz w:val="22"/>
        </w:rPr>
        <w:t>Principal research line.</w:t>
      </w:r>
      <w:r>
        <w:rPr>
          <w:rFonts w:ascii="Inter" w:hAnsi="Inter" w:cs="Inter"/>
          <w:b w:val="0"/>
          <w:i w:val="0"/>
          <w:color w:val="1C1E2E"/>
          <w:sz w:val="22"/>
        </w:rPr>
        <w:t xml:space="preserve"> Applied linguistics in technology-mediated language teaching and </w:t>
      </w:r>
      <w:r>
        <w:rPr>
          <w:rFonts w:ascii="Inter" w:hAnsi="Inter" w:cs="Inter"/>
          <w:b/>
          <w:i w:val="0"/>
          <w:color w:val="1C1E2E"/>
          <w:sz w:val="22"/>
        </w:rPr>
        <w:t>assessment</w:t>
      </w:r>
      <w:r>
        <w:rPr>
          <w:rFonts w:ascii="Inter" w:hAnsi="Inter" w:cs="Inter"/>
          <w:b w:val="0"/>
          <w:i w:val="0"/>
          <w:color w:val="1C1E2E"/>
          <w:sz w:val="22"/>
        </w:rPr>
        <w:t xml:space="preserve">. Own framework </w:t>
      </w:r>
      <w:r>
        <w:rPr>
          <w:rFonts w:ascii="Inter" w:hAnsi="Inter" w:cs="Inter"/>
          <w:b/>
          <w:i w:val="0"/>
          <w:color w:val="1C1E2E"/>
          <w:sz w:val="22"/>
        </w:rPr>
        <w:t>MLLDE</w:t>
      </w:r>
      <w:r>
        <w:rPr>
          <w:rFonts w:ascii="Inter" w:hAnsi="Inter" w:cs="Inter"/>
          <w:b w:val="0"/>
          <w:i w:val="0"/>
          <w:color w:val="1C1E2E"/>
          <w:sz w:val="22"/>
        </w:rPr>
        <w:t xml:space="preserve"> (</w:t>
      </w:r>
      <w:r>
        <w:rPr>
          <w:rFonts w:ascii="Inter" w:hAnsi="Inter" w:cs="Inter"/>
          <w:b w:val="0"/>
          <w:i/>
          <w:color w:val="1C1E2E"/>
          <w:sz w:val="22"/>
        </w:rPr>
        <w:t>Multimodal Language Learning Design &amp; Evaluation</w:t>
      </w:r>
      <w:r>
        <w:rPr>
          <w:rFonts w:ascii="Inter" w:hAnsi="Inter" w:cs="Inter"/>
          <w:b w:val="0"/>
          <w:i w:val="0"/>
          <w:color w:val="1C1E2E"/>
          <w:sz w:val="22"/>
        </w:rPr>
        <w:t xml:space="preserve">), with two pillars: </w:t>
      </w:r>
      <w:r>
        <w:rPr>
          <w:rFonts w:ascii="Inter" w:hAnsi="Inter" w:cs="Inter"/>
          <w:b/>
          <w:i w:val="0"/>
          <w:color w:val="1C1E2E"/>
          <w:sz w:val="22"/>
        </w:rPr>
        <w:t>mobile curriculum design with modality as a declared variable</w:t>
      </w:r>
      <w:r>
        <w:rPr>
          <w:rFonts w:ascii="Inter" w:hAnsi="Inter" w:cs="Inter"/>
          <w:b w:val="0"/>
          <w:i w:val="0"/>
          <w:color w:val="1C1E2E"/>
          <w:sz w:val="22"/>
        </w:rPr>
        <w:t xml:space="preserve"> (text, audio, image, voice), and </w:t>
      </w:r>
      <w:r>
        <w:rPr>
          <w:rFonts w:ascii="Inter" w:hAnsi="Inter" w:cs="Inter"/>
          <w:b/>
          <w:i w:val="0"/>
          <w:color w:val="1C1E2E"/>
          <w:sz w:val="22"/>
        </w:rPr>
        <w:t>speaking assessment</w:t>
      </w:r>
      <w:r>
        <w:rPr>
          <w:rFonts w:ascii="Inter" w:hAnsi="Inter" w:cs="Inter"/>
          <w:b w:val="0"/>
          <w:i w:val="0"/>
          <w:color w:val="1C1E2E"/>
          <w:sz w:val="22"/>
        </w:rPr>
        <w:t xml:space="preserve"> anchored to the CEFR under the principle </w:t>
      </w:r>
      <w:r>
        <w:rPr>
          <w:rFonts w:ascii="Inter" w:hAnsi="Inter" w:cs="Inter"/>
          <w:b w:val="0"/>
          <w:i/>
          <w:color w:val="1C1E2E"/>
          <w:sz w:val="22"/>
        </w:rPr>
        <w:t>Measure ≠ Decide</w:t>
      </w:r>
      <w:r>
        <w:rPr>
          <w:rFonts w:ascii="Inter" w:hAnsi="Inter" w:cs="Inter"/>
          <w:b w:val="0"/>
          <w:i w:val="0"/>
          <w:color w:val="1C1E2E"/>
          <w:sz w:val="22"/>
        </w:rPr>
        <w:t xml:space="preserve"> — the model observes, a deterministic engine decides — with a </w:t>
      </w:r>
      <w:r>
        <w:rPr>
          <w:rFonts w:ascii="Inter" w:hAnsi="Inter" w:cs="Inter"/>
          <w:b/>
          <w:i w:val="0"/>
          <w:color w:val="1C1E2E"/>
          <w:sz w:val="22"/>
        </w:rPr>
        <w:t>three-tier evidence model</w:t>
      </w:r>
      <w:r>
        <w:rPr>
          <w:rFonts w:ascii="Inter" w:hAnsi="Inter" w:cs="Inter"/>
          <w:b w:val="0"/>
          <w:i w:val="0"/>
          <w:color w:val="1C1E2E"/>
          <w:sz w:val="22"/>
        </w:rPr>
        <w:t xml:space="preserve"> for pronunciation and xAPI traceability.</w:t>
      </w:r>
    </w:p>
    <w:p>
      <w:pPr>
        <w:pBdr>
          <w:bottom w:val="single" w:sz="6" w:space="1" w:color="E6E8F2"/>
        </w:pBdr>
      </w:pPr>
    </w:p>
    <w:p>
      <w:pPr>
        <w:spacing w:before="320" w:after="120"/>
      </w:pPr>
      <w:r>
        <w:rPr>
          <w:rFonts w:ascii="Fraunces" w:hAnsi="Fraunces" w:cs="Fraunces"/>
          <w:b/>
          <w:i w:val="0"/>
          <w:color w:val="22307C"/>
          <w:sz w:val="32"/>
        </w:rPr>
        <w:t>2 · Education</w:t>
      </w:r>
    </w:p>
    <w:p>
      <w:r>
        <w:rPr>
          <w:rFonts w:ascii="Inter" w:hAnsi="Inter" w:cs="Inter"/>
          <w:b/>
          <w:i w:val="0"/>
          <w:color w:val="1C1E2E"/>
          <w:sz w:val="22"/>
        </w:rPr>
        <w:t>Master's Degree in Languages and Technology</w:t>
      </w:r>
      <w:r>
        <w:rPr>
          <w:rFonts w:ascii="Inter" w:hAnsi="Inter" w:cs="Inter"/>
          <w:b w:val="0"/>
          <w:i w:val="0"/>
          <w:color w:val="1C1E2E"/>
          <w:sz w:val="22"/>
        </w:rPr>
        <w:t xml:space="preserve"> — Didactics specialisation</w:t>
      </w:r>
    </w:p>
    <w:p>
      <w:r>
        <w:rPr>
          <w:rFonts w:ascii="Inter" w:hAnsi="Inter" w:cs="Inter"/>
          <w:b w:val="0"/>
          <w:i/>
          <w:color w:val="1C1E2E"/>
          <w:sz w:val="22"/>
        </w:rPr>
        <w:t>Universitat Politècnica de València (UPV), Spain</w:t>
      </w:r>
      <w:r>
        <w:rPr>
          <w:rFonts w:ascii="Inter" w:hAnsi="Inter" w:cs="Inter"/>
          <w:b w:val="0"/>
          <w:i w:val="0"/>
          <w:color w:val="1C1E2E"/>
          <w:sz w:val="22"/>
        </w:rPr>
        <w:t xml:space="preserve"> · </w:t>
      </w:r>
      <w:r>
        <w:rPr>
          <w:rFonts w:ascii="Inter" w:hAnsi="Inter" w:cs="Inter"/>
          <w:b/>
          <w:i w:val="0"/>
          <w:color w:val="1C1E2E"/>
          <w:sz w:val="22"/>
        </w:rPr>
        <w:t>July 2026</w:t>
      </w:r>
    </w:p>
    <w:p>
      <w:pPr>
        <w:pStyle w:val="ListBullet"/>
        <w:spacing w:after="60"/>
        <w:ind w:left="403"/>
      </w:pPr>
      <w:r>
        <w:rPr>
          <w:rFonts w:ascii="Inter" w:hAnsi="Inter" w:cs="Inter"/>
          <w:b/>
          <w:i w:val="0"/>
          <w:color w:val="1C1E2E"/>
          <w:sz w:val="22"/>
        </w:rPr>
        <w:t>Grade-point average: 9.4 / 10</w:t>
      </w:r>
      <w:r>
        <w:rPr>
          <w:rFonts w:ascii="Inter" w:hAnsi="Inter" w:cs="Inter"/>
          <w:b w:val="0"/>
          <w:i w:val="0"/>
          <w:color w:val="1C1E2E"/>
          <w:sz w:val="22"/>
        </w:rPr>
        <w:t xml:space="preserve"> · </w:t>
      </w:r>
      <w:r>
        <w:rPr>
          <w:rFonts w:ascii="Inter" w:hAnsi="Inter" w:cs="Inter"/>
          <w:b/>
          <w:i w:val="0"/>
          <w:color w:val="1C1E2E"/>
          <w:sz w:val="22"/>
        </w:rPr>
        <w:t>2 Matrículas de Honor</w:t>
      </w:r>
      <w:r>
        <w:rPr>
          <w:rFonts w:ascii="Inter" w:hAnsi="Inter" w:cs="Inter"/>
          <w:b w:val="0"/>
          <w:i w:val="0"/>
          <w:color w:val="1C1E2E"/>
          <w:sz w:val="22"/>
        </w:rPr>
        <w:t xml:space="preserve"> (highest distinction)</w:t>
      </w:r>
    </w:p>
    <w:p>
      <w:pPr>
        <w:pStyle w:val="ListBullet"/>
        <w:spacing w:after="60"/>
        <w:ind w:left="403"/>
      </w:pPr>
      <w:r>
        <w:rPr>
          <w:rFonts w:ascii="Inter" w:hAnsi="Inter" w:cs="Inter"/>
          <w:b/>
          <w:i w:val="0"/>
          <w:color w:val="1C1E2E"/>
          <w:sz w:val="22"/>
        </w:rPr>
        <w:t>Master's thesis:</w:t>
      </w:r>
      <w:r>
        <w:rPr>
          <w:rFonts w:ascii="Inter" w:hAnsi="Inter" w:cs="Inter"/>
          <w:b w:val="0"/>
          <w:i w:val="0"/>
          <w:color w:val="1C1E2E"/>
          <w:sz w:val="22"/>
        </w:rPr>
        <w:t xml:space="preserve"> </w:t>
      </w:r>
      <w:r>
        <w:rPr>
          <w:rFonts w:ascii="Inter" w:hAnsi="Inter" w:cs="Inter"/>
          <w:b w:val="0"/>
          <w:i/>
          <w:color w:val="1C1E2E"/>
          <w:sz w:val="22"/>
        </w:rPr>
        <w:t>Disciplinary variation in metadiscourse use across master's thesis abstracts</w:t>
      </w:r>
      <w:r>
        <w:rPr>
          <w:rFonts w:ascii="Inter" w:hAnsi="Inter" w:cs="Inter"/>
          <w:b w:val="0"/>
          <w:i w:val="0"/>
          <w:color w:val="1C1E2E"/>
          <w:sz w:val="22"/>
        </w:rPr>
        <w:t xml:space="preserve"> — a corpus of 180 abstracts from six disciplines (18,000 words, 920 markers), analysed with METOOL under Hyland's (2005) framework.</w:t>
      </w:r>
    </w:p>
    <w:p>
      <w:pPr>
        <w:pStyle w:val="ListBullet"/>
        <w:spacing w:after="60"/>
        <w:ind w:left="403"/>
      </w:pPr>
      <w:r>
        <w:rPr>
          <w:rFonts w:ascii="Inter" w:hAnsi="Inter" w:cs="Inter"/>
          <w:b/>
          <w:i w:val="0"/>
          <w:color w:val="1C1E2E"/>
          <w:sz w:val="22"/>
        </w:rPr>
        <w:t>Supervisor:</w:t>
      </w:r>
      <w:r>
        <w:rPr>
          <w:rFonts w:ascii="Inter" w:hAnsi="Inter" w:cs="Inter"/>
          <w:b w:val="0"/>
          <w:i w:val="0"/>
          <w:color w:val="1C1E2E"/>
          <w:sz w:val="22"/>
        </w:rPr>
        <w:t xml:space="preserve"> Prof. Mª Luisa Carrió-Pastor, Department of Applied Linguistics, UPV.</w:t>
      </w:r>
    </w:p>
    <w:p>
      <w:pPr>
        <w:pStyle w:val="ListBullet"/>
        <w:spacing w:after="60"/>
        <w:ind w:left="403"/>
      </w:pPr>
      <w:r>
        <w:rPr>
          <w:rFonts w:ascii="Inter" w:hAnsi="Inter" w:cs="Inter"/>
          <w:b/>
          <w:i w:val="0"/>
          <w:color w:val="1C1E2E"/>
          <w:sz w:val="22"/>
        </w:rPr>
        <w:t>Doctoral supervision:</w:t>
      </w:r>
      <w:r>
        <w:rPr>
          <w:rFonts w:ascii="Inter" w:hAnsi="Inter" w:cs="Inter"/>
          <w:b w:val="0"/>
          <w:i w:val="0"/>
          <w:color w:val="1C1E2E"/>
          <w:sz w:val="22"/>
        </w:rPr>
        <w:t xml:space="preserve"> Prof. Mª Luisa Carrió-Pastor (supervisor) and Prof. Ricardo Casañ-Pitarch (co-supervisor) — PhD Programme in </w:t>
      </w:r>
      <w:r>
        <w:rPr>
          <w:rFonts w:ascii="Inter" w:hAnsi="Inter" w:cs="Inter"/>
          <w:b/>
          <w:i w:val="0"/>
          <w:color w:val="1C1E2E"/>
          <w:sz w:val="22"/>
        </w:rPr>
        <w:t>Languages, Literatures and Cultures, and their Applications</w:t>
      </w:r>
      <w:r>
        <w:rPr>
          <w:rFonts w:ascii="Inter" w:hAnsi="Inter" w:cs="Inter"/>
          <w:b w:val="0"/>
          <w:i w:val="0"/>
          <w:color w:val="1C1E2E"/>
          <w:sz w:val="22"/>
        </w:rPr>
        <w:t>, UPV.</w:t>
      </w:r>
    </w:p>
    <w:p>
      <w:r>
        <w:rPr>
          <w:rFonts w:ascii="Inter" w:hAnsi="Inter" w:cs="Inter"/>
          <w:b/>
          <w:i w:val="0"/>
          <w:color w:val="1C1E2E"/>
          <w:sz w:val="22"/>
        </w:rPr>
        <w:t>Licenciada en Educación, mención Inglés</w:t>
      </w:r>
      <w:r>
        <w:rPr>
          <w:rFonts w:ascii="Inter" w:hAnsi="Inter" w:cs="Inter"/>
          <w:b w:val="0"/>
          <w:i w:val="0"/>
          <w:color w:val="1C1E2E"/>
          <w:sz w:val="22"/>
        </w:rPr>
        <w:t xml:space="preserve"> (Degree in Education, English major)</w:t>
      </w:r>
    </w:p>
    <w:p>
      <w:r>
        <w:rPr>
          <w:rFonts w:ascii="Inter" w:hAnsi="Inter" w:cs="Inter"/>
          <w:b w:val="0"/>
          <w:i/>
          <w:color w:val="1C1E2E"/>
          <w:sz w:val="22"/>
        </w:rPr>
        <w:t>Universidad de Los Andes (ULA) — Núcleo Universitario "Dr. Pedro Rincón Gutiérrez", Táchira, Venezuela</w:t>
      </w:r>
      <w:r>
        <w:rPr>
          <w:rFonts w:ascii="Inter" w:hAnsi="Inter" w:cs="Inter"/>
          <w:b w:val="0"/>
          <w:i w:val="0"/>
          <w:color w:val="1C1E2E"/>
          <w:sz w:val="22"/>
        </w:rPr>
        <w:t xml:space="preserve"> · studies 1999–2003, degree conferred 2004</w:t>
      </w:r>
    </w:p>
    <w:p>
      <w:pPr>
        <w:pStyle w:val="ListBullet"/>
        <w:spacing w:after="60"/>
        <w:ind w:left="403"/>
      </w:pPr>
      <w:r>
        <w:rPr>
          <w:rFonts w:ascii="Inter" w:hAnsi="Inter" w:cs="Inter"/>
          <w:b/>
          <w:i w:val="0"/>
          <w:color w:val="1C1E2E"/>
          <w:sz w:val="22"/>
        </w:rPr>
        <w:t>Grade-point average: 9.07 / 10</w:t>
      </w:r>
      <w:r>
        <w:rPr>
          <w:rFonts w:ascii="Inter" w:hAnsi="Inter" w:cs="Inter"/>
          <w:b w:val="0"/>
          <w:i w:val="0"/>
          <w:color w:val="1C1E2E"/>
          <w:sz w:val="22"/>
        </w:rPr>
        <w:t xml:space="preserve"> on the Spanish scale — official </w:t>
      </w:r>
      <w:r>
        <w:rPr>
          <w:rFonts w:ascii="Inter" w:hAnsi="Inter" w:cs="Inter"/>
          <w:b w:val="0"/>
          <w:i/>
          <w:color w:val="1C1E2E"/>
          <w:sz w:val="22"/>
        </w:rPr>
        <w:t>grade-equivalence declaration</w:t>
      </w:r>
      <w:r>
        <w:rPr>
          <w:rFonts w:ascii="Inter" w:hAnsi="Inter" w:cs="Inter"/>
          <w:b w:val="0"/>
          <w:i w:val="0"/>
          <w:color w:val="1C1E2E"/>
          <w:sz w:val="22"/>
        </w:rPr>
        <w:t>, Spanish General Secretariat for Universities (18.97/20 on the home scale).</w:t>
      </w:r>
    </w:p>
    <w:p>
      <w:pPr>
        <w:pStyle w:val="ListBullet"/>
        <w:spacing w:after="60"/>
        <w:ind w:left="403"/>
      </w:pPr>
      <w:r>
        <w:rPr>
          <w:rFonts w:ascii="Inter" w:hAnsi="Inter" w:cs="Inter"/>
          <w:b/>
          <w:i w:val="0"/>
          <w:color w:val="1C1E2E"/>
          <w:sz w:val="22"/>
        </w:rPr>
        <w:t>Degree declared equivalent to the academic level of *Grado</w:t>
      </w:r>
      <w:r>
        <w:rPr>
          <w:rFonts w:ascii="Inter" w:hAnsi="Inter" w:cs="Inter"/>
          <w:b w:val="0"/>
          <w:i w:val="0"/>
          <w:color w:val="1C1E2E"/>
          <w:sz w:val="22"/>
        </w:rPr>
        <w:t>* (Arts and Humanities, specific field Languages) — Spanish Ministry of Universities, RD 967/2014, 17 June 2020.</w:t>
      </w:r>
    </w:p>
    <w:p>
      <w:pPr>
        <w:pStyle w:val="ListBullet"/>
        <w:spacing w:after="60"/>
        <w:ind w:left="403"/>
      </w:pPr>
      <w:r>
        <w:rPr>
          <w:rFonts w:ascii="Inter" w:hAnsi="Inter" w:cs="Inter"/>
          <w:b/>
          <w:i w:val="0"/>
          <w:color w:val="1C1E2E"/>
          <w:sz w:val="22"/>
        </w:rPr>
        <w:t>Summa Cum Laude</w:t>
      </w:r>
      <w:r>
        <w:rPr>
          <w:rFonts w:ascii="Inter" w:hAnsi="Inter" w:cs="Inter"/>
          <w:b w:val="0"/>
          <w:i w:val="0"/>
          <w:color w:val="1C1E2E"/>
          <w:sz w:val="22"/>
        </w:rPr>
        <w:t>. Degree research lines: curriculum design and English language teaching.</w:t>
      </w:r>
    </w:p>
    <w:p>
      <w:pPr>
        <w:pBdr>
          <w:bottom w:val="single" w:sz="6" w:space="1" w:color="E6E8F2"/>
        </w:pBdr>
      </w:pPr>
    </w:p>
    <w:p>
      <w:pPr>
        <w:spacing w:before="320" w:after="120"/>
      </w:pPr>
      <w:r>
        <w:rPr>
          <w:rFonts w:ascii="Fraunces" w:hAnsi="Fraunces" w:cs="Fraunces"/>
          <w:b/>
          <w:i w:val="0"/>
          <w:color w:val="22307C"/>
          <w:sz w:val="32"/>
        </w:rPr>
        <w:t>3 · Scholarships, awards and distinctions</w:t>
      </w:r>
    </w:p>
    <w:p>
      <w:pPr>
        <w:pBdr>
          <w:left w:val="single" w:sz="18" w:space="8" w:color="9A5B00"/>
        </w:pBdr>
        <w:spacing w:before="120" w:after="200"/>
        <w:ind w:left="317"/>
      </w:pPr>
      <w:r>
        <w:rPr>
          <w:rFonts w:ascii="Inter" w:hAnsi="Inter" w:cs="Inter"/>
          <w:b/>
          <w:i w:val="0"/>
          <w:color w:val="5B5F77"/>
          <w:sz w:val="21"/>
        </w:rPr>
        <w:t>First in the graduating class, and sustained academic excellence across the whole degree.</w:t>
      </w:r>
    </w:p>
    <w:p>
      <w:r>
        <w:rPr>
          <w:rFonts w:ascii="Inter" w:hAnsi="Inter" w:cs="Inter"/>
          <w:b/>
          <w:i w:val="0"/>
          <w:color w:val="1C1E2E"/>
          <w:sz w:val="22"/>
        </w:rPr>
        <w:t>Order "Luis María Ribas Dávila" — Universidad de Los Andes · 2000, 2001, 2002 and 2003</w:t>
      </w:r>
    </w:p>
    <w:p>
      <w:r>
        <w:rPr>
          <w:rFonts w:ascii="Inter" w:hAnsi="Inter" w:cs="Inter"/>
          <w:b w:val="0"/>
          <w:i w:val="0"/>
          <w:color w:val="1C1E2E"/>
          <w:sz w:val="22"/>
        </w:rPr>
        <w:t xml:space="preserve">A rectoral distinction conferred for the </w:t>
      </w:r>
      <w:r>
        <w:rPr>
          <w:rFonts w:ascii="Inter" w:hAnsi="Inter" w:cs="Inter"/>
          <w:b/>
          <w:i w:val="0"/>
          <w:color w:val="1C1E2E"/>
          <w:sz w:val="22"/>
        </w:rPr>
        <w:t>highest academic performance</w:t>
      </w:r>
      <w:r>
        <w:rPr>
          <w:rFonts w:ascii="Inter" w:hAnsi="Inter" w:cs="Inter"/>
          <w:b w:val="0"/>
          <w:i w:val="0"/>
          <w:color w:val="1C1E2E"/>
          <w:sz w:val="22"/>
        </w:rPr>
        <w:t xml:space="preserve"> in the School of Education, Núcleo Universitario del Táchira. </w:t>
      </w:r>
      <w:r>
        <w:rPr>
          <w:rFonts w:ascii="Inter" w:hAnsi="Inter" w:cs="Inter"/>
          <w:b/>
          <w:i w:val="0"/>
          <w:color w:val="1C1E2E"/>
          <w:sz w:val="22"/>
        </w:rPr>
        <w:t>Awarded in four consecutive years</w:t>
      </w:r>
      <w:r>
        <w:rPr>
          <w:rFonts w:ascii="Inter" w:hAnsi="Inter" w:cs="Inter"/>
          <w:b w:val="0"/>
          <w:i w:val="0"/>
          <w:color w:val="1C1E2E"/>
          <w:sz w:val="22"/>
        </w:rPr>
        <w:t xml:space="preserve"> — in every year she was assessed — evidencing excellence as a sustained trajectory rather than a single result. Signed by the Rector and the General Secretary of ULA.</w:t>
      </w:r>
    </w:p>
    <w:p>
      <w:r>
        <w:rPr>
          <w:rFonts w:ascii="Inter" w:hAnsi="Inter" w:cs="Inter"/>
          <w:b/>
          <w:i w:val="0"/>
          <w:color w:val="1C1E2E"/>
          <w:sz w:val="22"/>
        </w:rPr>
        <w:t>First in the graduating class — 1st of 56 graduates</w:t>
      </w:r>
    </w:p>
    <w:p>
      <w:r>
        <w:rPr>
          <w:rFonts w:ascii="Inter" w:hAnsi="Inter" w:cs="Inter"/>
          <w:b w:val="0"/>
          <w:i w:val="0"/>
          <w:color w:val="1C1E2E"/>
          <w:sz w:val="22"/>
        </w:rPr>
        <w:t xml:space="preserve">Own average </w:t>
      </w:r>
      <w:r>
        <w:rPr>
          <w:rFonts w:ascii="Inter" w:hAnsi="Inter" w:cs="Inter"/>
          <w:b/>
          <w:i w:val="0"/>
          <w:color w:val="1C1E2E"/>
          <w:sz w:val="22"/>
        </w:rPr>
        <w:t>18.97/20</w:t>
      </w:r>
      <w:r>
        <w:rPr>
          <w:rFonts w:ascii="Inter" w:hAnsi="Inter" w:cs="Inter"/>
          <w:b w:val="0"/>
          <w:i w:val="0"/>
          <w:color w:val="1C1E2E"/>
          <w:sz w:val="22"/>
        </w:rPr>
        <w:t xml:space="preserve"> against the cohort's </w:t>
      </w:r>
      <w:r>
        <w:rPr>
          <w:rFonts w:ascii="Inter" w:hAnsi="Inter" w:cs="Inter"/>
          <w:b/>
          <w:i w:val="0"/>
          <w:color w:val="1C1E2E"/>
          <w:sz w:val="22"/>
        </w:rPr>
        <w:t>15.77/20</w:t>
      </w:r>
      <w:r>
        <w:rPr>
          <w:rFonts w:ascii="Inter" w:hAnsi="Inter" w:cs="Inter"/>
          <w:b w:val="0"/>
          <w:i w:val="0"/>
          <w:color w:val="1C1E2E"/>
          <w:sz w:val="22"/>
        </w:rPr>
        <w:t xml:space="preserve"> (+3.20 points). Evidenced by the </w:t>
      </w:r>
      <w:r>
        <w:rPr>
          <w:rFonts w:ascii="Inter" w:hAnsi="Inter" w:cs="Inter"/>
          <w:b/>
          <w:i w:val="0"/>
          <w:color w:val="1C1E2E"/>
          <w:sz w:val="22"/>
        </w:rPr>
        <w:t>Academic Rank Certificate</w:t>
      </w:r>
      <w:r>
        <w:rPr>
          <w:rFonts w:ascii="Inter" w:hAnsi="Inter" w:cs="Inter"/>
          <w:b w:val="0"/>
          <w:i w:val="0"/>
          <w:color w:val="1C1E2E"/>
          <w:sz w:val="22"/>
        </w:rPr>
        <w:t xml:space="preserve"> of the Student Records Office, with Rectorate signature certification and a </w:t>
      </w:r>
      <w:r>
        <w:rPr>
          <w:rFonts w:ascii="Inter" w:hAnsi="Inter" w:cs="Inter"/>
          <w:b/>
          <w:i w:val="0"/>
          <w:color w:val="1C1E2E"/>
          <w:sz w:val="22"/>
        </w:rPr>
        <w:t>Hague Apostille</w:t>
      </w:r>
      <w:r>
        <w:rPr>
          <w:rFonts w:ascii="Inter" w:hAnsi="Inter" w:cs="Inter"/>
          <w:b w:val="0"/>
          <w:i w:val="0"/>
          <w:color w:val="1C1E2E"/>
          <w:sz w:val="22"/>
        </w:rPr>
        <w:t xml:space="preserve">. It is the Venezuelan functional equivalent of the Spanish </w:t>
      </w:r>
      <w:r>
        <w:rPr>
          <w:rFonts w:ascii="Inter" w:hAnsi="Inter" w:cs="Inter"/>
          <w:b w:val="0"/>
          <w:i/>
          <w:color w:val="1C1E2E"/>
          <w:sz w:val="22"/>
        </w:rPr>
        <w:t>Premio Extraordinario Fin de Carrera</w:t>
      </w:r>
      <w:r>
        <w:rPr>
          <w:rFonts w:ascii="Inter" w:hAnsi="Inter" w:cs="Inter"/>
          <w:b w:val="0"/>
          <w:i w:val="0"/>
          <w:color w:val="1C1E2E"/>
          <w:sz w:val="22"/>
        </w:rPr>
        <w:t>.</w:t>
      </w:r>
    </w:p>
    <w:p>
      <w:r>
        <w:rPr>
          <w:rFonts w:ascii="Inter" w:hAnsi="Inter" w:cs="Inter"/>
          <w:b/>
          <w:i w:val="0"/>
          <w:color w:val="1C1E2E"/>
          <w:sz w:val="22"/>
        </w:rPr>
        <w:t>High Academic Performance Scholarship — Directorate of Student Affairs, ULA-Táchira</w:t>
      </w:r>
    </w:p>
    <w:p>
      <w:r>
        <w:rPr>
          <w:rFonts w:ascii="Inter" w:hAnsi="Inter" w:cs="Inter"/>
          <w:b w:val="0"/>
          <w:i w:val="0"/>
          <w:color w:val="1C1E2E"/>
          <w:sz w:val="22"/>
        </w:rPr>
        <w:t xml:space="preserve">A </w:t>
      </w:r>
      <w:r>
        <w:rPr>
          <w:rFonts w:ascii="Inter" w:hAnsi="Inter" w:cs="Inter"/>
          <w:b/>
          <w:i w:val="0"/>
          <w:color w:val="1C1E2E"/>
          <w:sz w:val="22"/>
        </w:rPr>
        <w:t>merit scholarship, not need-based aid</w:t>
      </w:r>
      <w:r>
        <w:rPr>
          <w:rFonts w:ascii="Inter" w:hAnsi="Inter" w:cs="Inter"/>
          <w:b w:val="0"/>
          <w:i w:val="0"/>
          <w:color w:val="1C1E2E"/>
          <w:sz w:val="22"/>
        </w:rPr>
        <w:t>, awarded on academic performance. Certified period July–December 2003, still current at the date of the certificate (13 May 2004).</w:t>
      </w:r>
    </w:p>
    <w:p>
      <w:r>
        <w:rPr>
          <w:rFonts w:ascii="Inter" w:hAnsi="Inter" w:cs="Inter"/>
          <w:b/>
          <w:i w:val="0"/>
          <w:color w:val="1C1E2E"/>
          <w:sz w:val="22"/>
        </w:rPr>
        <w:t>General scholarship, Spanish Ministry of Education, Vocational Training and Sport — 2025/2026</w:t>
      </w:r>
    </w:p>
    <w:p>
      <w:r>
        <w:rPr>
          <w:rFonts w:ascii="Inter" w:hAnsi="Inter" w:cs="Inter"/>
          <w:b w:val="0"/>
          <w:i w:val="0"/>
          <w:color w:val="1C1E2E"/>
          <w:sz w:val="22"/>
        </w:rPr>
        <w:t xml:space="preserve">Awarded for the Master's in Languages and Technology (UPV) under the general call, Order EFD/335/25 of 3 April. Includes a </w:t>
      </w:r>
      <w:r>
        <w:rPr>
          <w:rFonts w:ascii="Inter" w:hAnsi="Inter" w:cs="Inter"/>
          <w:b/>
          <w:i w:val="0"/>
          <w:color w:val="1C1E2E"/>
          <w:sz w:val="22"/>
        </w:rPr>
        <w:t>tuition scholarship</w:t>
      </w:r>
      <w:r>
        <w:rPr>
          <w:rFonts w:ascii="Inter" w:hAnsi="Inter" w:cs="Inter"/>
          <w:b w:val="0"/>
          <w:i w:val="0"/>
          <w:color w:val="1C1E2E"/>
          <w:sz w:val="22"/>
        </w:rPr>
        <w:t xml:space="preserve"> and an </w:t>
      </w:r>
      <w:r>
        <w:rPr>
          <w:rFonts w:ascii="Inter" w:hAnsi="Inter" w:cs="Inter"/>
          <w:b/>
          <w:i w:val="0"/>
          <w:color w:val="1C1E2E"/>
          <w:sz w:val="22"/>
        </w:rPr>
        <w:t>academic excellence component for the grade-average band 9–9.49</w:t>
      </w:r>
      <w:r>
        <w:rPr>
          <w:rFonts w:ascii="Inter" w:hAnsi="Inter" w:cs="Inter"/>
          <w:b w:val="0"/>
          <w:i w:val="0"/>
          <w:color w:val="1C1E2E"/>
          <w:sz w:val="22"/>
        </w:rPr>
        <w:t>: the Ministry thereby certifies, in an independent act, that the master's record falls in that band.</w:t>
      </w:r>
    </w:p>
    <w:p>
      <w:r>
        <w:rPr>
          <w:rFonts w:ascii="Inter" w:hAnsi="Inter" w:cs="Inter"/>
          <w:b/>
          <w:i w:val="0"/>
          <w:color w:val="1C1E2E"/>
          <w:sz w:val="22"/>
        </w:rPr>
        <w:t>Diploma of Honour from the Rector of ULA</w:t>
      </w:r>
      <w:r>
        <w:rPr>
          <w:rFonts w:ascii="Inter" w:hAnsi="Inter" w:cs="Inter"/>
          <w:b w:val="0"/>
          <w:i w:val="0"/>
          <w:color w:val="1C1E2E"/>
          <w:sz w:val="22"/>
        </w:rPr>
        <w:t xml:space="preserve"> — final-year dissertation graded </w:t>
      </w:r>
      <w:r>
        <w:rPr>
          <w:rFonts w:ascii="Inter" w:hAnsi="Inter" w:cs="Inter"/>
          <w:b/>
          <w:i w:val="0"/>
          <w:color w:val="1C1E2E"/>
          <w:sz w:val="22"/>
        </w:rPr>
        <w:t>20/20, Sobresaliente</w:t>
      </w:r>
      <w:r>
        <w:rPr>
          <w:rFonts w:ascii="Inter" w:hAnsi="Inter" w:cs="Inter"/>
          <w:b w:val="0"/>
          <w:i w:val="0"/>
          <w:color w:val="1C1E2E"/>
          <w:sz w:val="22"/>
        </w:rPr>
        <w:t xml:space="preserve"> (15 November 2004).</w:t>
      </w:r>
    </w:p>
    <w:p>
      <w:r>
        <w:rPr>
          <w:rFonts w:ascii="Inter" w:hAnsi="Inter" w:cs="Inter"/>
          <w:b/>
          <w:i w:val="0"/>
          <w:color w:val="1C1E2E"/>
          <w:sz w:val="22"/>
        </w:rPr>
        <w:t>2 Matrículas de Honor</w:t>
      </w:r>
      <w:r>
        <w:rPr>
          <w:rFonts w:ascii="Inter" w:hAnsi="Inter" w:cs="Inter"/>
          <w:b w:val="0"/>
          <w:i w:val="0"/>
          <w:color w:val="1C1E2E"/>
          <w:sz w:val="22"/>
        </w:rPr>
        <w:t xml:space="preserve"> in the Master's Degree in Languages and Technology (UPV, 2026).</w:t>
      </w:r>
    </w:p>
    <w:p>
      <w:r>
        <w:rPr>
          <w:rFonts w:ascii="Inter" w:hAnsi="Inter" w:cs="Inter"/>
          <w:b/>
          <w:i w:val="0"/>
          <w:color w:val="1C1E2E"/>
          <w:sz w:val="22"/>
        </w:rPr>
        <w:t>Graded 10/10</w:t>
      </w:r>
      <w:r>
        <w:rPr>
          <w:rFonts w:ascii="Inter" w:hAnsi="Inter" w:cs="Inter"/>
          <w:b w:val="0"/>
          <w:i w:val="0"/>
          <w:color w:val="1C1E2E"/>
          <w:sz w:val="22"/>
        </w:rPr>
        <w:t xml:space="preserve"> for inclusive design of the </w:t>
      </w:r>
      <w:r>
        <w:rPr>
          <w:rFonts w:ascii="Inter" w:hAnsi="Inter" w:cs="Inter"/>
          <w:b w:val="0"/>
          <w:i/>
          <w:color w:val="1C1E2E"/>
          <w:sz w:val="22"/>
        </w:rPr>
        <w:t>Academic Writing Journey</w:t>
      </w:r>
      <w:r>
        <w:rPr>
          <w:rFonts w:ascii="Inter" w:hAnsi="Inter" w:cs="Inter"/>
          <w:b w:val="0"/>
          <w:i w:val="0"/>
          <w:color w:val="1C1E2E"/>
          <w:sz w:val="22"/>
        </w:rPr>
        <w:t xml:space="preserve"> project (UPV, 2026), in the course "Simulation, Games and Technology Applied to Teaching Strategies and Research Methodology".</w:t>
      </w:r>
    </w:p>
    <w:p>
      <w:pPr>
        <w:pBdr>
          <w:bottom w:val="single" w:sz="6" w:space="1" w:color="E6E8F2"/>
        </w:pBdr>
      </w:pPr>
    </w:p>
    <w:p>
      <w:pPr>
        <w:spacing w:before="320" w:after="120"/>
      </w:pPr>
      <w:r>
        <w:rPr>
          <w:rFonts w:ascii="Fraunces" w:hAnsi="Fraunces" w:cs="Fraunces"/>
          <w:b/>
          <w:i w:val="0"/>
          <w:color w:val="22307C"/>
          <w:sz w:val="32"/>
        </w:rPr>
        <w:t>4 · Research output and publications</w:t>
      </w:r>
    </w:p>
    <w:p>
      <w:r>
        <w:rPr>
          <w:rFonts w:ascii="Inter" w:hAnsi="Inter" w:cs="Inter"/>
          <w:b/>
          <w:i w:val="0"/>
          <w:color w:val="1C1E2E"/>
          <w:sz w:val="22"/>
        </w:rPr>
        <w:t>Peer-reviewed article in an indexed journal</w:t>
      </w:r>
    </w:p>
    <w:p>
      <w:pPr>
        <w:pBdr>
          <w:left w:val="single" w:sz="18" w:space="8" w:color="9A5B00"/>
        </w:pBdr>
        <w:spacing w:before="120" w:after="200"/>
        <w:ind w:left="317"/>
      </w:pPr>
      <w:r>
        <w:rPr>
          <w:rFonts w:ascii="Inter" w:hAnsi="Inter" w:cs="Inter"/>
          <w:b w:val="0"/>
          <w:i w:val="0"/>
          <w:color w:val="5B5F77"/>
          <w:sz w:val="21"/>
        </w:rPr>
        <w:t xml:space="preserve">Eslava Graterol, A. Z. (2005). Estudio sobre el perfil del alumno en Educación Mención Inglés de la ULA-Táchira. </w:t>
      </w:r>
      <w:r>
        <w:rPr>
          <w:rFonts w:ascii="Inter" w:hAnsi="Inter" w:cs="Inter"/>
          <w:b w:val="0"/>
          <w:i/>
          <w:color w:val="5B5F77"/>
          <w:sz w:val="21"/>
        </w:rPr>
        <w:t>Kaleidoscopio, 2</w:t>
      </w:r>
      <w:r>
        <w:rPr>
          <w:rFonts w:ascii="Inter" w:hAnsi="Inter" w:cs="Inter"/>
          <w:b w:val="0"/>
          <w:i w:val="0"/>
          <w:color w:val="5B5F77"/>
          <w:sz w:val="21"/>
        </w:rPr>
        <w:t>(3), 51–56. Universidad Nacional Experimental de Guayana. ISSN 1690-6054. Indexed in CLASE (UNAM). https://hdl.handle.net/20.500.14330/CLA01000260594 · https://ru.dgb.unam.mx/items/94cebd9c-65de-4d95-b948-637ae2fcdd43/full</w:t>
      </w:r>
    </w:p>
    <w:p>
      <w:r>
        <w:rPr>
          <w:rFonts w:ascii="Inter" w:hAnsi="Inter" w:cs="Inter"/>
          <w:b w:val="0"/>
          <w:i w:val="0"/>
          <w:color w:val="1C1E2E"/>
          <w:sz w:val="22"/>
        </w:rPr>
        <w:t xml:space="preserve">Derived from the final-year dissertation (20/20, Diploma of Honour). Received 13-06-2004, </w:t>
      </w:r>
      <w:r>
        <w:rPr>
          <w:rFonts w:ascii="Inter" w:hAnsi="Inter" w:cs="Inter"/>
          <w:b/>
          <w:i w:val="0"/>
          <w:color w:val="1C1E2E"/>
          <w:sz w:val="22"/>
        </w:rPr>
        <w:t>accepted after peer review</w:t>
      </w:r>
      <w:r>
        <w:rPr>
          <w:rFonts w:ascii="Inter" w:hAnsi="Inter" w:cs="Inter"/>
          <w:b w:val="0"/>
          <w:i w:val="0"/>
          <w:color w:val="1C1E2E"/>
          <w:sz w:val="22"/>
        </w:rPr>
        <w:t xml:space="preserve"> 19-07-2004. Published with a bilingual Spanish/English abstract. </w:t>
      </w:r>
      <w:r>
        <w:rPr>
          <w:rFonts w:ascii="Inter" w:hAnsi="Inter" w:cs="Inter"/>
          <w:b w:val="0"/>
          <w:i/>
          <w:color w:val="1C1E2E"/>
          <w:sz w:val="22"/>
        </w:rPr>
        <w:t>Kaleidoscopio</w:t>
      </w:r>
      <w:r>
        <w:rPr>
          <w:rFonts w:ascii="Inter" w:hAnsi="Inter" w:cs="Inter"/>
          <w:b w:val="0"/>
          <w:i w:val="0"/>
          <w:color w:val="1C1E2E"/>
          <w:sz w:val="22"/>
        </w:rPr>
        <w:t xml:space="preserve"> ceased publication in 2015; the CLASE (UNAM) indexed record is the permanent evidence.</w:t>
      </w:r>
    </w:p>
    <w:p>
      <w:r>
        <w:rPr>
          <w:rFonts w:ascii="Inter" w:hAnsi="Inter" w:cs="Inter"/>
          <w:b/>
          <w:i w:val="0"/>
          <w:color w:val="1C1E2E"/>
          <w:sz w:val="22"/>
        </w:rPr>
        <w:t>Acknowledgement</w:t>
      </w:r>
    </w:p>
    <w:p>
      <w:pPr>
        <w:pBdr>
          <w:left w:val="single" w:sz="18" w:space="8" w:color="9A5B00"/>
        </w:pBdr>
        <w:spacing w:before="120" w:after="200"/>
        <w:ind w:left="317"/>
      </w:pPr>
      <w:r>
        <w:rPr>
          <w:rFonts w:ascii="Inter" w:hAnsi="Inter" w:cs="Inter"/>
          <w:b w:val="0"/>
          <w:i w:val="0"/>
          <w:color w:val="5B5F77"/>
          <w:sz w:val="21"/>
        </w:rPr>
        <w:t xml:space="preserve">Sotelo-Casas et al. (2019). </w:t>
      </w:r>
      <w:r>
        <w:rPr>
          <w:rFonts w:ascii="Inter" w:hAnsi="Inter" w:cs="Inter"/>
          <w:b w:val="0"/>
          <w:i/>
          <w:color w:val="5B5F77"/>
          <w:sz w:val="21"/>
        </w:rPr>
        <w:t>Estuarine, Coastal and Shelf Science</w:t>
      </w:r>
      <w:r>
        <w:rPr>
          <w:rFonts w:ascii="Inter" w:hAnsi="Inter" w:cs="Inter"/>
          <w:b w:val="0"/>
          <w:i w:val="0"/>
          <w:color w:val="5B5F77"/>
          <w:sz w:val="21"/>
        </w:rPr>
        <w:t xml:space="preserve"> (Elsevier), p. 8 — for the manuscript's English and scientific content.</w:t>
      </w:r>
    </w:p>
    <w:p>
      <w:r>
        <w:rPr>
          <w:rFonts w:ascii="Inter" w:hAnsi="Inter" w:cs="Inter"/>
          <w:b/>
          <w:i w:val="0"/>
          <w:color w:val="1C1E2E"/>
          <w:sz w:val="22"/>
        </w:rPr>
        <w:t>Master's thesis (2026)</w:t>
      </w:r>
      <w:r>
        <w:rPr>
          <w:rFonts w:ascii="Inter" w:hAnsi="Inter" w:cs="Inter"/>
          <w:b w:val="0"/>
          <w:i w:val="0"/>
          <w:color w:val="1C1E2E"/>
          <w:sz w:val="22"/>
        </w:rPr>
        <w:t xml:space="preserve"> — corpus study of disciplinary variation in metadiscourse across master's thesis abstracts (UPV). Results published as an open-access interactive data book: profeanaeslavaedtech.github.io/portofolio</w:t>
      </w:r>
    </w:p>
    <w:p>
      <w:pPr>
        <w:pBdr>
          <w:bottom w:val="single" w:sz="6" w:space="1" w:color="E6E8F2"/>
        </w:pBdr>
      </w:pPr>
    </w:p>
    <w:p>
      <w:pPr>
        <w:spacing w:before="320" w:after="120"/>
      </w:pPr>
      <w:r>
        <w:rPr>
          <w:rFonts w:ascii="Fraunces" w:hAnsi="Fraunces" w:cs="Fraunces"/>
          <w:b/>
          <w:i w:val="0"/>
          <w:color w:val="22307C"/>
          <w:sz w:val="32"/>
        </w:rPr>
        <w:t>5 · Conferences and papers</w:t>
      </w:r>
    </w:p>
    <w:p>
      <w:r>
        <w:rPr>
          <w:rFonts w:ascii="Inter" w:hAnsi="Inter" w:cs="Inter"/>
          <w:b/>
          <w:i w:val="0"/>
          <w:color w:val="1C1E2E"/>
          <w:sz w:val="22"/>
        </w:rPr>
        <w:t>Speaker</w:t>
      </w:r>
      <w:r>
        <w:rPr>
          <w:rFonts w:ascii="Inter" w:hAnsi="Inter" w:cs="Inter"/>
          <w:b w:val="0"/>
          <w:i w:val="0"/>
          <w:color w:val="1C1E2E"/>
          <w:sz w:val="22"/>
        </w:rPr>
        <w:t xml:space="preserve"> — </w:t>
      </w:r>
      <w:r>
        <w:rPr>
          <w:rFonts w:ascii="Inter" w:hAnsi="Inter" w:cs="Inter"/>
          <w:b w:val="0"/>
          <w:i/>
          <w:color w:val="1C1E2E"/>
          <w:sz w:val="22"/>
        </w:rPr>
        <w:t>Estudio sobre el perfil del alumno en Educación Mención Inglés de la ULA-Táchira</w:t>
      </w:r>
    </w:p>
    <w:p>
      <w:r>
        <w:rPr>
          <w:rFonts w:ascii="Inter" w:hAnsi="Inter" w:cs="Inter"/>
          <w:b/>
          <w:i w:val="0"/>
          <w:color w:val="1C1E2E"/>
          <w:sz w:val="22"/>
        </w:rPr>
        <w:t>2nd International Conference on Higher Education — "Trends and Perspectives of Higher Education in Latin America / in the 21st Century"</w:t>
      </w:r>
    </w:p>
    <w:p>
      <w:r>
        <w:rPr>
          <w:rFonts w:ascii="Inter" w:hAnsi="Inter" w:cs="Inter"/>
          <w:b w:val="0"/>
          <w:i w:val="0"/>
          <w:color w:val="1C1E2E"/>
          <w:sz w:val="22"/>
        </w:rPr>
        <w:t xml:space="preserve">Association of Educators of Latin America and the Caribbean, and Universidad de Oriente · Cumaná, Venezuela · </w:t>
      </w:r>
      <w:r>
        <w:rPr>
          <w:rFonts w:ascii="Inter" w:hAnsi="Inter" w:cs="Inter"/>
          <w:b/>
          <w:i w:val="0"/>
          <w:color w:val="1C1E2E"/>
          <w:sz w:val="22"/>
        </w:rPr>
        <w:t>31 July – 2 August 2008</w:t>
      </w:r>
    </w:p>
    <w:p>
      <w:r>
        <w:rPr>
          <w:rFonts w:ascii="Inter" w:hAnsi="Inter" w:cs="Inter"/>
          <w:b w:val="0"/>
          <w:i w:val="0"/>
          <w:color w:val="1C1E2E"/>
          <w:sz w:val="22"/>
        </w:rPr>
        <w:t xml:space="preserve">Abstract </w:t>
      </w:r>
      <w:r>
        <w:rPr>
          <w:rFonts w:ascii="Inter" w:hAnsi="Inter" w:cs="Inter"/>
          <w:b/>
          <w:i w:val="0"/>
          <w:color w:val="1C1E2E"/>
          <w:sz w:val="22"/>
        </w:rPr>
        <w:t>accepted by the conference refereeing committee</w:t>
      </w:r>
      <w:r>
        <w:rPr>
          <w:rFonts w:ascii="Inter" w:hAnsi="Inter" w:cs="Inter"/>
          <w:b w:val="0"/>
          <w:i w:val="0"/>
          <w:color w:val="1C1E2E"/>
          <w:sz w:val="22"/>
        </w:rPr>
        <w:t xml:space="preserve"> (ref. CIES/P 048).</w:t>
      </w:r>
    </w:p>
    <w:p>
      <w:pPr>
        <w:pBdr>
          <w:bottom w:val="single" w:sz="6" w:space="1" w:color="E6E8F2"/>
        </w:pBdr>
      </w:pPr>
    </w:p>
    <w:p>
      <w:pPr>
        <w:spacing w:before="320" w:after="120"/>
      </w:pPr>
      <w:r>
        <w:rPr>
          <w:rFonts w:ascii="Fraunces" w:hAnsi="Fraunces" w:cs="Fraunces"/>
          <w:b/>
          <w:i w:val="0"/>
          <w:color w:val="22307C"/>
          <w:sz w:val="32"/>
        </w:rPr>
        <w:t>6 · Teaching and research experience</w:t>
      </w:r>
    </w:p>
    <w:p>
      <w:r>
        <w:rPr>
          <w:rFonts w:ascii="Inter" w:hAnsi="Inter" w:cs="Inter"/>
          <w:b/>
          <w:i w:val="0"/>
          <w:color w:val="1C1E2E"/>
          <w:sz w:val="22"/>
        </w:rPr>
        <w:t>Instructional Designer &amp; eLearning Architect</w:t>
      </w:r>
      <w:r>
        <w:rPr>
          <w:rFonts w:ascii="Inter" w:hAnsi="Inter" w:cs="Inter"/>
          <w:b w:val="0"/>
          <w:i w:val="0"/>
          <w:color w:val="1C1E2E"/>
          <w:sz w:val="22"/>
        </w:rPr>
        <w:t xml:space="preserve"> — self-employed, Spain · </w:t>
      </w:r>
      <w:r>
        <w:rPr>
          <w:rFonts w:ascii="Inter" w:hAnsi="Inter" w:cs="Inter"/>
          <w:b/>
          <w:i w:val="0"/>
          <w:color w:val="1C1E2E"/>
          <w:sz w:val="22"/>
        </w:rPr>
        <w:t>Oct 2019 – present</w:t>
      </w:r>
    </w:p>
    <w:p>
      <w:r>
        <w:rPr>
          <w:rFonts w:ascii="Inter" w:hAnsi="Inter" w:cs="Inter"/>
          <w:b w:val="0"/>
          <w:i w:val="0"/>
          <w:color w:val="1C1E2E"/>
          <w:sz w:val="22"/>
        </w:rPr>
        <w:t>Design of CEFR-aligned academic English pathways (B2→C1); scripting and high-level design documentation; accessibility layer compliant with WCAG and the European Accessibility Act; SCORM/xAPI packaging in Articulate 360 (Rise). Documented human–AI governance model for content generation.</w:t>
      </w:r>
    </w:p>
    <w:p>
      <w:r>
        <w:rPr>
          <w:rFonts w:ascii="Inter" w:hAnsi="Inter" w:cs="Inter"/>
          <w:b/>
          <w:i w:val="0"/>
          <w:color w:val="1C1E2E"/>
          <w:sz w:val="22"/>
        </w:rPr>
        <w:t>Lecturer in English for Specific Purposes</w:t>
      </w:r>
      <w:r>
        <w:rPr>
          <w:rFonts w:ascii="Inter" w:hAnsi="Inter" w:cs="Inter"/>
          <w:b w:val="0"/>
          <w:i w:val="0"/>
          <w:color w:val="1C1E2E"/>
          <w:sz w:val="22"/>
        </w:rPr>
        <w:t xml:space="preserve"> — Universidad de Oriente (UDO), Núcleo Nueva Esparta, Venezuela · </w:t>
      </w:r>
      <w:r>
        <w:rPr>
          <w:rFonts w:ascii="Inter" w:hAnsi="Inter" w:cs="Inter"/>
          <w:b/>
          <w:i w:val="0"/>
          <w:color w:val="1C1E2E"/>
          <w:sz w:val="22"/>
        </w:rPr>
        <w:t>2007 – 2010</w:t>
      </w:r>
    </w:p>
    <w:p>
      <w:r>
        <w:rPr>
          <w:rFonts w:ascii="Inter" w:hAnsi="Inter" w:cs="Inter"/>
          <w:b/>
          <w:i w:val="0"/>
          <w:color w:val="1C1E2E"/>
          <w:sz w:val="22"/>
        </w:rPr>
        <w:t>1,568 certified university teaching hours</w:t>
      </w:r>
      <w:r>
        <w:rPr>
          <w:rFonts w:ascii="Inter" w:hAnsi="Inter" w:cs="Inter"/>
          <w:b w:val="0"/>
          <w:i w:val="0"/>
          <w:color w:val="1C1E2E"/>
          <w:sz w:val="22"/>
        </w:rPr>
        <w:t xml:space="preserve"> across 8 consecutive semesters. Contracted lecturer, subsequently transferred to a full-time established post. Instrumental English, English I and II, English for Administrative Sciences and </w:t>
      </w:r>
      <w:r>
        <w:rPr>
          <w:rFonts w:ascii="Inter" w:hAnsi="Inter" w:cs="Inter"/>
          <w:b/>
          <w:i w:val="0"/>
          <w:color w:val="1C1E2E"/>
          <w:sz w:val="22"/>
        </w:rPr>
        <w:t>Technical English</w:t>
      </w:r>
      <w:r>
        <w:rPr>
          <w:rFonts w:ascii="Inter" w:hAnsi="Inter" w:cs="Inter"/>
          <w:b w:val="0"/>
          <w:i w:val="0"/>
          <w:color w:val="1C1E2E"/>
          <w:sz w:val="22"/>
        </w:rPr>
        <w:t xml:space="preserve">, across three departments and five degree programmes — including </w:t>
      </w:r>
      <w:r>
        <w:rPr>
          <w:rFonts w:ascii="Inter" w:hAnsi="Inter" w:cs="Inter"/>
          <w:b/>
          <w:i w:val="0"/>
          <w:color w:val="1C1E2E"/>
          <w:sz w:val="22"/>
        </w:rPr>
        <w:t>Marine Biology and Aquaculture</w:t>
      </w:r>
      <w:r>
        <w:rPr>
          <w:rFonts w:ascii="Inter" w:hAnsi="Inter" w:cs="Inter"/>
          <w:b w:val="0"/>
          <w:i w:val="0"/>
          <w:color w:val="1C1E2E"/>
          <w:sz w:val="22"/>
        </w:rPr>
        <w:t>. Over the same period, wrote and reviewed English-language research articles (marine biology, dentistry) for high-impact journals.</w:t>
      </w:r>
    </w:p>
    <w:p>
      <w:r>
        <w:rPr>
          <w:rFonts w:ascii="Inter" w:hAnsi="Inter" w:cs="Inter"/>
          <w:b/>
          <w:i w:val="0"/>
          <w:color w:val="1C1E2E"/>
          <w:sz w:val="22"/>
        </w:rPr>
        <w:t>Teacher grade III, English (classroom)</w:t>
      </w:r>
      <w:r>
        <w:rPr>
          <w:rFonts w:ascii="Inter" w:hAnsi="Inter" w:cs="Inter"/>
          <w:b w:val="0"/>
          <w:i w:val="0"/>
          <w:color w:val="1C1E2E"/>
          <w:sz w:val="22"/>
        </w:rPr>
        <w:t xml:space="preserve"> — Ministry of Education, Venezuela · </w:t>
      </w:r>
      <w:r>
        <w:rPr>
          <w:rFonts w:ascii="Inter" w:hAnsi="Inter" w:cs="Inter"/>
          <w:b/>
          <w:i w:val="0"/>
          <w:color w:val="1C1E2E"/>
          <w:sz w:val="22"/>
        </w:rPr>
        <w:t>Oct 2006 – Jan 2019</w:t>
      </w:r>
    </w:p>
    <w:p>
      <w:r>
        <w:rPr>
          <w:rFonts w:ascii="Inter" w:hAnsi="Inter" w:cs="Inter"/>
          <w:b w:val="0"/>
          <w:i w:val="0"/>
          <w:color w:val="1C1E2E"/>
          <w:sz w:val="22"/>
        </w:rPr>
        <w:t>36 weekly hours of English at L.N. Santa Rosalía de Palermo, Nueva Esparta State Education Authority. Twelve years and three months of continuous service, verifiable against Ministry and social security records.</w:t>
      </w:r>
    </w:p>
    <w:p>
      <w:r>
        <w:rPr>
          <w:rFonts w:ascii="Inter" w:hAnsi="Inter" w:cs="Inter"/>
          <w:b/>
          <w:i w:val="0"/>
          <w:color w:val="1C1E2E"/>
          <w:sz w:val="22"/>
        </w:rPr>
        <w:t>Founder &amp; content designer — Talkétika</w:t>
      </w:r>
      <w:r>
        <w:rPr>
          <w:rFonts w:ascii="Inter" w:hAnsi="Inter" w:cs="Inter"/>
          <w:b w:val="0"/>
          <w:i w:val="0"/>
          <w:color w:val="1C1E2E"/>
          <w:sz w:val="22"/>
        </w:rPr>
        <w:t xml:space="preserve"> · </w:t>
      </w:r>
      <w:r>
        <w:rPr>
          <w:rFonts w:ascii="Inter" w:hAnsi="Inter" w:cs="Inter"/>
          <w:b/>
          <w:i w:val="0"/>
          <w:color w:val="1C1E2E"/>
          <w:sz w:val="22"/>
        </w:rPr>
        <w:t>2019 – present</w:t>
      </w:r>
    </w:p>
    <w:p>
      <w:r>
        <w:rPr>
          <w:rFonts w:ascii="Inter" w:hAnsi="Inter" w:cs="Inter"/>
          <w:b w:val="0"/>
          <w:i w:val="0"/>
          <w:color w:val="1C1E2E"/>
          <w:sz w:val="22"/>
        </w:rPr>
        <w:t>Chamilo (LMS) administrator since 2019; gamified content on Moodle, Canvas LMS and Chamilo; audiobook production.</w:t>
      </w:r>
    </w:p>
    <w:p>
      <w:r>
        <w:rPr>
          <w:rFonts w:ascii="Inter" w:hAnsi="Inter" w:cs="Inter"/>
          <w:b/>
          <w:i w:val="0"/>
          <w:color w:val="1C1E2E"/>
          <w:sz w:val="22"/>
        </w:rPr>
        <w:t>Language Teacher — ESL, Cambridge and DELE</w:t>
      </w:r>
      <w:r>
        <w:rPr>
          <w:rFonts w:ascii="Inter" w:hAnsi="Inter" w:cs="Inter"/>
          <w:b w:val="0"/>
          <w:i w:val="0"/>
          <w:color w:val="1C1E2E"/>
          <w:sz w:val="22"/>
        </w:rPr>
        <w:t xml:space="preserve"> — various institutions · </w:t>
      </w:r>
      <w:r>
        <w:rPr>
          <w:rFonts w:ascii="Inter" w:hAnsi="Inter" w:cs="Inter"/>
          <w:b/>
          <w:i w:val="0"/>
          <w:color w:val="1C1E2E"/>
          <w:sz w:val="22"/>
        </w:rPr>
        <w:t>Jul 2004 – present</w:t>
      </w:r>
    </w:p>
    <w:p>
      <w:r>
        <w:rPr>
          <w:rFonts w:ascii="Inter" w:hAnsi="Inter" w:cs="Inter"/>
          <w:b w:val="0"/>
          <w:i w:val="0"/>
          <w:color w:val="1C1E2E"/>
          <w:sz w:val="22"/>
        </w:rPr>
        <w:t xml:space="preserve">Over 20 years teaching English and Spanish to adults. </w:t>
      </w:r>
      <w:r>
        <w:rPr>
          <w:rFonts w:ascii="Inter" w:hAnsi="Inter" w:cs="Inter"/>
          <w:b/>
          <w:i w:val="0"/>
          <w:color w:val="1C1E2E"/>
          <w:sz w:val="22"/>
        </w:rPr>
        <w:t>Tutor on AVE Global</w:t>
      </w:r>
      <w:r>
        <w:rPr>
          <w:rFonts w:ascii="Inter" w:hAnsi="Inter" w:cs="Inter"/>
          <w:b w:val="0"/>
          <w:i w:val="0"/>
          <w:color w:val="1C1E2E"/>
          <w:sz w:val="22"/>
        </w:rPr>
        <w:t xml:space="preserve"> (Instituto Cervantes virtual classroom). CEFR-aligned pathways and rubrics; Cambridge (B2 First, C1 Advanced) and DELE exam preparation.</w:t>
      </w:r>
    </w:p>
    <w:p>
      <w:r>
        <w:rPr>
          <w:rFonts w:ascii="Inter" w:hAnsi="Inter" w:cs="Inter"/>
          <w:b/>
          <w:i w:val="0"/>
          <w:color w:val="1C1E2E"/>
          <w:sz w:val="22"/>
        </w:rPr>
        <w:t>Research.</w:t>
      </w:r>
      <w:r>
        <w:rPr>
          <w:rFonts w:ascii="Inter" w:hAnsi="Inter" w:cs="Inter"/>
          <w:b w:val="0"/>
          <w:i w:val="0"/>
          <w:color w:val="1C1E2E"/>
          <w:sz w:val="22"/>
        </w:rPr>
        <w:t xml:space="preserve"> Corpus research in the Department of Applied Linguistics, UPV (master's thesis, 2026), supervised by Prof. Mª Luisa Carrió-Pastor. Curriculum research at ULA (final-year dissertation, 2004), taken through to peer-reviewed publication and an international conference.</w:t>
      </w:r>
    </w:p>
    <w:p>
      <w:pPr>
        <w:pBdr>
          <w:bottom w:val="single" w:sz="6" w:space="1" w:color="E6E8F2"/>
        </w:pBdr>
      </w:pPr>
    </w:p>
    <w:p>
      <w:pPr>
        <w:spacing w:before="320" w:after="120"/>
      </w:pPr>
      <w:r>
        <w:rPr>
          <w:rFonts w:ascii="Fraunces" w:hAnsi="Fraunces" w:cs="Fraunces"/>
          <w:b/>
          <w:i w:val="0"/>
          <w:color w:val="22307C"/>
          <w:sz w:val="32"/>
        </w:rPr>
        <w:t>7 · Languages and technical skills</w:t>
      </w:r>
    </w:p>
    <w:p>
      <w:r>
        <w:rPr>
          <w:rFonts w:ascii="Inter" w:hAnsi="Inter" w:cs="Inter"/>
          <w:b/>
          <w:i w:val="0"/>
          <w:color w:val="1C1E2E"/>
          <w:sz w:val="22"/>
        </w:rPr>
        <w:t>Languages</w:t>
      </w:r>
    </w:p>
    <w:p>
      <w:pPr>
        <w:pStyle w:val="ListBullet"/>
        <w:spacing w:after="60"/>
        <w:ind w:left="403"/>
      </w:pPr>
      <w:r>
        <w:rPr>
          <w:rFonts w:ascii="Inter" w:hAnsi="Inter" w:cs="Inter"/>
          <w:b/>
          <w:i w:val="0"/>
          <w:color w:val="1C1E2E"/>
          <w:sz w:val="22"/>
        </w:rPr>
        <w:t>Spanish</w:t>
      </w:r>
      <w:r>
        <w:rPr>
          <w:rFonts w:ascii="Inter" w:hAnsi="Inter" w:cs="Inter"/>
          <w:b w:val="0"/>
          <w:i w:val="0"/>
          <w:color w:val="1C1E2E"/>
          <w:sz w:val="22"/>
        </w:rPr>
        <w:t xml:space="preserve"> — native.</w:t>
      </w:r>
    </w:p>
    <w:p>
      <w:pPr>
        <w:pStyle w:val="ListBullet"/>
        <w:spacing w:after="60"/>
        <w:ind w:left="403"/>
      </w:pPr>
      <w:r>
        <w:rPr>
          <w:rFonts w:ascii="Inter" w:hAnsi="Inter" w:cs="Inter"/>
          <w:b/>
          <w:i w:val="0"/>
          <w:color w:val="1C1E2E"/>
          <w:sz w:val="22"/>
        </w:rPr>
        <w:t>English — C1</w:t>
      </w:r>
      <w:r>
        <w:rPr>
          <w:rFonts w:ascii="Inter" w:hAnsi="Inter" w:cs="Inter"/>
          <w:b w:val="0"/>
          <w:i w:val="0"/>
          <w:color w:val="1C1E2E"/>
          <w:sz w:val="22"/>
        </w:rPr>
        <w:t xml:space="preserve">, certified by </w:t>
      </w:r>
      <w:r>
        <w:rPr>
          <w:rFonts w:ascii="Inter" w:hAnsi="Inter" w:cs="Inter"/>
          <w:b/>
          <w:i w:val="0"/>
          <w:color w:val="1C1E2E"/>
          <w:sz w:val="22"/>
        </w:rPr>
        <w:t>Cambridge English (C1 Advanced / CAE)</w:t>
      </w:r>
      <w:r>
        <w:rPr>
          <w:rFonts w:ascii="Inter" w:hAnsi="Inter" w:cs="Inter"/>
          <w:b w:val="0"/>
          <w:i w:val="0"/>
          <w:color w:val="1C1E2E"/>
          <w:sz w:val="22"/>
        </w:rPr>
        <w:t>. Scientific and professional writing in both languages.</w:t>
      </w:r>
    </w:p>
    <w:p>
      <w:pPr>
        <w:pStyle w:val="ListBullet"/>
        <w:spacing w:after="60"/>
        <w:ind w:left="403"/>
      </w:pPr>
      <w:r>
        <w:rPr>
          <w:rFonts w:ascii="Inter" w:hAnsi="Inter" w:cs="Inter"/>
          <w:b/>
          <w:i w:val="0"/>
          <w:color w:val="1C1E2E"/>
          <w:sz w:val="22"/>
        </w:rPr>
        <w:t>CELTA</w:t>
      </w:r>
      <w:r>
        <w:rPr>
          <w:rFonts w:ascii="Inter" w:hAnsi="Inter" w:cs="Inter"/>
          <w:b w:val="0"/>
          <w:i w:val="0"/>
          <w:color w:val="1C1E2E"/>
          <w:sz w:val="22"/>
        </w:rPr>
        <w:t xml:space="preserve"> (Cambridge English) — English language teaching qualification.</w:t>
      </w:r>
    </w:p>
    <w:p>
      <w:pPr>
        <w:pStyle w:val="ListBullet"/>
        <w:spacing w:after="60"/>
        <w:ind w:left="403"/>
      </w:pPr>
      <w:r>
        <w:rPr>
          <w:rFonts w:ascii="Inter" w:hAnsi="Inter" w:cs="Inter"/>
          <w:b/>
          <w:i w:val="0"/>
          <w:color w:val="1C1E2E"/>
          <w:sz w:val="22"/>
        </w:rPr>
        <w:t>Accredited DELE examiner</w:t>
      </w:r>
      <w:r>
        <w:rPr>
          <w:rFonts w:ascii="Inter" w:hAnsi="Inter" w:cs="Inter"/>
          <w:b w:val="0"/>
          <w:i w:val="0"/>
          <w:color w:val="1C1E2E"/>
          <w:sz w:val="22"/>
        </w:rPr>
        <w:t xml:space="preserve"> — Instituto Cervantes.</w:t>
      </w:r>
    </w:p>
    <w:p>
      <w:r>
        <w:rPr>
          <w:rFonts w:ascii="Inter" w:hAnsi="Inter" w:cs="Inter"/>
          <w:b/>
          <w:i w:val="0"/>
          <w:color w:val="1C1E2E"/>
          <w:sz w:val="22"/>
        </w:rPr>
        <w:t>Research and analysis tools</w:t>
      </w:r>
    </w:p>
    <w:p>
      <w:pPr>
        <w:pStyle w:val="ListBullet"/>
        <w:spacing w:after="60"/>
        <w:ind w:left="403"/>
      </w:pPr>
      <w:r>
        <w:rPr>
          <w:rFonts w:ascii="Inter" w:hAnsi="Inter" w:cs="Inter"/>
          <w:b/>
          <w:i w:val="0"/>
          <w:color w:val="1C1E2E"/>
          <w:sz w:val="22"/>
        </w:rPr>
        <w:t>Corpus linguistics:</w:t>
      </w:r>
      <w:r>
        <w:rPr>
          <w:rFonts w:ascii="Inter" w:hAnsi="Inter" w:cs="Inter"/>
          <w:b w:val="0"/>
          <w:i w:val="0"/>
          <w:color w:val="1C1E2E"/>
          <w:sz w:val="22"/>
        </w:rPr>
        <w:t xml:space="preserve"> METOOL (Carrió-Pastor, 2020) for tagging and quantifying metadiscourse markers.</w:t>
      </w:r>
    </w:p>
    <w:p>
      <w:pPr>
        <w:pStyle w:val="ListBullet"/>
        <w:spacing w:after="60"/>
        <w:ind w:left="403"/>
      </w:pPr>
      <w:r>
        <w:rPr>
          <w:rFonts w:ascii="Inter" w:hAnsi="Inter" w:cs="Inter"/>
          <w:b/>
          <w:i w:val="0"/>
          <w:color w:val="1C1E2E"/>
          <w:sz w:val="22"/>
        </w:rPr>
        <w:t>Statistical analysis:</w:t>
      </w:r>
      <w:r>
        <w:rPr>
          <w:rFonts w:ascii="Inter" w:hAnsi="Inter" w:cs="Inter"/>
          <w:b w:val="0"/>
          <w:i w:val="0"/>
          <w:color w:val="1C1E2E"/>
          <w:sz w:val="22"/>
        </w:rPr>
        <w:t xml:space="preserve"> Microsoft Excel (pivot tables, normalisation per 1,000 tokens); inferential analysis in Python (chi-square, effect sizes, Juilland's D, Bayes factors), cross-checked with Lancaster Stats Tools.</w:t>
      </w:r>
    </w:p>
    <w:p>
      <w:pPr>
        <w:pStyle w:val="ListBullet"/>
        <w:spacing w:after="60"/>
        <w:ind w:left="403"/>
      </w:pPr>
      <w:r>
        <w:rPr>
          <w:rFonts w:ascii="Inter" w:hAnsi="Inter" w:cs="Inter"/>
          <w:b/>
          <w:i w:val="0"/>
          <w:color w:val="1C1E2E"/>
          <w:sz w:val="22"/>
        </w:rPr>
        <w:t>Data visualisation:</w:t>
      </w:r>
      <w:r>
        <w:rPr>
          <w:rFonts w:ascii="Inter" w:hAnsi="Inter" w:cs="Inter"/>
          <w:b w:val="0"/>
          <w:i w:val="0"/>
          <w:color w:val="1C1E2E"/>
          <w:sz w:val="22"/>
        </w:rPr>
        <w:t xml:space="preserve"> development of interactive data books with Chart.js, with data-table views and a colour-vision-deficiency-validated palette.</w:t>
      </w:r>
    </w:p>
    <w:p>
      <w:pPr>
        <w:pStyle w:val="ListBullet"/>
        <w:spacing w:after="60"/>
        <w:ind w:left="403"/>
      </w:pPr>
      <w:r>
        <w:rPr>
          <w:rFonts w:ascii="Inter" w:hAnsi="Inter" w:cs="Inter"/>
          <w:b/>
          <w:i w:val="0"/>
          <w:color w:val="1C1E2E"/>
          <w:sz w:val="22"/>
        </w:rPr>
        <w:t>Standards and learning data:</w:t>
      </w:r>
      <w:r>
        <w:rPr>
          <w:rFonts w:ascii="Inter" w:hAnsi="Inter" w:cs="Inter"/>
          <w:b w:val="0"/>
          <w:i w:val="0"/>
          <w:color w:val="1C1E2E"/>
          <w:sz w:val="22"/>
        </w:rPr>
        <w:t xml:space="preserve"> CEFR, </w:t>
      </w:r>
      <w:r>
        <w:rPr>
          <w:rFonts w:ascii="Inter" w:hAnsi="Inter" w:cs="Inter"/>
          <w:b w:val="0"/>
          <w:i/>
          <w:color w:val="1C1E2E"/>
          <w:sz w:val="22"/>
        </w:rPr>
        <w:t>Plan curricular del Instituto Cervantes</w:t>
      </w:r>
      <w:r>
        <w:rPr>
          <w:rFonts w:ascii="Inter" w:hAnsi="Inter" w:cs="Inter"/>
          <w:b w:val="0"/>
          <w:i w:val="0"/>
          <w:color w:val="1C1E2E"/>
          <w:sz w:val="22"/>
        </w:rPr>
        <w:t xml:space="preserve">, </w:t>
      </w:r>
      <w:r>
        <w:rPr>
          <w:rFonts w:ascii="Inter" w:hAnsi="Inter" w:cs="Inter"/>
          <w:b/>
          <w:i w:val="0"/>
          <w:color w:val="1C1E2E"/>
          <w:sz w:val="22"/>
        </w:rPr>
        <w:t>xAPI, SCORM, cmi5</w:t>
      </w:r>
      <w:r>
        <w:rPr>
          <w:rFonts w:ascii="Inter" w:hAnsi="Inter" w:cs="Inter"/>
          <w:b w:val="0"/>
          <w:i w:val="0"/>
          <w:color w:val="1C1E2E"/>
          <w:sz w:val="22"/>
        </w:rPr>
        <w:t>.</w:t>
      </w:r>
    </w:p>
    <w:p>
      <w:pPr>
        <w:pStyle w:val="ListBullet"/>
        <w:spacing w:after="60"/>
        <w:ind w:left="403"/>
      </w:pPr>
      <w:r>
        <w:rPr>
          <w:rFonts w:ascii="Inter" w:hAnsi="Inter" w:cs="Inter"/>
          <w:b/>
          <w:i w:val="0"/>
          <w:color w:val="1C1E2E"/>
          <w:sz w:val="22"/>
        </w:rPr>
        <w:t>Platforms and authoring:</w:t>
      </w:r>
      <w:r>
        <w:rPr>
          <w:rFonts w:ascii="Inter" w:hAnsi="Inter" w:cs="Inter"/>
          <w:b w:val="0"/>
          <w:i w:val="0"/>
          <w:color w:val="1C1E2E"/>
          <w:sz w:val="22"/>
        </w:rPr>
        <w:t xml:space="preserve"> Moodle, Canvas LMS, </w:t>
      </w:r>
      <w:r>
        <w:rPr>
          <w:rFonts w:ascii="Inter" w:hAnsi="Inter" w:cs="Inter"/>
          <w:b/>
          <w:i w:val="0"/>
          <w:color w:val="1C1E2E"/>
          <w:sz w:val="22"/>
        </w:rPr>
        <w:t>Chamilo (administrator)</w:t>
      </w:r>
      <w:r>
        <w:rPr>
          <w:rFonts w:ascii="Inter" w:hAnsi="Inter" w:cs="Inter"/>
          <w:b w:val="0"/>
          <w:i w:val="0"/>
          <w:color w:val="1C1E2E"/>
          <w:sz w:val="22"/>
        </w:rPr>
        <w:t>, Articulate 360 (Rise), AVE Global, Canva, Adobe Podcast.</w:t>
      </w:r>
    </w:p>
    <w:p>
      <w:pPr>
        <w:pStyle w:val="ListBullet"/>
        <w:spacing w:after="60"/>
        <w:ind w:left="403"/>
      </w:pPr>
      <w:r>
        <w:rPr>
          <w:rFonts w:ascii="Inter" w:hAnsi="Inter" w:cs="Inter"/>
          <w:b/>
          <w:i w:val="0"/>
          <w:color w:val="1C1E2E"/>
          <w:sz w:val="22"/>
        </w:rPr>
        <w:t>Accessibility:</w:t>
      </w:r>
      <w:r>
        <w:rPr>
          <w:rFonts w:ascii="Inter" w:hAnsi="Inter" w:cs="Inter"/>
          <w:b w:val="0"/>
          <w:i w:val="0"/>
          <w:color w:val="1C1E2E"/>
          <w:sz w:val="22"/>
        </w:rPr>
        <w:t xml:space="preserve"> WCAG 2.1 AA, UDL, European Accessibility Act.</w:t>
      </w:r>
    </w:p>
    <w:p>
      <w:pPr>
        <w:pBdr>
          <w:left w:val="single" w:sz="18" w:space="8" w:color="9A5B00"/>
        </w:pBdr>
        <w:spacing w:before="120" w:after="200"/>
        <w:ind w:left="317"/>
      </w:pPr>
      <w:r>
        <w:rPr>
          <w:rFonts w:ascii="Inter" w:hAnsi="Inter" w:cs="Inter"/>
          <w:b w:val="0"/>
          <w:i/>
          <w:color w:val="5B5F77"/>
          <w:sz w:val="21"/>
        </w:rPr>
        <w:t xml:space="preserve">To complete: if you regularly use </w:t>
      </w:r>
      <w:r>
        <w:rPr>
          <w:rFonts w:ascii="Inter" w:hAnsi="Inter" w:cs="Inter"/>
          <w:b w:val="0"/>
          <w:i/>
          <w:color w:val="5B5F77"/>
          <w:sz w:val="21"/>
        </w:rPr>
        <w:t>AntConc</w:t>
      </w:r>
      <w:r>
        <w:rPr>
          <w:rFonts w:ascii="Inter" w:hAnsi="Inter" w:cs="Inter"/>
          <w:b w:val="0"/>
          <w:i/>
          <w:color w:val="5B5F77"/>
          <w:sz w:val="21"/>
        </w:rPr>
        <w:t xml:space="preserve">, </w:t>
      </w:r>
      <w:r>
        <w:rPr>
          <w:rFonts w:ascii="Inter" w:hAnsi="Inter" w:cs="Inter"/>
          <w:b w:val="0"/>
          <w:i/>
          <w:color w:val="5B5F77"/>
          <w:sz w:val="21"/>
        </w:rPr>
        <w:t>SPSS</w:t>
      </w:r>
      <w:r>
        <w:rPr>
          <w:rFonts w:ascii="Inter" w:hAnsi="Inter" w:cs="Inter"/>
          <w:b w:val="0"/>
          <w:i/>
          <w:color w:val="5B5F77"/>
          <w:sz w:val="21"/>
        </w:rPr>
        <w:t xml:space="preserve">, </w:t>
      </w:r>
      <w:r>
        <w:rPr>
          <w:rFonts w:ascii="Inter" w:hAnsi="Inter" w:cs="Inter"/>
          <w:b w:val="0"/>
          <w:i/>
          <w:color w:val="5B5F77"/>
          <w:sz w:val="21"/>
        </w:rPr>
        <w:t>R</w:t>
      </w:r>
      <w:r>
        <w:rPr>
          <w:rFonts w:ascii="Inter" w:hAnsi="Inter" w:cs="Inter"/>
          <w:b w:val="0"/>
          <w:i/>
          <w:color w:val="5B5F77"/>
          <w:sz w:val="21"/>
        </w:rPr>
        <w:t xml:space="preserve"> or </w:t>
      </w:r>
      <w:r>
        <w:rPr>
          <w:rFonts w:ascii="Inter" w:hAnsi="Inter" w:cs="Inter"/>
          <w:b w:val="0"/>
          <w:i/>
          <w:color w:val="5B5F77"/>
          <w:sz w:val="21"/>
        </w:rPr>
        <w:t>Atlas.ti</w:t>
      </w:r>
      <w:r>
        <w:rPr>
          <w:rFonts w:ascii="Inter" w:hAnsi="Inter" w:cs="Inter"/>
          <w:b w:val="0"/>
          <w:i/>
          <w:color w:val="5B5F77"/>
          <w:sz w:val="21"/>
        </w:rPr>
        <w:t>, add them here. They are not included because they do not appear in your verified documentation, and an academic CV should not list tools you could not demonstrate in an interview.</w:t>
      </w:r>
    </w:p>
    <w:p>
      <w:pPr>
        <w:pBdr>
          <w:bottom w:val="single" w:sz="6" w:space="1" w:color="E6E8F2"/>
        </w:pBdr>
      </w:pPr>
    </w:p>
    <w:p>
      <w:r>
        <w:rPr>
          <w:rFonts w:ascii="Inter" w:hAnsi="Inter" w:cs="Inter"/>
          <w:b w:val="0"/>
          <w:i/>
          <w:color w:val="1C1E2E"/>
          <w:sz w:val="22"/>
        </w:rPr>
        <w:t>© 2026 Ana Zoraimy Eslava Graterol. Prepared with AI assistance under human supervision, verification and intellectual authorship; all data comes from official documentation.</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Inter" w:hAnsi="Inter"/>
      <w:color w:val="1C1E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