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CURRÍCULUM VITAE — ADMISIÓN A DOCTORADO</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Programa solicitado:</w:t>
      </w:r>
      <w:r>
        <w:rPr>
          <w:rFonts w:ascii="Inter" w:hAnsi="Inter" w:cs="Inter"/>
          <w:b w:val="0"/>
          <w:i w:val="0"/>
          <w:color w:val="1C1E2E"/>
          <w:sz w:val="22"/>
        </w:rPr>
        <w:t xml:space="preserve"> Programa de Doctorado — Lingüística Aplicada</w:t>
      </w:r>
    </w:p>
    <w:p>
      <w:r>
        <w:rPr>
          <w:rFonts w:ascii="Inter" w:hAnsi="Inter" w:cs="Inter"/>
          <w:b/>
          <w:i w:val="0"/>
          <w:color w:val="1C1E2E"/>
          <w:sz w:val="22"/>
        </w:rPr>
        <w:t>Departamento de Lingüística Aplicada · Universitat Politècnica de València (UPV)</w:t>
      </w:r>
    </w:p>
    <w:p>
      <w:r>
        <w:rPr>
          <w:rFonts w:ascii="Inter" w:hAnsi="Inter" w:cs="Inter"/>
          <w:b/>
          <w:i w:val="0"/>
          <w:color w:val="1C1E2E"/>
          <w:sz w:val="22"/>
        </w:rPr>
        <w:t>Línea de investigación:</w:t>
      </w:r>
      <w:r>
        <w:rPr>
          <w:rFonts w:ascii="Inter" w:hAnsi="Inter" w:cs="Inter"/>
          <w:b w:val="0"/>
          <w:i w:val="0"/>
          <w:color w:val="1C1E2E"/>
          <w:sz w:val="22"/>
        </w:rPr>
        <w:t xml:space="preserve"> Tecnologías del lenguaje y diseño instruccional para el aprendizaje de lenguas</w:t>
      </w:r>
    </w:p>
    <w:p>
      <w:r>
        <w:rPr>
          <w:rFonts w:ascii="Inter" w:hAnsi="Inter" w:cs="Inter"/>
          <w:b/>
          <w:i w:val="0"/>
          <w:color w:val="1C1E2E"/>
          <w:sz w:val="22"/>
        </w:rPr>
        <w:t>Propuesta de tesis:</w:t>
      </w:r>
      <w:r>
        <w:rPr>
          <w:rFonts w:ascii="Inter" w:hAnsi="Inter" w:cs="Inter"/>
          <w:b w:val="0"/>
          <w:i w:val="0"/>
          <w:color w:val="1C1E2E"/>
          <w:sz w:val="22"/>
        </w:rPr>
        <w:t xml:space="preserve"> </w:t>
      </w:r>
      <w:r>
        <w:rPr>
          <w:rFonts w:ascii="Inter" w:hAnsi="Inter" w:cs="Inter"/>
          <w:b w:val="0"/>
          <w:i/>
          <w:color w:val="1C1E2E"/>
          <w:sz w:val="22"/>
        </w:rPr>
        <w:t>MLLDE — Mobile Language Learning Design Environment: método para integrar tutores LLM y literacidad en IA en el diseño curricular CEFR</w:t>
      </w:r>
    </w:p>
    <w:p>
      <w:pPr>
        <w:pBdr>
          <w:left w:val="single" w:sz="18" w:space="8" w:color="9A5B00"/>
        </w:pBdr>
        <w:spacing w:before="120" w:after="200"/>
        <w:ind w:left="317"/>
      </w:pPr>
      <w:r>
        <w:rPr>
          <w:rFonts w:ascii="Inter" w:hAnsi="Inter" w:cs="Inter"/>
          <w:b/>
          <w:i w:val="0"/>
          <w:color w:val="5B5F77"/>
          <w:sz w:val="21"/>
        </w:rPr>
        <w:t>Nota de estructura.</w:t>
      </w:r>
      <w:r>
        <w:rPr>
          <w:rFonts w:ascii="Inter" w:hAnsi="Inter" w:cs="Inter"/>
          <w:b w:val="0"/>
          <w:i w:val="0"/>
          <w:color w:val="5B5F77"/>
          <w:sz w:val="21"/>
        </w:rPr>
        <w:t xml:space="preserve"> Este CV está organizado </w:t>
      </w:r>
      <w:r>
        <w:rPr>
          <w:rFonts w:ascii="Inter" w:hAnsi="Inter" w:cs="Inter"/>
          <w:b/>
          <w:i w:val="0"/>
          <w:color w:val="5B5F77"/>
          <w:sz w:val="21"/>
        </w:rPr>
        <w:t>exactamente según el baremo de la convocatoria</w:t>
      </w:r>
      <w:r>
        <w:rPr>
          <w:rFonts w:ascii="Inter" w:hAnsi="Inter" w:cs="Inter"/>
          <w:b w:val="0"/>
          <w:i w:val="0"/>
          <w:color w:val="5B5F77"/>
          <w:sz w:val="21"/>
        </w:rPr>
        <w:t xml:space="preserve"> (Expediente académico 70% + Otros méritos 30%, con seis méritos de 5% cada uno), de modo que la comisión pueda puntuar cada apartado sin buscar la información. Cada mérito remite a su documento acreditativo mediante un código </w:t>
      </w:r>
      <w:r>
        <w:rPr>
          <w:rFonts w:ascii="Inter" w:hAnsi="Inter" w:cs="Inter"/>
          <w:b/>
          <w:i w:val="0"/>
          <w:color w:val="5B5F77"/>
          <w:sz w:val="21"/>
        </w:rPr>
        <w:t>[DOC-nn]</w:t>
      </w:r>
      <w:r>
        <w:rPr>
          <w:rFonts w:ascii="Inter" w:hAnsi="Inter" w:cs="Inter"/>
          <w:b w:val="0"/>
          <w:i w:val="0"/>
          <w:color w:val="5B5F77"/>
          <w:sz w:val="21"/>
        </w:rPr>
        <w:t xml:space="preserve"> que corresponde al índice del Anexo (§8) y al orden del PDF de documentación.</w:t>
      </w:r>
    </w:p>
    <w:p>
      <w:pPr>
        <w:pBdr>
          <w:bottom w:val="single" w:sz="6" w:space="1" w:color="E6E8F2"/>
        </w:pBdr>
      </w:pPr>
    </w:p>
    <w:p>
      <w:pPr>
        <w:spacing w:before="320" w:after="120"/>
      </w:pPr>
      <w:r>
        <w:rPr>
          <w:rFonts w:ascii="Fraunces" w:hAnsi="Fraunces" w:cs="Fraunces"/>
          <w:b/>
          <w:i w:val="0"/>
          <w:color w:val="22307C"/>
          <w:sz w:val="32"/>
        </w:rPr>
        <w:t>0. Datos de identificación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Dato</w:t>
            </w:r>
          </w:p>
        </w:tc>
      </w:tr>
      <w:tr>
        <w:tc>
          <w:tcPr>
            <w:tcW w:type="dxa" w:w="4824"/>
          </w:tcPr>
          <w:p>
            <w:pPr>
              <w:spacing w:after="40"/>
            </w:pPr>
            <w:r/>
            <w:r>
              <w:rPr>
                <w:rFonts w:ascii="Inter" w:hAnsi="Inter" w:cs="Inter"/>
                <w:b w:val="0"/>
                <w:i w:val="0"/>
                <w:color w:val="1C1E2E"/>
                <w:sz w:val="19"/>
              </w:rPr>
              <w:t>Nombre y apellidos</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Correo electrónico</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Residencia</w:t>
            </w:r>
          </w:p>
        </w:tc>
        <w:tc>
          <w:tcPr>
            <w:tcW w:type="dxa" w:w="4824"/>
          </w:tcPr>
          <w:p>
            <w:pPr>
              <w:spacing w:after="40"/>
            </w:pPr>
            <w:r/>
            <w:r>
              <w:rPr>
                <w:rFonts w:ascii="Inter" w:hAnsi="Inter" w:cs="Inter"/>
                <w:b w:val="0"/>
                <w:i w:val="0"/>
                <w:color w:val="1C1E2E"/>
                <w:sz w:val="19"/>
              </w:rPr>
              <w:t>Valencia, España (disponibilidad inmediata)</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Portafolio EdTech (6 áreas)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Portafolio de investigación e ID</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Sitio profesional</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Documentación acreditativa</w:t>
            </w:r>
          </w:p>
        </w:tc>
        <w:tc>
          <w:tcPr>
            <w:tcW w:type="dxa" w:w="4824"/>
          </w:tcPr>
          <w:p>
            <w:pPr>
              <w:spacing w:after="40"/>
            </w:pPr>
            <w:r/>
            <w:r>
              <w:rPr>
                <w:rFonts w:ascii="Inter" w:hAnsi="Inter" w:cs="Inter"/>
                <w:b w:val="0"/>
                <w:i w:val="0"/>
                <w:color w:val="1C1E2E"/>
                <w:sz w:val="19"/>
              </w:rPr>
              <w:t>Anexo §8 — un PDF por mérito, numerado [DOC-01]…[DOC-nn]</w:t>
            </w:r>
          </w:p>
        </w:tc>
      </w:tr>
    </w:tbl>
    <w:p/>
    <w:p>
      <w:pPr>
        <w:pBdr>
          <w:bottom w:val="single" w:sz="6" w:space="1" w:color="E6E8F2"/>
        </w:pBdr>
      </w:pPr>
    </w:p>
    <w:p>
      <w:pPr>
        <w:spacing w:before="320" w:after="120"/>
      </w:pPr>
      <w:r>
        <w:rPr>
          <w:rFonts w:ascii="Fraunces" w:hAnsi="Fraunces" w:cs="Fraunces"/>
          <w:b/>
          <w:i w:val="0"/>
          <w:color w:val="22307C"/>
          <w:sz w:val="42"/>
        </w:rPr>
        <w:t xml:space="preserve">BLOQUE A — EXPEDIENTE ACADÉMICO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Este bloque es el de mayor peso. Se aportan </w:t>
      </w:r>
      <w:r>
        <w:rPr>
          <w:rFonts w:ascii="Inter" w:hAnsi="Inter" w:cs="Inter"/>
          <w:b/>
          <w:i w:val="0"/>
          <w:color w:val="5B5F77"/>
          <w:sz w:val="21"/>
        </w:rPr>
        <w:t>certificación académica personal</w:t>
      </w:r>
      <w:r>
        <w:rPr>
          <w:rFonts w:ascii="Inter" w:hAnsi="Inter" w:cs="Inter"/>
          <w:b w:val="0"/>
          <w:i w:val="0"/>
          <w:color w:val="5B5F77"/>
          <w:sz w:val="21"/>
        </w:rPr>
        <w:t xml:space="preserve"> de cada titulación con nota media en escala 0–10 y, para la titulación extranjera, la equivalencia oficial.</w:t>
      </w:r>
    </w:p>
    <w:p>
      <w:pPr>
        <w:spacing w:before="320" w:after="120"/>
      </w:pPr>
      <w:r>
        <w:rPr>
          <w:rFonts w:ascii="Fraunces" w:hAnsi="Fraunces" w:cs="Fraunces"/>
          <w:b/>
          <w:i w:val="0"/>
          <w:color w:val="22307C"/>
          <w:sz w:val="32"/>
        </w:rPr>
        <w:t>A.1 · Máster Universitario en Lenguas y Tecnología — especialidad Didáctica</w:t>
      </w:r>
    </w:p>
    <w:p>
      <w:r>
        <w:rPr>
          <w:rFonts w:ascii="Inter" w:hAnsi="Inter" w:cs="Inter"/>
          <w:b/>
          <w:i w:val="0"/>
          <w:color w:val="1C1E2E"/>
          <w:sz w:val="22"/>
        </w:rPr>
        <w:t>Universitat Politècnica de València (UPV), España — julio de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Nota media del expediente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Matrículas de Honor</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Calificación del proyecto </w:t>
            </w:r>
            <w:r>
              <w:rPr>
                <w:rFonts w:ascii="Inter" w:hAnsi="Inter" w:cs="Inter"/>
                <w:b w:val="0"/>
                <w:i/>
                <w:color w:val="1C1E2E"/>
                <w:sz w:val="19"/>
              </w:rPr>
              <w:t>Academic Writing Journey</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(asignatura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UPV </w:t>
            </w:r>
            <w:r>
              <w:rPr>
                <w:rFonts w:ascii="Inter" w:hAnsi="Inter" w:cs="Inter"/>
                <w:b/>
                <w:i w:val="0"/>
                <w:color w:val="1C1E2E"/>
                <w:sz w:val="19"/>
              </w:rPr>
              <w:t>[DOC-01]</w:t>
            </w:r>
            <w:r>
              <w:rPr>
                <w:rFonts w:ascii="Inter" w:hAnsi="Inter" w:cs="Inter"/>
                <w:b w:val="0"/>
                <w:i w:val="0"/>
                <w:color w:val="1C1E2E"/>
                <w:sz w:val="19"/>
              </w:rPr>
              <w:t xml:space="preserve"> · Título o resguardo </w:t>
            </w:r>
            <w:r>
              <w:rPr>
                <w:rFonts w:ascii="Inter" w:hAnsi="Inter" w:cs="Inter"/>
                <w:b/>
                <w:i w:val="0"/>
                <w:color w:val="1C1E2E"/>
                <w:sz w:val="19"/>
              </w:rPr>
              <w:t>[DOC-02]</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El máster es la titulación de acceso directo al programa y sitúa el expediente en el tramo superior de la escala. La especialidad de Didáctica y el Departamento de Lingüística Aplicada de la UPV son exactamente el marco en el que se inscribe la propuesta de tesis (MLLDE), lo que garantiza continuidad metodológica y de dirección.</w:t>
      </w:r>
    </w:p>
    <w:p>
      <w:pPr>
        <w:spacing w:before="320" w:after="120"/>
      </w:pPr>
      <w:r>
        <w:rPr>
          <w:rFonts w:ascii="Fraunces" w:hAnsi="Fraunces" w:cs="Fraunces"/>
          <w:b/>
          <w:i w:val="0"/>
          <w:color w:val="22307C"/>
          <w:sz w:val="32"/>
        </w:rPr>
        <w:t>A.2 · Licenciada en Educación, mención Inglés</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Estudios 1999–2003 · egresada en el período lectivo U-2003 · grado conferido en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Indicador</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Fuente</w:t>
            </w:r>
          </w:p>
        </w:tc>
      </w:tr>
      <w:tr>
        <w:tc>
          <w:tcPr>
            <w:tcW w:type="dxa" w:w="3216"/>
          </w:tcPr>
          <w:p>
            <w:pPr>
              <w:spacing w:after="40"/>
            </w:pPr>
            <w:r/>
            <w:r>
              <w:rPr>
                <w:rFonts w:ascii="Inter" w:hAnsi="Inter" w:cs="Inter"/>
                <w:b/>
                <w:i w:val="0"/>
                <w:color w:val="1C1E2E"/>
                <w:sz w:val="19"/>
              </w:rPr>
              <w:t>Nota media equivalente en la escala española</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Declaración de equivalencia — Secretaría General de Universidades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Nota media en la escala de origen</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(escala venezolana 0–20, aprobado ≥ 10)</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Posición en la promoción</w:t>
            </w:r>
          </w:p>
        </w:tc>
        <w:tc>
          <w:tcPr>
            <w:tcW w:type="dxa" w:w="3216"/>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promedio de la promoción: 15,77</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Distribución de calificaciones</w:t>
            </w:r>
          </w:p>
        </w:tc>
        <w:tc>
          <w:tcPr>
            <w:tcW w:type="dxa" w:w="3216"/>
          </w:tcPr>
          <w:p>
            <w:pPr>
              <w:spacing w:after="40"/>
            </w:pPr>
            <w:r/>
            <w:r>
              <w:rPr>
                <w:rFonts w:ascii="Inter" w:hAnsi="Inter" w:cs="Inter"/>
                <w:b w:val="0"/>
                <w:i w:val="0"/>
                <w:color w:val="1C1E2E"/>
                <w:sz w:val="19"/>
              </w:rPr>
              <w:t xml:space="preserve">0 % aprobado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Volumen del expediente</w:t>
            </w:r>
          </w:p>
        </w:tc>
        <w:tc>
          <w:tcPr>
            <w:tcW w:type="dxa" w:w="3216"/>
          </w:tcPr>
          <w:p>
            <w:pPr>
              <w:spacing w:after="40"/>
            </w:pPr>
            <w:r/>
            <w:r>
              <w:rPr>
                <w:rFonts w:ascii="Inter" w:hAnsi="Inter" w:cs="Inter"/>
                <w:b w:val="0"/>
                <w:i w:val="0"/>
                <w:color w:val="1C1E2E"/>
                <w:sz w:val="19"/>
              </w:rPr>
              <w:t>119 asignaturas/créditos (116 con calificación)</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Rama de conocimiento española · ISCED</w:t>
            </w:r>
          </w:p>
        </w:tc>
        <w:tc>
          <w:tcPr>
            <w:tcW w:type="dxa" w:w="3216"/>
          </w:tcPr>
          <w:p>
            <w:pPr>
              <w:spacing w:after="40"/>
            </w:pPr>
            <w:r/>
            <w:r>
              <w:rPr>
                <w:rFonts w:ascii="Inter" w:hAnsi="Inter" w:cs="Inter"/>
                <w:b w:val="0"/>
                <w:i w:val="0"/>
                <w:color w:val="1C1E2E"/>
                <w:sz w:val="19"/>
              </w:rPr>
              <w:t xml:space="preserve">Ciencias Sociales y Jurídicas · </w:t>
            </w:r>
            <w:r>
              <w:rPr>
                <w:rFonts w:ascii="Inter" w:hAnsi="Inter" w:cs="Inter"/>
                <w:b/>
                <w:i w:val="0"/>
                <w:color w:val="1C1E2E"/>
                <w:sz w:val="19"/>
              </w:rPr>
              <w:t>0114</w:t>
            </w:r>
            <w:r>
              <w:rPr>
                <w:rFonts w:ascii="Inter" w:hAnsi="Inter" w:cs="Inter"/>
                <w:b w:val="0"/>
                <w:i w:val="0"/>
                <w:color w:val="1C1E2E"/>
                <w:sz w:val="19"/>
              </w:rPr>
              <w:t xml:space="preserve"> (formación de docentes)</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Distinción académica</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Acta de grado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Trabajo Especial de Grado</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con </w:t>
            </w:r>
            <w:r>
              <w:rPr>
                <w:rFonts w:ascii="Inter" w:hAnsi="Inter" w:cs="Inter"/>
                <w:b/>
                <w:i w:val="0"/>
                <w:color w:val="1C1E2E"/>
                <w:sz w:val="19"/>
              </w:rPr>
              <w:t>Diploma de Honor concedido por el Rector de la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de Honor </w:t>
            </w:r>
            <w:r>
              <w:rPr>
                <w:rFonts w:ascii="Inter" w:hAnsi="Inter" w:cs="Inter"/>
                <w:b/>
                <w:i w:val="0"/>
                <w:color w:val="1C1E2E"/>
                <w:sz w:val="19"/>
              </w:rPr>
              <w:t>[DOC-07]</w:t>
            </w:r>
          </w:p>
        </w:tc>
      </w:tr>
      <w:tr>
        <w:tc>
          <w:tcPr>
            <w:tcW w:type="dxa" w:w="3216"/>
          </w:tcPr>
          <w:p>
            <w:pPr>
              <w:spacing w:after="40"/>
            </w:pPr>
            <w:r/>
            <w:r>
              <w:rPr>
                <w:rFonts w:ascii="Inter" w:hAnsi="Inter" w:cs="Inter"/>
                <w:b w:val="0"/>
                <w:i w:val="0"/>
                <w:color w:val="1C1E2E"/>
                <w:sz w:val="19"/>
              </w:rPr>
              <w:t>Recorrido investigador del TFG</w:t>
            </w:r>
          </w:p>
        </w:tc>
        <w:tc>
          <w:tcPr>
            <w:tcW w:type="dxa" w:w="3216"/>
          </w:tcPr>
          <w:p>
            <w:pPr>
              <w:spacing w:after="40"/>
            </w:pPr>
            <w:r/>
            <w:r>
              <w:rPr>
                <w:rFonts w:ascii="Inter" w:hAnsi="Inter" w:cs="Inter"/>
                <w:b w:val="0"/>
                <w:i w:val="0"/>
                <w:color w:val="1C1E2E"/>
                <w:sz w:val="19"/>
              </w:rPr>
              <w:t>Publicado tras arbitraje en revista indexada y presentado como ponencia arbitrada en congreso internacional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Líneas de investigación de la titulación</w:t>
            </w:r>
          </w:p>
        </w:tc>
        <w:tc>
          <w:tcPr>
            <w:tcW w:type="dxa" w:w="3216"/>
          </w:tcPr>
          <w:p>
            <w:pPr>
              <w:spacing w:after="40"/>
            </w:pPr>
            <w:r/>
            <w:r>
              <w:rPr>
                <w:rFonts w:ascii="Inter" w:hAnsi="Inter" w:cs="Inter"/>
                <w:b w:val="0"/>
                <w:i w:val="0"/>
                <w:color w:val="1C1E2E"/>
                <w:sz w:val="19"/>
              </w:rPr>
              <w:t>Diseño curricular y enseñanza del inglés</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El dato que la comisión introduce en el 70 % es 9,07/10</w:t>
      </w:r>
      <w:r>
        <w:rPr>
          <w:rFonts w:ascii="Inter" w:hAnsi="Inter" w:cs="Inter"/>
          <w:b w:val="0"/>
          <w:i w:val="0"/>
          <w:color w:val="1C1E2E"/>
          <w:sz w:val="22"/>
        </w:rPr>
        <w:t xml:space="preserve">, ya calculado y certificado por la Administración española: la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(Secretaría General de Universidades, Dirección General de Política Universitaria), verificada por la Junta de Andalucía y comprobable en línea mediante el </w:t>
      </w:r>
      <w:r>
        <w:rPr>
          <w:rFonts w:ascii="Inter" w:hAnsi="Inter" w:cs="Inter"/>
          <w:b/>
          <w:i w:val="0"/>
          <w:color w:val="1C1E2E"/>
          <w:sz w:val="22"/>
        </w:rPr>
        <w:t>CSV ⟨CSV en la copia entregada a la comisión⟩</w:t>
      </w:r>
      <w:r>
        <w:rPr>
          <w:rFonts w:ascii="Inter" w:hAnsi="Inter" w:cs="Inter"/>
          <w:b w:val="0"/>
          <w:i w:val="0"/>
          <w:color w:val="1C1E2E"/>
          <w:sz w:val="22"/>
        </w:rPr>
        <w:t xml:space="preserve"> en . No hay que estimarlo ni convertirlo: basta adjuntar la declaración.</w:t>
      </w:r>
    </w:p>
    <w:p>
      <w:r>
        <w:rPr>
          <w:rFonts w:ascii="Inter" w:hAnsi="Inter" w:cs="Inter"/>
          <w:b/>
          <w:i w:val="0"/>
          <w:color w:val="1C1E2E"/>
          <w:sz w:val="22"/>
        </w:rPr>
        <w:t>Relevancia para el doctorado.</w:t>
      </w:r>
      <w:r>
        <w:rPr>
          <w:rFonts w:ascii="Inter" w:hAnsi="Inter" w:cs="Inter"/>
          <w:b w:val="0"/>
          <w:i w:val="0"/>
          <w:color w:val="1C1E2E"/>
          <w:sz w:val="22"/>
        </w:rPr>
        <w:t xml:space="preserve"> La titulación es de </w:t>
      </w:r>
      <w:r>
        <w:rPr>
          <w:rFonts w:ascii="Inter" w:hAnsi="Inter" w:cs="Inter"/>
          <w:b/>
          <w:i w:val="0"/>
          <w:color w:val="1C1E2E"/>
          <w:sz w:val="22"/>
        </w:rPr>
        <w:t>Educación mención Inglés</w:t>
      </w:r>
      <w:r>
        <w:rPr>
          <w:rFonts w:ascii="Inter" w:hAnsi="Inter" w:cs="Inter"/>
          <w:b w:val="0"/>
          <w:i w:val="0"/>
          <w:color w:val="1C1E2E"/>
          <w:sz w:val="22"/>
        </w:rPr>
        <w:t xml:space="preserve"> con líneas de diseño curricular y enseñanza del inglés — es decir, la formación de origen ya es de diseño curricular, que es el objeto de la tesis. El Trabajo Especial de Grado, calificado </w:t>
      </w:r>
      <w:r>
        <w:rPr>
          <w:rFonts w:ascii="Inter" w:hAnsi="Inter" w:cs="Inter"/>
          <w:b/>
          <w:i w:val="0"/>
          <w:color w:val="1C1E2E"/>
          <w:sz w:val="22"/>
        </w:rPr>
        <w:t>20/20 con Diploma de Honor del Rector</w:t>
      </w:r>
      <w:r>
        <w:rPr>
          <w:rFonts w:ascii="Inter" w:hAnsi="Inter" w:cs="Inter"/>
          <w:b w:val="0"/>
          <w:i w:val="0"/>
          <w:color w:val="1C1E2E"/>
          <w:sz w:val="22"/>
        </w:rPr>
        <w:t xml:space="preserve">, no quedó en el expediente: se arbitró y publicó en </w:t>
      </w:r>
      <w:r>
        <w:rPr>
          <w:rFonts w:ascii="Inter" w:hAnsi="Inter" w:cs="Inter"/>
          <w:b/>
          <w:i w:val="0"/>
          <w:color w:val="1C1E2E"/>
          <w:sz w:val="22"/>
        </w:rPr>
        <w:t>revista indexada</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indexada en CLASE–UNAM) y se presentó como </w:t>
      </w:r>
      <w:r>
        <w:rPr>
          <w:rFonts w:ascii="Inter" w:hAnsi="Inter" w:cs="Inter"/>
          <w:b/>
          <w:i w:val="0"/>
          <w:color w:val="1C1E2E"/>
          <w:sz w:val="22"/>
        </w:rPr>
        <w:t>ponencia arbitrada en un congreso internacional</w:t>
      </w:r>
      <w:r>
        <w:rPr>
          <w:rFonts w:ascii="Inter" w:hAnsi="Inter" w:cs="Inter"/>
          <w:b w:val="0"/>
          <w:i w:val="0"/>
          <w:color w:val="1C1E2E"/>
          <w:sz w:val="22"/>
        </w:rPr>
        <w:t xml:space="preserve"> (§5.1). Es capacidad investigadora autónoma acreditada desde la titulación de grado.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Punto de acceso que hay que resolver — no es puntuación, es admisibilidad.</w:t>
      </w:r>
      <w:r>
        <w:rPr>
          <w:rFonts w:ascii="Inter" w:hAnsi="Inter" w:cs="Inter"/>
          <w:b w:val="0"/>
          <w:i w:val="0"/>
          <w:color w:val="5B5F77"/>
          <w:sz w:val="21"/>
        </w:rPr>
        <w:t xml:space="preserve"> La declaración de equivalencia indica expresamente </w:t>
      </w:r>
      <w:r>
        <w:rPr>
          <w:rFonts w:ascii="Inter" w:hAnsi="Inter" w:cs="Inter"/>
          <w:b/>
          <w:i w:val="0"/>
          <w:color w:val="5B5F77"/>
          <w:sz w:val="21"/>
        </w:rPr>
        <w:t>«Título homologado/equivalente: NO»</w:t>
      </w:r>
      <w:r>
        <w:rPr>
          <w:rFonts w:ascii="Inter" w:hAnsi="Inter" w:cs="Inter"/>
          <w:b w:val="0"/>
          <w:i w:val="0"/>
          <w:color w:val="5B5F77"/>
          <w:sz w:val="21"/>
        </w:rPr>
        <w:t xml:space="preserve">: lo que está declarado es la </w:t>
      </w:r>
      <w:r>
        <w:rPr>
          <w:rFonts w:ascii="Inter" w:hAnsi="Inter" w:cs="Inter"/>
          <w:b/>
          <w:i w:val="0"/>
          <w:color w:val="5B5F77"/>
          <w:sz w:val="21"/>
        </w:rPr>
        <w:t>equivalencia de la nota media</w:t>
      </w:r>
      <w:r>
        <w:rPr>
          <w:rFonts w:ascii="Inter" w:hAnsi="Inter" w:cs="Inter"/>
          <w:b w:val="0"/>
          <w:i w:val="0"/>
          <w:color w:val="5B5F77"/>
          <w:sz w:val="21"/>
        </w:rPr>
        <w:t xml:space="preserve">, no la homologación del título. Para acceder a un doctorado con un título extranjero no homologado, el artículo 6 del RD 99/2011 permite la admisión previa </w:t>
      </w:r>
      <w:r>
        <w:rPr>
          <w:rFonts w:ascii="Inter" w:hAnsi="Inter" w:cs="Inter"/>
          <w:b/>
          <w:i w:val="0"/>
          <w:color w:val="5B5F77"/>
          <w:sz w:val="21"/>
        </w:rPr>
        <w:t>comprobación por la universidad de que el título acredita un nivel de formación equivalente</w:t>
      </w:r>
      <w:r>
        <w:rPr>
          <w:rFonts w:ascii="Inter" w:hAnsi="Inter" w:cs="Inter"/>
          <w:b w:val="0"/>
          <w:i w:val="0"/>
          <w:color w:val="5B5F77"/>
          <w:sz w:val="21"/>
        </w:rPr>
        <w:t xml:space="preserve"> al de máster español y faculta para el acceso a doctorado en el país de expedición. </w:t>
      </w:r>
      <w:r>
        <w:rPr>
          <w:rFonts w:ascii="Inter" w:hAnsi="Inter" w:cs="Inter"/>
          <w:b/>
          <w:i w:val="0"/>
          <w:color w:val="5B5F77"/>
          <w:sz w:val="21"/>
        </w:rPr>
        <w:t>Acción:</w:t>
      </w:r>
      <w:r>
        <w:rPr>
          <w:rFonts w:ascii="Inter" w:hAnsi="Inter" w:cs="Inter"/>
          <w:b w:val="0"/>
          <w:i w:val="0"/>
          <w:color w:val="5B5F77"/>
          <w:sz w:val="21"/>
        </w:rPr>
        <w:t xml:space="preserve"> solicitar a la Escuela de Doctorado de la UPV la </w:t>
      </w:r>
      <w:r>
        <w:rPr>
          <w:rFonts w:ascii="Inter" w:hAnsi="Inter" w:cs="Inter"/>
          <w:b/>
          <w:i w:val="0"/>
          <w:color w:val="5B5F77"/>
          <w:sz w:val="21"/>
        </w:rPr>
        <w:t>comprobación de nivel</w:t>
      </w:r>
      <w:r>
        <w:rPr>
          <w:rFonts w:ascii="Inter" w:hAnsi="Inter" w:cs="Inter"/>
          <w:b w:val="0"/>
          <w:i w:val="0"/>
          <w:color w:val="5B5F77"/>
          <w:sz w:val="21"/>
        </w:rPr>
        <w:t xml:space="preserve"> (o iniciar la equivalencia de nivel académico ante el Ministerio) </w:t>
      </w:r>
      <w:r>
        <w:rPr>
          <w:rFonts w:ascii="Inter" w:hAnsi="Inter" w:cs="Inter"/>
          <w:b/>
          <w:i w:val="0"/>
          <w:color w:val="5B5F77"/>
          <w:sz w:val="21"/>
        </w:rPr>
        <w:t>antes</w:t>
      </w:r>
      <w:r>
        <w:rPr>
          <w:rFonts w:ascii="Inter" w:hAnsi="Inter" w:cs="Inter"/>
          <w:b w:val="0"/>
          <w:i w:val="0"/>
          <w:color w:val="5B5F77"/>
          <w:sz w:val="21"/>
        </w:rPr>
        <w:t xml:space="preserve"> de que cierre el plazo — este trámite tarda y bloquea la admisión aunque la puntuación sea alta. Adjuntar la declaración de equivalencia de nota media como documento de apoyo, no como sustituto.</w:t>
      </w:r>
    </w:p>
    <w:p>
      <w:pPr>
        <w:pBdr>
          <w:bottom w:val="single" w:sz="6" w:space="1" w:color="E6E8F2"/>
        </w:pBdr>
      </w:pPr>
    </w:p>
    <w:p>
      <w:pPr>
        <w:spacing w:before="320" w:after="120"/>
      </w:pPr>
      <w:r>
        <w:rPr>
          <w:rFonts w:ascii="Fraunces" w:hAnsi="Fraunces" w:cs="Fraunces"/>
          <w:b/>
          <w:i w:val="0"/>
          <w:color w:val="22307C"/>
          <w:sz w:val="42"/>
        </w:rPr>
        <w:t xml:space="preserve">BLOQUE B — OTROS MÉRITOS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Los seis méritos se presentan </w:t>
      </w:r>
      <w:r>
        <w:rPr>
          <w:rFonts w:ascii="Inter" w:hAnsi="Inter" w:cs="Inter"/>
          <w:b/>
          <w:i w:val="0"/>
          <w:color w:val="5B5F77"/>
          <w:sz w:val="21"/>
        </w:rPr>
        <w:t>en el mismo orden y con la misma redacción que la convocatoria</w:t>
      </w:r>
      <w:r>
        <w:rPr>
          <w:rFonts w:ascii="Inter" w:hAnsi="Inter" w:cs="Inter"/>
          <w:b w:val="0"/>
          <w:i w:val="0"/>
          <w:color w:val="5B5F77"/>
          <w:sz w:val="21"/>
        </w:rPr>
        <w:t>, cada uno con su valor (5 %), su estado y su documento acreditativo.</w:t>
      </w:r>
    </w:p>
    <w:p>
      <w:pPr>
        <w:pBdr>
          <w:bottom w:val="single" w:sz="6" w:space="1" w:color="E6E8F2"/>
        </w:pBdr>
      </w:pPr>
    </w:p>
    <w:p>
      <w:pPr>
        <w:spacing w:before="320" w:after="120"/>
      </w:pPr>
      <w:r>
        <w:rPr>
          <w:rFonts w:ascii="Fraunces" w:hAnsi="Fraunces" w:cs="Fraunces"/>
          <w:b/>
          <w:i w:val="0"/>
          <w:color w:val="22307C"/>
          <w:sz w:val="32"/>
        </w:rPr>
        <w:t xml:space="preserve">B.1 · Premio extraordinario de licenciatura o grado — </w:t>
      </w:r>
      <w:r>
        <w:rPr>
          <w:rFonts w:ascii="Fraunces" w:hAnsi="Fraunces" w:cs="Fraunces"/>
          <w:b/>
          <w:i w:val="0"/>
          <w:color w:val="22307C"/>
          <w:sz w:val="32"/>
        </w:rPr>
        <w:t>5 %</w:t>
      </w:r>
      <w:r>
        <w:rPr>
          <w:rFonts w:ascii="Fraunces" w:hAnsi="Fraunces" w:cs="Fraunces"/>
          <w:b/>
          <w:i w:val="0"/>
          <w:color w:val="22307C"/>
          <w:sz w:val="32"/>
        </w:rPr>
        <w:t xml:space="preserve"> ✅ ACREDITADO Y </w:t>
      </w:r>
      <w:r>
        <w:rPr>
          <w:rFonts w:ascii="Fraunces" w:hAnsi="Fraunces" w:cs="Fraunces"/>
          <w:b/>
          <w:i w:val="0"/>
          <w:color w:val="22307C"/>
          <w:sz w:val="32"/>
        </w:rPr>
        <w:t>APOSTILLADO</w:t>
      </w:r>
    </w:p>
    <w:p>
      <w:r>
        <w:rPr>
          <w:rFonts w:ascii="Inter" w:hAnsi="Inter" w:cs="Inter"/>
          <w:b/>
          <w:i w:val="0"/>
          <w:color w:val="1C1E2E"/>
          <w:sz w:val="22"/>
        </w:rPr>
        <w:t>Primer lugar de la promoción — 1.º de 56 graduandos</w:t>
      </w:r>
      <w:r>
        <w:rPr>
          <w:rFonts w:ascii="Inter" w:hAnsi="Inter" w:cs="Inter"/>
          <w:b w:val="0"/>
          <w:i w:val="0"/>
          <w:color w:val="1C1E2E"/>
          <w:sz w:val="22"/>
        </w:rPr>
        <w:t>, Licenciatura en Educación mención Inglés,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Puesto en la promoción</w:t>
            </w:r>
          </w:p>
        </w:tc>
        <w:tc>
          <w:tcPr>
            <w:tcW w:type="dxa" w:w="4824"/>
          </w:tcPr>
          <w:p>
            <w:pPr>
              <w:spacing w:after="40"/>
            </w:pPr>
            <w:r/>
            <w:r>
              <w:rPr>
                <w:rFonts w:ascii="Inter" w:hAnsi="Inter" w:cs="Inter"/>
                <w:b/>
                <w:i w:val="0"/>
                <w:color w:val="1C1E2E"/>
                <w:sz w:val="19"/>
              </w:rPr>
              <w:t>PRIMERO (1.º) de CINCUENTA Y SEIS (56) graduandos</w:t>
            </w:r>
          </w:p>
        </w:tc>
      </w:tr>
      <w:tr>
        <w:tc>
          <w:tcPr>
            <w:tcW w:type="dxa" w:w="4824"/>
          </w:tcPr>
          <w:p>
            <w:pPr>
              <w:spacing w:after="40"/>
            </w:pPr>
            <w:r/>
            <w:r>
              <w:rPr>
                <w:rFonts w:ascii="Inter" w:hAnsi="Inter" w:cs="Inter"/>
                <w:b w:val="0"/>
                <w:i w:val="0"/>
                <w:color w:val="1C1E2E"/>
                <w:sz w:val="19"/>
              </w:rPr>
              <w:t>Promedio de la candidata</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Promedio de la promoción</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Diferencia sobre la promoción</w:t>
            </w:r>
          </w:p>
        </w:tc>
        <w:tc>
          <w:tcPr>
            <w:tcW w:type="dxa" w:w="4824"/>
          </w:tcPr>
          <w:p>
            <w:pPr>
              <w:spacing w:after="40"/>
            </w:pPr>
            <w:r/>
            <w:r>
              <w:rPr>
                <w:rFonts w:ascii="Inter" w:hAnsi="Inter" w:cs="Inter"/>
                <w:b/>
                <w:i w:val="0"/>
                <w:color w:val="1C1E2E"/>
                <w:sz w:val="19"/>
              </w:rPr>
              <w:t>+3,20 puntos</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Oficina de Registros Estudiantiles, ULA-Táchira, 13 de enero de 2026 — firmada por la Coordinadora (E) de la ORE y el Vicerrector-Decano</w:t>
            </w:r>
          </w:p>
        </w:tc>
      </w:tr>
      <w:tr>
        <w:tc>
          <w:tcPr>
            <w:tcW w:type="dxa" w:w="4824"/>
          </w:tcPr>
          <w:p>
            <w:pPr>
              <w:spacing w:after="40"/>
            </w:pPr>
            <w:r/>
            <w:r>
              <w:rPr>
                <w:rFonts w:ascii="Inter" w:hAnsi="Inter" w:cs="Inter"/>
                <w:b w:val="0"/>
                <w:i w:val="0"/>
                <w:color w:val="1C1E2E"/>
                <w:sz w:val="19"/>
              </w:rPr>
              <w:t>Certificación de firmas</w:t>
            </w:r>
          </w:p>
        </w:tc>
        <w:tc>
          <w:tcPr>
            <w:tcW w:type="dxa" w:w="4824"/>
          </w:tcPr>
          <w:p>
            <w:pPr>
              <w:spacing w:after="40"/>
            </w:pPr>
            <w:r/>
            <w:r>
              <w:rPr>
                <w:rFonts w:ascii="Inter" w:hAnsi="Inter" w:cs="Inter"/>
                <w:b w:val="0"/>
                <w:i w:val="0"/>
                <w:color w:val="1C1E2E"/>
                <w:sz w:val="19"/>
              </w:rPr>
              <w:t xml:space="preserve">Secretaría de la ULA, papel de seguridad </w:t>
            </w:r>
            <w:r>
              <w:rPr>
                <w:rFonts w:ascii="Inter" w:hAnsi="Inter" w:cs="Inter"/>
                <w:b/>
                <w:i w:val="0"/>
                <w:color w:val="1C1E2E"/>
                <w:sz w:val="19"/>
              </w:rPr>
              <w:t>n.º ⟨n.º en la copia entregada a la comisión⟩</w:t>
            </w:r>
            <w:r>
              <w:rPr>
                <w:rFonts w:ascii="Inter" w:hAnsi="Inter" w:cs="Inter"/>
                <w:b w:val="0"/>
                <w:i w:val="0"/>
                <w:color w:val="1C1E2E"/>
                <w:sz w:val="19"/>
              </w:rPr>
              <w:t xml:space="preserve">, 30 de enero de 2026; refrendo del Rector. Verificable en  con el n.º </w:t>
            </w:r>
            <w:r>
              <w:rPr>
                <w:rFonts w:ascii="Inter" w:hAnsi="Inter" w:cs="Inter"/>
                <w:b/>
                <w:i w:val="0"/>
                <w:color w:val="1C1E2E"/>
                <w:sz w:val="19"/>
              </w:rPr>
              <w:t>⟨n.º en la copia entregada a la comisión⟩</w:t>
            </w:r>
          </w:p>
        </w:tc>
      </w:tr>
      <w:tr>
        <w:tc>
          <w:tcPr>
            <w:tcW w:type="dxa" w:w="4824"/>
          </w:tcPr>
          <w:p>
            <w:pPr>
              <w:spacing w:after="40"/>
            </w:pPr>
            <w:r/>
            <w:r>
              <w:rPr>
                <w:rFonts w:ascii="Inter" w:hAnsi="Inter" w:cs="Inter"/>
                <w:b/>
                <w:i w:val="0"/>
                <w:color w:val="1C1E2E"/>
                <w:sz w:val="19"/>
              </w:rPr>
              <w:t>Legalización internacional</w:t>
            </w:r>
          </w:p>
        </w:tc>
        <w:tc>
          <w:tcPr>
            <w:tcW w:type="dxa" w:w="4824"/>
          </w:tcPr>
          <w:p>
            <w:pPr>
              <w:spacing w:after="40"/>
            </w:pPr>
            <w:r/>
            <w:r>
              <w:rPr>
                <w:rFonts w:ascii="Inter" w:hAnsi="Inter" w:cs="Inter"/>
                <w:b/>
                <w:i w:val="0"/>
                <w:color w:val="1C1E2E"/>
                <w:sz w:val="19"/>
              </w:rPr>
              <w:t>Apostilla de La Haya n.º ⟨n.º en la copia entregada a la comisión⟩</w:t>
            </w:r>
            <w:r>
              <w:rPr>
                <w:rFonts w:ascii="Inter" w:hAnsi="Inter" w:cs="Inter"/>
                <w:b w:val="0"/>
                <w:i w:val="0"/>
                <w:color w:val="1C1E2E"/>
                <w:sz w:val="19"/>
              </w:rPr>
              <w:t xml:space="preserve">, Ministerio del Poder Popular para Relaciones Exteriores, Caracas, 20-03-2026 — validable con el código </w:t>
            </w:r>
            <w:r>
              <w:rPr>
                <w:rFonts w:ascii="Inter" w:hAnsi="Inter" w:cs="Inter"/>
                <w:b/>
                <w:i w:val="0"/>
                <w:color w:val="1C1E2E"/>
                <w:sz w:val="19"/>
              </w:rPr>
              <w:t>⟨código en la copia entregada a la comisión⟩</w:t>
            </w:r>
            <w:r>
              <w:rPr>
                <w:rFonts w:ascii="Inter" w:hAnsi="Inter" w:cs="Inter"/>
                <w:b w:val="0"/>
                <w:i w:val="0"/>
                <w:color w:val="1C1E2E"/>
                <w:sz w:val="19"/>
              </w:rPr>
              <w:t xml:space="preserve"> en </w:t>
            </w:r>
          </w:p>
        </w:tc>
      </w:tr>
    </w:tbl>
    <w:p/>
    <w:p>
      <w:r>
        <w:rPr>
          <w:rFonts w:ascii="Inter" w:hAnsi="Inter" w:cs="Inter"/>
          <w:b/>
          <w:i w:val="0"/>
          <w:color w:val="1C1E2E"/>
          <w:sz w:val="22"/>
        </w:rPr>
        <w:t>Distinciones asociadas: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y, por el Trabajo Especial de Grado, </w:t>
      </w:r>
      <w:r>
        <w:rPr>
          <w:rFonts w:ascii="Inter" w:hAnsi="Inter" w:cs="Inter"/>
          <w:b/>
          <w:i w:val="0"/>
          <w:color w:val="1C1E2E"/>
          <w:sz w:val="22"/>
        </w:rPr>
        <w:t>Diploma de Honor concedido por el Rector de la ULA</w:t>
      </w:r>
      <w:r>
        <w:rPr>
          <w:rFonts w:ascii="Inter" w:hAnsi="Inter" w:cs="Inter"/>
          <w:b w:val="0"/>
          <w:i w:val="0"/>
          <w:color w:val="1C1E2E"/>
          <w:sz w:val="22"/>
        </w:rPr>
        <w:t xml:space="preserve"> con calificación de </w:t>
      </w:r>
      <w:r>
        <w:rPr>
          <w:rFonts w:ascii="Inter" w:hAnsi="Inter" w:cs="Inter"/>
          <w:b/>
          <w:i w:val="0"/>
          <w:color w:val="1C1E2E"/>
          <w:sz w:val="22"/>
        </w:rPr>
        <w:t>veinte (20) puntos — Sobresaliente</w:t>
      </w:r>
      <w:r>
        <w:rPr>
          <w:rFonts w:ascii="Inter" w:hAnsi="Inter" w:cs="Inter"/>
          <w:b w:val="0"/>
          <w:i w:val="0"/>
          <w:color w:val="1C1E2E"/>
          <w:sz w:val="22"/>
        </w:rPr>
        <w:t xml:space="preserve"> (Mérida, 15 de noviembre de 2004) </w:t>
      </w:r>
      <w:r>
        <w:rPr>
          <w:rFonts w:ascii="Inter" w:hAnsi="Inter" w:cs="Inter"/>
          <w:b/>
          <w:i w:val="0"/>
          <w:color w:val="1C1E2E"/>
          <w:sz w:val="22"/>
        </w:rPr>
        <w:t>[DOC-07]</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Cómo redactarlo ante la comisión — esto importa.</w:t>
      </w:r>
      <w:r>
        <w:rPr>
          <w:rFonts w:ascii="Inter" w:hAnsi="Inter" w:cs="Inter"/>
          <w:b w:val="0"/>
          <w:i w:val="0"/>
          <w:color w:val="5B5F77"/>
          <w:sz w:val="21"/>
        </w:rPr>
        <w:t xml:space="preserve"> El documento venezolano </w:t>
      </w:r>
      <w:r>
        <w:rPr>
          <w:rFonts w:ascii="Inter" w:hAnsi="Inter" w:cs="Inter"/>
          <w:b/>
          <w:i w:val="0"/>
          <w:color w:val="5B5F77"/>
          <w:sz w:val="21"/>
        </w:rPr>
        <w:t>no se titula «Premio Extraordinario Fin de Carrera»</w:t>
      </w:r>
      <w:r>
        <w:rPr>
          <w:rFonts w:ascii="Inter" w:hAnsi="Inter" w:cs="Inter"/>
          <w:b w:val="0"/>
          <w:i w:val="0"/>
          <w:color w:val="5B5F77"/>
          <w:sz w:val="21"/>
        </w:rPr>
        <w:t xml:space="preserve">, porque la ULA no emite ese premio con esa denominación: emite la </w:t>
      </w:r>
      <w:r>
        <w:rPr>
          <w:rFonts w:ascii="Inter" w:hAnsi="Inter" w:cs="Inter"/>
          <w:b/>
          <w:i w:val="0"/>
          <w:color w:val="5B5F77"/>
          <w:sz w:val="21"/>
        </w:rPr>
        <w:t>Constancia de Rango Académico</w:t>
      </w:r>
      <w:r>
        <w:rPr>
          <w:rFonts w:ascii="Inter" w:hAnsi="Inter" w:cs="Inter"/>
          <w:b w:val="0"/>
          <w:i w:val="0"/>
          <w:color w:val="5B5F77"/>
          <w:sz w:val="21"/>
        </w:rPr>
        <w:t xml:space="preserve">, que es su equivalente funcional y certifica exactamente lo mismo que el premio español acredita — </w:t>
      </w:r>
      <w:r>
        <w:rPr>
          <w:rFonts w:ascii="Inter" w:hAnsi="Inter" w:cs="Inter"/>
          <w:b/>
          <w:i w:val="0"/>
          <w:color w:val="5B5F77"/>
          <w:sz w:val="21"/>
        </w:rPr>
        <w:t>haber ocupado el primer puesto de la promoción</w:t>
      </w:r>
      <w:r>
        <w:rPr>
          <w:rFonts w:ascii="Inter" w:hAnsi="Inter" w:cs="Inter"/>
          <w:b w:val="0"/>
          <w:i w:val="0"/>
          <w:color w:val="5B5F77"/>
          <w:sz w:val="21"/>
        </w:rPr>
        <w:t xml:space="preserve">. Preséntalo así, con esas palabras, y adjunta la constancia apostillada: la comisión ve un dato numérico verificable (1.º de 56, 18,97 frente a 15,77) en lugar de una etiqueta que tendría que interpretar. Es, además, el mérito </w:t>
      </w:r>
      <w:r>
        <w:rPr>
          <w:rFonts w:ascii="Inter" w:hAnsi="Inter" w:cs="Inter"/>
          <w:b/>
          <w:i w:val="0"/>
          <w:color w:val="5B5F77"/>
          <w:sz w:val="21"/>
        </w:rPr>
        <w:t>mejor documentado de todo el expediente</w:t>
      </w:r>
      <w:r>
        <w:rPr>
          <w:rFonts w:ascii="Inter" w:hAnsi="Inter" w:cs="Inter"/>
          <w:b w:val="0"/>
          <w:i w:val="0"/>
          <w:color w:val="5B5F77"/>
          <w:sz w:val="21"/>
        </w:rPr>
        <w:t>: constancia oficial + certificación de firmas del Rectorado + apostilla de La Haya con código de validación en línea. Ningún otro apartado del baremo llega a ese nivel de prueba.</w:t>
      </w:r>
    </w:p>
    <w:p>
      <w:r>
        <w:rPr>
          <w:rFonts w:ascii="Inter" w:hAnsi="Inter" w:cs="Inter"/>
          <w:b/>
          <w:i w:val="0"/>
          <w:color w:val="1C1E2E"/>
          <w:sz w:val="22"/>
        </w:rPr>
        <w:t>Acreditación:</w:t>
      </w:r>
      <w:r>
        <w:rPr>
          <w:rFonts w:ascii="Inter" w:hAnsi="Inter" w:cs="Inter"/>
          <w:b w:val="0"/>
          <w:i w:val="0"/>
          <w:color w:val="1C1E2E"/>
          <w:sz w:val="22"/>
        </w:rPr>
        <w:t xml:space="preserve"> Constancia de Rango Académico con certificación rectoral y apostilla </w:t>
      </w:r>
      <w:r>
        <w:rPr>
          <w:rFonts w:ascii="Inter" w:hAnsi="Inter" w:cs="Inter"/>
          <w:b/>
          <w:i w:val="0"/>
          <w:color w:val="1C1E2E"/>
          <w:sz w:val="22"/>
        </w:rPr>
        <w:t>[DOC-06]</w:t>
      </w:r>
      <w:r>
        <w:rPr>
          <w:rFonts w:ascii="Inter" w:hAnsi="Inter" w:cs="Inter"/>
          <w:b w:val="0"/>
          <w:i w:val="0"/>
          <w:color w:val="1C1E2E"/>
          <w:sz w:val="22"/>
        </w:rPr>
        <w:t xml:space="preserve"> · Diploma de Honor del TFG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Premio extraordinario de máster — </w:t>
      </w:r>
      <w:r>
        <w:rPr>
          <w:rFonts w:ascii="Fraunces" w:hAnsi="Fraunces" w:cs="Fraunces"/>
          <w:b/>
          <w:i w:val="0"/>
          <w:color w:val="22307C"/>
          <w:sz w:val="32"/>
        </w:rPr>
        <w:t>5 %</w:t>
      </w:r>
      <w:r>
        <w:rPr>
          <w:rFonts w:ascii="Fraunces" w:hAnsi="Fraunces" w:cs="Fraunces"/>
          <w:b/>
          <w:i w:val="0"/>
          <w:color w:val="22307C"/>
          <w:sz w:val="32"/>
        </w:rPr>
        <w:t xml:space="preserve"> ❌ NO PROCEDE COMO PREMIO</w:t>
      </w:r>
    </w:p>
    <w:p>
      <w:r>
        <w:rPr>
          <w:rFonts w:ascii="Inter" w:hAnsi="Inter" w:cs="Inter"/>
          <w:b/>
          <w:i w:val="0"/>
          <w:color w:val="1C1E2E"/>
          <w:sz w:val="22"/>
        </w:rPr>
        <w:t>El Premio Extraordinario que se posee es el de grado (§B.1), no el de máster.</w:t>
      </w:r>
      <w:r>
        <w:rPr>
          <w:rFonts w:ascii="Inter" w:hAnsi="Inter" w:cs="Inter"/>
          <w:b w:val="0"/>
          <w:i w:val="0"/>
          <w:color w:val="1C1E2E"/>
          <w:sz w:val="22"/>
        </w:rPr>
        <w:t xml:space="preserve"> No se declara aquí ningún premio.</w:t>
      </w:r>
    </w:p>
    <w:p>
      <w:r>
        <w:rPr>
          <w:rFonts w:ascii="Inter" w:hAnsi="Inter" w:cs="Inter"/>
          <w:b/>
          <w:i w:val="0"/>
          <w:color w:val="1C1E2E"/>
          <w:sz w:val="22"/>
        </w:rPr>
        <w:t>Lo que sí se declara como distinción académica del máster</w:t>
      </w:r>
      <w:r>
        <w:rPr>
          <w:rFonts w:ascii="Inter" w:hAnsi="Inter" w:cs="Inter"/>
          <w:b w:val="0"/>
          <w:i w:val="0"/>
          <w:color w:val="1C1E2E"/>
          <w:sz w:val="22"/>
        </w:rPr>
        <w:t xml:space="preserve"> — y que refuerza el Bloque A, no este apartado:</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en el Máster Universitario en Lenguas y Tecnología (UPV, 2026).</w:t>
      </w:r>
    </w:p>
    <w:p>
      <w:pPr>
        <w:pStyle w:val="ListBullet"/>
        <w:spacing w:after="60"/>
        <w:ind w:left="403"/>
      </w:pPr>
      <w:r>
        <w:rPr>
          <w:rFonts w:ascii="Inter" w:hAnsi="Inter" w:cs="Inter"/>
          <w:b w:val="0"/>
          <w:i w:val="0"/>
          <w:color w:val="1C1E2E"/>
          <w:sz w:val="22"/>
        </w:rPr>
        <w:t xml:space="preserve">Nota media del expediente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Calificación de </w:t>
      </w:r>
      <w:r>
        <w:rPr>
          <w:rFonts w:ascii="Inter" w:hAnsi="Inter" w:cs="Inter"/>
          <w:b/>
          <w:i w:val="0"/>
          <w:color w:val="1C1E2E"/>
          <w:sz w:val="22"/>
        </w:rPr>
        <w:t>10/10</w:t>
      </w:r>
      <w:r>
        <w:rPr>
          <w:rFonts w:ascii="Inter" w:hAnsi="Inter" w:cs="Inter"/>
          <w:b w:val="0"/>
          <w:i w:val="0"/>
          <w:color w:val="1C1E2E"/>
          <w:sz w:val="22"/>
        </w:rPr>
        <w:t xml:space="preserve"> en el proyecto </w:t>
      </w:r>
      <w:r>
        <w:rPr>
          <w:rFonts w:ascii="Inter" w:hAnsi="Inter" w:cs="Inter"/>
          <w:b w:val="0"/>
          <w:i/>
          <w:color w:val="1C1E2E"/>
          <w:sz w:val="22"/>
        </w:rPr>
        <w:t>Academic Writing Journey</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Por qué dejarlo a cero es la decisión correcta.</w:t>
      </w:r>
      <w:r>
        <w:rPr>
          <w:rFonts w:ascii="Inter" w:hAnsi="Inter" w:cs="Inter"/>
          <w:b w:val="0"/>
          <w:i w:val="0"/>
          <w:color w:val="5B5F77"/>
          <w:sz w:val="21"/>
        </w:rPr>
        <w:t xml:space="preserve"> Una </w:t>
      </w:r>
      <w:r>
        <w:rPr>
          <w:rFonts w:ascii="Inter" w:hAnsi="Inter" w:cs="Inter"/>
          <w:b w:val="0"/>
          <w:i/>
          <w:color w:val="5B5F77"/>
          <w:sz w:val="21"/>
        </w:rPr>
        <w:t>Matrícula de Honor</w:t>
      </w:r>
      <w:r>
        <w:rPr>
          <w:rFonts w:ascii="Inter" w:hAnsi="Inter" w:cs="Inter"/>
          <w:b w:val="0"/>
          <w:i w:val="0"/>
          <w:color w:val="5B5F77"/>
          <w:sz w:val="21"/>
        </w:rPr>
        <w:t xml:space="preserve"> es una calificación de asignatura; el </w:t>
      </w:r>
      <w:r>
        <w:rPr>
          <w:rFonts w:ascii="Inter" w:hAnsi="Inter" w:cs="Inter"/>
          <w:b w:val="0"/>
          <w:i/>
          <w:color w:val="5B5F77"/>
          <w:sz w:val="21"/>
        </w:rPr>
        <w:t>Premio Extraordinario de Máster</w:t>
      </w:r>
      <w:r>
        <w:rPr>
          <w:rFonts w:ascii="Inter" w:hAnsi="Inter" w:cs="Inter"/>
          <w:b w:val="0"/>
          <w:i w:val="0"/>
          <w:color w:val="5B5F77"/>
          <w:sz w:val="21"/>
        </w:rPr>
        <w:t xml:space="preserve"> es una resolución de la universidad al mejor expediente de la promoción. Declarar la una como el otro invalidaría el mérito y restaría credibilidad al resto del CV — precisamente cuando §B.1 sí aporta un premio real, certificado y apostillado. Si la UPV resolviera el Premio Extraordinario a tu favor más adelante, se añade la resolución como </w:t>
      </w:r>
      <w:r>
        <w:rPr>
          <w:rFonts w:ascii="Inter" w:hAnsi="Inter" w:cs="Inter"/>
          <w:b/>
          <w:i w:val="0"/>
          <w:color w:val="5B5F77"/>
          <w:sz w:val="21"/>
        </w:rPr>
        <w:t>[DOC-08]</w:t>
      </w:r>
      <w:r>
        <w:rPr>
          <w:rFonts w:ascii="Inter" w:hAnsi="Inter" w:cs="Inter"/>
          <w:b w:val="0"/>
          <w:i w:val="0"/>
          <w:color w:val="5B5F77"/>
          <w:sz w:val="21"/>
        </w:rPr>
        <w:t xml:space="preserve"> y este apartado pasa a puntuar.</w:t>
      </w:r>
    </w:p>
    <w:p>
      <w:r>
        <w:rPr>
          <w:rFonts w:ascii="Inter" w:hAnsi="Inter" w:cs="Inter"/>
          <w:b/>
          <w:i w:val="0"/>
          <w:color w:val="1C1E2E"/>
          <w:sz w:val="22"/>
        </w:rPr>
        <w:t>Acreditación:</w:t>
      </w:r>
      <w:r>
        <w:rPr>
          <w:rFonts w:ascii="Inter" w:hAnsi="Inter" w:cs="Inter"/>
          <w:b w:val="0"/>
          <w:i w:val="0"/>
          <w:color w:val="1C1E2E"/>
          <w:sz w:val="22"/>
        </w:rPr>
        <w:t xml:space="preserve"> certificación académica con las 2 Matrículas de Honor, incluida en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Realización de un segundo máster — </w:t>
      </w:r>
      <w:r>
        <w:rPr>
          <w:rFonts w:ascii="Fraunces" w:hAnsi="Fraunces" w:cs="Fraunces"/>
          <w:b/>
          <w:i w:val="0"/>
          <w:color w:val="22307C"/>
          <w:sz w:val="32"/>
        </w:rPr>
        <w:t>5 %</w:t>
      </w:r>
      <w:r>
        <w:rPr>
          <w:rFonts w:ascii="Fraunces" w:hAnsi="Fraunces" w:cs="Fraunces"/>
          <w:b/>
          <w:i w:val="0"/>
          <w:color w:val="22307C"/>
          <w:sz w:val="32"/>
        </w:rPr>
        <w:t xml:space="preserve"> ❌ NO ACREDITADO ACTUALMENTE</w:t>
      </w:r>
    </w:p>
    <w:p>
      <w:r>
        <w:rPr>
          <w:rFonts w:ascii="Inter" w:hAnsi="Inter" w:cs="Inter"/>
          <w:b w:val="0"/>
          <w:i w:val="0"/>
          <w:color w:val="1C1E2E"/>
          <w:sz w:val="22"/>
        </w:rPr>
        <w:t>No se posee, a fecha de esta solicitud, un segundo título de máster universitario oficial además del Máster en Lenguas y Tecnología (UPV).</w:t>
      </w:r>
    </w:p>
    <w:p>
      <w:r>
        <w:rPr>
          <w:rFonts w:ascii="Inter" w:hAnsi="Inter" w:cs="Inter"/>
          <w:b/>
          <w:i w:val="0"/>
          <w:color w:val="1C1E2E"/>
          <w:sz w:val="22"/>
        </w:rPr>
        <w:t>Qué SÍ se puede aportar como formación de posgrado complementaria</w:t>
      </w:r>
      <w:r>
        <w:rPr>
          <w:rFonts w:ascii="Inter" w:hAnsi="Inter" w:cs="Inter"/>
          <w:b w:val="0"/>
          <w:i w:val="0"/>
          <w:color w:val="1C1E2E"/>
          <w:sz w:val="22"/>
        </w:rPr>
        <w:t xml:space="preserve"> (no puntúa en este apartado, pero refuerza el conjunto y se declara en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enero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marzo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mayo 2024 (validez hasta diciembre 2034).</w:t>
      </w:r>
    </w:p>
    <w:p>
      <w:pPr>
        <w:pStyle w:val="ListBullet"/>
        <w:spacing w:after="60"/>
        <w:ind w:left="403"/>
      </w:pPr>
      <w:r>
        <w:rPr>
          <w:rFonts w:ascii="Inter" w:hAnsi="Inter" w:cs="Inter"/>
          <w:b w:val="0"/>
          <w:i/>
          <w:color w:val="1C1E2E"/>
          <w:sz w:val="22"/>
        </w:rPr>
        <w:t>Creación de contenidos digitales, mobile learning y gamificación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Nota estratégica.</w:t>
      </w:r>
      <w:r>
        <w:rPr>
          <w:rFonts w:ascii="Inter" w:hAnsi="Inter" w:cs="Inter"/>
          <w:b w:val="0"/>
          <w:i w:val="0"/>
          <w:color w:val="5B5F77"/>
          <w:sz w:val="21"/>
        </w:rPr>
        <w:t xml:space="preserve"> Este es el único de los seis méritos que hoy queda a cero. Es honesto dejarlo así: la comisión valora la coherencia del expediente, y los otros cinco apartados están cubiertos. No conviene forzar cursos de especialización como si fueran un máster oficial.</w:t>
      </w:r>
    </w:p>
    <w:p>
      <w:pPr>
        <w:pBdr>
          <w:bottom w:val="single" w:sz="6" w:space="1" w:color="E6E8F2"/>
        </w:pBdr>
      </w:pPr>
    </w:p>
    <w:p>
      <w:pPr>
        <w:spacing w:before="320" w:after="120"/>
      </w:pPr>
      <w:r>
        <w:rPr>
          <w:rFonts w:ascii="Fraunces" w:hAnsi="Fraunces" w:cs="Fraunces"/>
          <w:b/>
          <w:i w:val="0"/>
          <w:color w:val="22307C"/>
          <w:sz w:val="32"/>
        </w:rPr>
        <w:t xml:space="preserve">B.4 · Conocimiento de idiomas diferentes a los de las titulaciones previas — </w:t>
      </w:r>
      <w:r>
        <w:rPr>
          <w:rFonts w:ascii="Fraunces" w:hAnsi="Fraunces" w:cs="Fraunces"/>
          <w:b/>
          <w:i w:val="0"/>
          <w:color w:val="22307C"/>
          <w:sz w:val="32"/>
        </w:rPr>
        <w:t>5 %</w:t>
      </w:r>
      <w:r>
        <w:rPr>
          <w:rFonts w:ascii="Fraunces" w:hAnsi="Fraunces" w:cs="Fraunces"/>
          <w:b/>
          <w:i w:val="0"/>
          <w:color w:val="22307C"/>
          <w:sz w:val="32"/>
        </w:rPr>
        <w:t xml:space="preserve"> ⚠️ INTERPRETACIÓN</w:t>
      </w:r>
    </w:p>
    <w:p>
      <w:r>
        <w:rPr>
          <w:rFonts w:ascii="Inter" w:hAnsi="Inter" w:cs="Inter"/>
          <w:b/>
          <w:i w:val="0"/>
          <w:color w:val="1C1E2E"/>
          <w:sz w:val="22"/>
        </w:rPr>
        <w:t>Acreditaciones que se aportan: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Credencial</w:t>
            </w:r>
          </w:p>
        </w:tc>
        <w:tc>
          <w:tcPr>
            <w:tcW w:type="dxa" w:w="3216"/>
            <w:shd w:val="clear" w:color="auto" w:fill="EEF2FD"/>
          </w:tcPr>
          <w:p>
            <w:pPr>
              <w:spacing w:after="40"/>
            </w:pPr>
            <w:r/>
            <w:r>
              <w:rPr>
                <w:rFonts w:ascii="Inter" w:hAnsi="Inter" w:cs="Inter"/>
                <w:b/>
                <w:i w:val="0"/>
                <w:color w:val="22307C"/>
                <w:sz w:val="19"/>
              </w:rPr>
              <w:t>Entidad</w:t>
            </w:r>
          </w:p>
        </w:tc>
        <w:tc>
          <w:tcPr>
            <w:tcW w:type="dxa" w:w="3216"/>
            <w:shd w:val="clear" w:color="auto" w:fill="EEF2FD"/>
          </w:tcPr>
          <w:p>
            <w:pPr>
              <w:spacing w:after="40"/>
            </w:pPr>
            <w:r/>
            <w:r>
              <w:rPr>
                <w:rFonts w:ascii="Inter" w:hAnsi="Inter" w:cs="Inter"/>
                <w:b/>
                <w:i w:val="0"/>
                <w:color w:val="22307C"/>
                <w:sz w:val="19"/>
              </w:rPr>
              <w:t>Nivel / estado</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acreditación oficial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Certificado de habilitación docente en inglés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Examinadora acreditada DELE</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Acreditación vigente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Advertencia honesta.</w:t>
      </w:r>
      <w:r>
        <w:rPr>
          <w:rFonts w:ascii="Inter" w:hAnsi="Inter" w:cs="Inter"/>
          <w:b w:val="0"/>
          <w:i w:val="0"/>
          <w:color w:val="5B5F77"/>
          <w:sz w:val="21"/>
        </w:rPr>
        <w:t xml:space="preserve"> La convocatoria puntúa idiomas </w:t>
      </w:r>
      <w:r>
        <w:rPr>
          <w:rFonts w:ascii="Inter" w:hAnsi="Inter" w:cs="Inter"/>
          <w:b/>
          <w:i w:val="0"/>
          <w:color w:val="5B5F77"/>
          <w:sz w:val="21"/>
        </w:rPr>
        <w:t>distintos de los de las titulaciones previas</w:t>
      </w:r>
      <w:r>
        <w:rPr>
          <w:rFonts w:ascii="Inter" w:hAnsi="Inter" w:cs="Inter"/>
          <w:b w:val="0"/>
          <w:i w:val="0"/>
          <w:color w:val="5B5F77"/>
          <w:sz w:val="21"/>
        </w:rPr>
        <w:t xml:space="preserve">. Como la licenciatura es </w:t>
      </w:r>
      <w:r>
        <w:rPr>
          <w:rFonts w:ascii="Inter" w:hAnsi="Inter" w:cs="Inter"/>
          <w:b w:val="0"/>
          <w:i/>
          <w:color w:val="5B5F77"/>
          <w:sz w:val="21"/>
        </w:rPr>
        <w:t>mención Inglés</w:t>
      </w:r>
      <w:r>
        <w:rPr>
          <w:rFonts w:ascii="Inter" w:hAnsi="Inter" w:cs="Inter"/>
          <w:b w:val="0"/>
          <w:i w:val="0"/>
          <w:color w:val="5B5F77"/>
          <w:sz w:val="21"/>
        </w:rPr>
        <w:t xml:space="preserve"> y el máster es en </w:t>
      </w:r>
      <w:r>
        <w:rPr>
          <w:rFonts w:ascii="Inter" w:hAnsi="Inter" w:cs="Inter"/>
          <w:b w:val="0"/>
          <w:i/>
          <w:color w:val="5B5F77"/>
          <w:sz w:val="21"/>
        </w:rPr>
        <w:t>Lenguas y Tecnología</w:t>
      </w:r>
      <w:r>
        <w:rPr>
          <w:rFonts w:ascii="Inter" w:hAnsi="Inter" w:cs="Inter"/>
          <w:b w:val="0"/>
          <w:i w:val="0"/>
          <w:color w:val="5B5F77"/>
          <w:sz w:val="21"/>
        </w:rPr>
        <w:t xml:space="preserve">, la comisión podría considerar que el inglés </w:t>
      </w:r>
      <w:r>
        <w:rPr>
          <w:rFonts w:ascii="Inter" w:hAnsi="Inter" w:cs="Inter"/>
          <w:b/>
          <w:i w:val="0"/>
          <w:color w:val="5B5F77"/>
          <w:sz w:val="21"/>
        </w:rPr>
        <w:t>ya está contenido</w:t>
      </w:r>
      <w:r>
        <w:rPr>
          <w:rFonts w:ascii="Inter" w:hAnsi="Inter" w:cs="Inter"/>
          <w:b w:val="0"/>
          <w:i w:val="0"/>
          <w:color w:val="5B5F77"/>
          <w:sz w:val="21"/>
        </w:rPr>
        <w:t xml:space="preserve"> en las titulaciones y no computarlo en este apartado. Estrategia recomendada: 1. </w:t>
      </w:r>
      <w:r>
        <w:rPr>
          <w:rFonts w:ascii="Inter" w:hAnsi="Inter" w:cs="Inter"/>
          <w:b/>
          <w:i w:val="0"/>
          <w:color w:val="5B5F77"/>
          <w:sz w:val="21"/>
        </w:rPr>
        <w:t>Presentar igualmente</w:t>
      </w:r>
      <w:r>
        <w:rPr>
          <w:rFonts w:ascii="Inter" w:hAnsi="Inter" w:cs="Inter"/>
          <w:b w:val="0"/>
          <w:i w:val="0"/>
          <w:color w:val="5B5F77"/>
          <w:sz w:val="21"/>
        </w:rPr>
        <w:t xml:space="preserve"> el C1 Advanced, el CELTA y la acreditación DELE: aunque no puntúen aquí, refuerzan el bloque A y el mérito B.6. 2. </w:t>
      </w:r>
      <w:r>
        <w:rPr>
          <w:rFonts w:ascii="Inter" w:hAnsi="Inter" w:cs="Inter"/>
          <w:b/>
          <w:i w:val="0"/>
          <w:color w:val="5B5F77"/>
          <w:sz w:val="21"/>
        </w:rPr>
        <w:t>Argumentar</w:t>
      </w:r>
      <w:r>
        <w:rPr>
          <w:rFonts w:ascii="Inter" w:hAnsi="Inter" w:cs="Inter"/>
          <w:b w:val="0"/>
          <w:i w:val="0"/>
          <w:color w:val="5B5F77"/>
          <w:sz w:val="21"/>
        </w:rPr>
        <w:t xml:space="preserve"> en la solicitud que la acreditación DELE del Instituto Cervantes y el CELTA de Cambridge son </w:t>
      </w:r>
      <w:r>
        <w:rPr>
          <w:rFonts w:ascii="Inter" w:hAnsi="Inter" w:cs="Inter"/>
          <w:b/>
          <w:i w:val="0"/>
          <w:color w:val="5B5F77"/>
          <w:sz w:val="21"/>
        </w:rPr>
        <w:t>habilitaciones profesionales externas al plan de estudios</w:t>
      </w:r>
      <w:r>
        <w:rPr>
          <w:rFonts w:ascii="Inter" w:hAnsi="Inter" w:cs="Inter"/>
          <w:b w:val="0"/>
          <w:i w:val="0"/>
          <w:color w:val="5B5F77"/>
          <w:sz w:val="21"/>
        </w:rPr>
        <w:t xml:space="preserve">, no competencias derivadas de las titulaciones. 3. </w:t>
      </w:r>
      <w:r>
        <w:rPr>
          <w:rFonts w:ascii="Inter" w:hAnsi="Inter" w:cs="Inter"/>
          <w:b/>
          <w:i w:val="0"/>
          <w:color w:val="5B5F77"/>
          <w:sz w:val="21"/>
        </w:rPr>
        <w:t>Vía de mejora real (recomendada para la próxima convocatoria):</w:t>
      </w:r>
      <w:r>
        <w:rPr>
          <w:rFonts w:ascii="Inter" w:hAnsi="Inter" w:cs="Inter"/>
          <w:b w:val="0"/>
          <w:i w:val="0"/>
          <w:color w:val="5B5F77"/>
          <w:sz w:val="21"/>
        </w:rPr>
        <w:t xml:space="preserve"> obtener una acreditación oficial de un </w:t>
      </w:r>
      <w:r>
        <w:rPr>
          <w:rFonts w:ascii="Inter" w:hAnsi="Inter" w:cs="Inter"/>
          <w:b/>
          <w:i w:val="0"/>
          <w:color w:val="5B5F77"/>
          <w:sz w:val="21"/>
        </w:rPr>
        <w:t>tercer idioma</w:t>
      </w:r>
      <w:r>
        <w:rPr>
          <w:rFonts w:ascii="Inter" w:hAnsi="Inter" w:cs="Inter"/>
          <w:b w:val="0"/>
          <w:i w:val="0"/>
          <w:color w:val="5B5F77"/>
          <w:sz w:val="21"/>
        </w:rPr>
        <w:t xml:space="preserve"> — la más rentable en el contexto valenciano es el </w:t>
      </w:r>
      <w:r>
        <w:rPr>
          <w:rFonts w:ascii="Inter" w:hAnsi="Inter" w:cs="Inter"/>
          <w:b/>
          <w:i w:val="0"/>
          <w:color w:val="5B5F77"/>
          <w:sz w:val="21"/>
        </w:rPr>
        <w:t>valenciano</w:t>
      </w:r>
      <w:r>
        <w:rPr>
          <w:rFonts w:ascii="Inter" w:hAnsi="Inter" w:cs="Inter"/>
          <w:b w:val="0"/>
          <w:i w:val="0"/>
          <w:color w:val="5B5F77"/>
          <w:sz w:val="21"/>
        </w:rPr>
        <w:t xml:space="preserve"> (JQCV / CIEACOVA, niveles A2–B2, convocatorias periódicas y coste bajo), seguida del </w:t>
      </w:r>
      <w:r>
        <w:rPr>
          <w:rFonts w:ascii="Inter" w:hAnsi="Inter" w:cs="Inter"/>
          <w:b/>
          <w:i w:val="0"/>
          <w:color w:val="5B5F77"/>
          <w:sz w:val="21"/>
        </w:rPr>
        <w:t>francés</w:t>
      </w:r>
      <w:r>
        <w:rPr>
          <w:rFonts w:ascii="Inter" w:hAnsi="Inter" w:cs="Inter"/>
          <w:b w:val="0"/>
          <w:i w:val="0"/>
          <w:color w:val="5B5F77"/>
          <w:sz w:val="21"/>
        </w:rPr>
        <w:t xml:space="preserve"> o el </w:t>
      </w:r>
      <w:r>
        <w:rPr>
          <w:rFonts w:ascii="Inter" w:hAnsi="Inter" w:cs="Inter"/>
          <w:b/>
          <w:i w:val="0"/>
          <w:color w:val="5B5F77"/>
          <w:sz w:val="21"/>
        </w:rPr>
        <w:t>italiano</w:t>
      </w:r>
      <w:r>
        <w:rPr>
          <w:rFonts w:ascii="Inter" w:hAnsi="Inter" w:cs="Inter"/>
          <w:b w:val="0"/>
          <w:i w:val="0"/>
          <w:color w:val="5B5F77"/>
          <w:sz w:val="21"/>
        </w:rPr>
        <w:t xml:space="preserve"> por EOI. Un A2–B1 acreditado bastaría para activar este 5 %.</w:t>
      </w:r>
    </w:p>
    <w:p>
      <w:r>
        <w:rPr>
          <w:rFonts w:ascii="Inter" w:hAnsi="Inter" w:cs="Inter"/>
          <w:b/>
          <w:i w:val="0"/>
          <w:color w:val="1C1E2E"/>
          <w:sz w:val="22"/>
        </w:rPr>
        <w:t>Acción:</w:t>
      </w:r>
      <w:r>
        <w:rPr>
          <w:rFonts w:ascii="Inter" w:hAnsi="Inter" w:cs="Inter"/>
          <w:b w:val="0"/>
          <w:i w:val="0"/>
          <w:color w:val="1C1E2E"/>
          <w:sz w:val="22"/>
        </w:rPr>
        <w:t xml:space="preserve"> confirmar con la comisión, antes del cierre del plazo, si el inglés computa en este apartado. Si la respuesta es negativa, este mérito queda como B.3.</w:t>
      </w:r>
    </w:p>
    <w:p>
      <w:pPr>
        <w:pBdr>
          <w:bottom w:val="single" w:sz="6" w:space="1" w:color="E6E8F2"/>
        </w:pBdr>
      </w:pPr>
    </w:p>
    <w:p>
      <w:pPr>
        <w:spacing w:before="320" w:after="120"/>
      </w:pPr>
      <w:r>
        <w:rPr>
          <w:rFonts w:ascii="Fraunces" w:hAnsi="Fraunces" w:cs="Fraunces"/>
          <w:b/>
          <w:i w:val="0"/>
          <w:color w:val="22307C"/>
          <w:sz w:val="32"/>
        </w:rPr>
        <w:t xml:space="preserve">B.5 · Consecución de becas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Dos becas obtenidas, una en cada titulación — una de ellas de excelencia y la otra de convocatoria ministerial:</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EEF2FD"/>
          </w:tcPr>
          <w:p>
            <w:pPr>
              <w:spacing w:after="40"/>
            </w:pPr>
            <w:r/>
            <w:r>
              <w:rPr>
                <w:rFonts w:ascii="Inter" w:hAnsi="Inter" w:cs="Inter"/>
                <w:b/>
                <w:i w:val="0"/>
                <w:color w:val="22307C"/>
                <w:sz w:val="19"/>
              </w:rPr>
              <w:t>#</w:t>
            </w:r>
          </w:p>
        </w:tc>
        <w:tc>
          <w:tcPr>
            <w:tcW w:type="dxa" w:w="1608"/>
            <w:shd w:val="clear" w:color="auto" w:fill="EEF2FD"/>
          </w:tcPr>
          <w:p>
            <w:pPr>
              <w:spacing w:after="40"/>
            </w:pPr>
            <w:r/>
            <w:r>
              <w:rPr>
                <w:rFonts w:ascii="Inter" w:hAnsi="Inter" w:cs="Inter"/>
                <w:b/>
                <w:i w:val="0"/>
                <w:color w:val="22307C"/>
                <w:sz w:val="19"/>
              </w:rPr>
              <w:t>Beca</w:t>
            </w:r>
          </w:p>
        </w:tc>
        <w:tc>
          <w:tcPr>
            <w:tcW w:type="dxa" w:w="1608"/>
            <w:shd w:val="clear" w:color="auto" w:fill="EEF2FD"/>
          </w:tcPr>
          <w:p>
            <w:pPr>
              <w:spacing w:after="40"/>
            </w:pPr>
            <w:r/>
            <w:r>
              <w:rPr>
                <w:rFonts w:ascii="Inter" w:hAnsi="Inter" w:cs="Inter"/>
                <w:b/>
                <w:i w:val="0"/>
                <w:color w:val="22307C"/>
                <w:sz w:val="19"/>
              </w:rPr>
              <w:t>Entidad convocante</w:t>
            </w:r>
          </w:p>
        </w:tc>
        <w:tc>
          <w:tcPr>
            <w:tcW w:type="dxa" w:w="1608"/>
            <w:shd w:val="clear" w:color="auto" w:fill="EEF2FD"/>
          </w:tcPr>
          <w:p>
            <w:pPr>
              <w:spacing w:after="40"/>
            </w:pPr>
            <w:r/>
            <w:r>
              <w:rPr>
                <w:rFonts w:ascii="Inter" w:hAnsi="Inter" w:cs="Inter"/>
                <w:b/>
                <w:i w:val="0"/>
                <w:color w:val="22307C"/>
                <w:sz w:val="19"/>
              </w:rPr>
              <w:t>Titulación / periodo</w:t>
            </w:r>
          </w:p>
        </w:tc>
        <w:tc>
          <w:tcPr>
            <w:tcW w:type="dxa" w:w="1608"/>
            <w:shd w:val="clear" w:color="auto" w:fill="EEF2FD"/>
          </w:tcPr>
          <w:p>
            <w:pPr>
              <w:spacing w:after="40"/>
            </w:pPr>
            <w:r/>
            <w:r>
              <w:rPr>
                <w:rFonts w:ascii="Inter" w:hAnsi="Inter" w:cs="Inter"/>
                <w:b/>
                <w:i w:val="0"/>
                <w:color w:val="22307C"/>
                <w:sz w:val="19"/>
              </w:rPr>
              <w:t>Tipo</w:t>
            </w:r>
          </w:p>
        </w:tc>
        <w:tc>
          <w:tcPr>
            <w:tcW w:type="dxa" w:w="1608"/>
            <w:shd w:val="clear" w:color="auto" w:fill="EEF2FD"/>
          </w:tcPr>
          <w:p>
            <w:pPr>
              <w:spacing w:after="40"/>
            </w:pPr>
            <w:r/>
            <w:r>
              <w:rPr>
                <w:rFonts w:ascii="Inter" w:hAnsi="Inter" w:cs="Inter"/>
                <w:b/>
                <w:i w:val="0"/>
                <w:color w:val="22307C"/>
                <w:sz w:val="19"/>
              </w:rPr>
              <w:t>Documento</w:t>
            </w:r>
          </w:p>
        </w:tc>
      </w:tr>
      <w:tr>
        <w:tc>
          <w:tcPr>
            <w:tcW w:type="dxa" w:w="1608"/>
          </w:tcPr>
          <w:p>
            <w:pPr>
              <w:spacing w:after="40"/>
            </w:pPr>
            <w:r/>
            <w:r>
              <w:rPr>
                <w:rFonts w:ascii="Inter" w:hAnsi="Inter" w:cs="Inter"/>
                <w:b w:val="0"/>
                <w:i w:val="0"/>
                <w:color w:val="1C1E2E"/>
                <w:sz w:val="19"/>
              </w:rPr>
              <w:t>1</w:t>
            </w:r>
          </w:p>
        </w:tc>
        <w:tc>
          <w:tcPr>
            <w:tcW w:type="dxa" w:w="1608"/>
          </w:tcPr>
          <w:p>
            <w:pPr>
              <w:spacing w:after="40"/>
            </w:pPr>
            <w:r/>
            <w:r>
              <w:rPr>
                <w:rFonts w:ascii="Inter" w:hAnsi="Inter" w:cs="Inter"/>
                <w:b/>
                <w:i w:val="0"/>
                <w:color w:val="1C1E2E"/>
                <w:sz w:val="19"/>
              </w:rPr>
              <w:t>Beca de Excelencia Académica</w:t>
            </w:r>
          </w:p>
        </w:tc>
        <w:tc>
          <w:tcPr>
            <w:tcW w:type="dxa" w:w="1608"/>
          </w:tcPr>
          <w:p>
            <w:pPr>
              <w:spacing w:after="40"/>
            </w:pPr>
            <w:r/>
            <w:r>
              <w:rPr>
                <w:rFonts w:ascii="Inter" w:hAnsi="Inter" w:cs="Inter"/>
                <w:b w:val="0"/>
                <w:i w:val="0"/>
                <w:color w:val="1C1E2E"/>
                <w:sz w:val="19"/>
              </w:rPr>
              <w:t>Universidad de Los Andes (ULA), Táchira, Venezuela</w:t>
            </w:r>
          </w:p>
        </w:tc>
        <w:tc>
          <w:tcPr>
            <w:tcW w:type="dxa" w:w="1608"/>
          </w:tcPr>
          <w:p>
            <w:pPr>
              <w:spacing w:after="40"/>
            </w:pPr>
            <w:r/>
            <w:r>
              <w:rPr>
                <w:rFonts w:ascii="Inter" w:hAnsi="Inter" w:cs="Inter"/>
                <w:b w:val="0"/>
                <w:i w:val="0"/>
                <w:color w:val="1C1E2E"/>
                <w:sz w:val="19"/>
              </w:rPr>
              <w:t xml:space="preserve">Licenciatura en Educación, mención Inglés · </w:t>
            </w:r>
            <w:r>
              <w:rPr>
                <w:rFonts w:ascii="Inter" w:hAnsi="Inter" w:cs="Inter"/>
                <w:b w:val="0"/>
                <w:i/>
                <w:color w:val="1C1E2E"/>
                <w:sz w:val="19"/>
              </w:rPr>
              <w:t>[curso a completar]</w:t>
            </w:r>
          </w:p>
        </w:tc>
        <w:tc>
          <w:tcPr>
            <w:tcW w:type="dxa" w:w="1608"/>
          </w:tcPr>
          <w:p>
            <w:pPr>
              <w:spacing w:after="40"/>
            </w:pPr>
            <w:r/>
            <w:r>
              <w:rPr>
                <w:rFonts w:ascii="Inter" w:hAnsi="Inter" w:cs="Inter"/>
                <w:b/>
                <w:i w:val="0"/>
                <w:color w:val="1C1E2E"/>
                <w:sz w:val="19"/>
              </w:rPr>
              <w:t>Excelencia académica</w:t>
            </w:r>
            <w:r>
              <w:rPr>
                <w:rFonts w:ascii="Inter" w:hAnsi="Inter" w:cs="Inter"/>
                <w:b w:val="0"/>
                <w:i w:val="0"/>
                <w:color w:val="1C1E2E"/>
                <w:sz w:val="19"/>
              </w:rPr>
              <w:t xml:space="preserve"> (concedida por rendimiento, no por renta)</w:t>
            </w:r>
          </w:p>
        </w:tc>
        <w:tc>
          <w:tcPr>
            <w:tcW w:type="dxa" w:w="1608"/>
          </w:tcPr>
          <w:p>
            <w:pPr>
              <w:spacing w:after="40"/>
            </w:pPr>
            <w:r/>
            <w:r>
              <w:rPr>
                <w:rFonts w:ascii="Inter" w:hAnsi="Inter" w:cs="Inter"/>
                <w:b/>
                <w:i w:val="0"/>
                <w:color w:val="1C1E2E"/>
                <w:sz w:val="19"/>
              </w:rPr>
              <w:t>[DOC-12]</w:t>
            </w:r>
          </w:p>
        </w:tc>
      </w:tr>
      <w:tr>
        <w:tc>
          <w:tcPr>
            <w:tcW w:type="dxa" w:w="1608"/>
          </w:tcPr>
          <w:p>
            <w:pPr>
              <w:spacing w:after="40"/>
            </w:pPr>
            <w:r/>
            <w:r>
              <w:rPr>
                <w:rFonts w:ascii="Inter" w:hAnsi="Inter" w:cs="Inter"/>
                <w:b w:val="0"/>
                <w:i w:val="0"/>
                <w:color w:val="1C1E2E"/>
                <w:sz w:val="19"/>
              </w:rPr>
              <w:t>2</w:t>
            </w:r>
          </w:p>
        </w:tc>
        <w:tc>
          <w:tcPr>
            <w:tcW w:type="dxa" w:w="1608"/>
          </w:tcPr>
          <w:p>
            <w:pPr>
              <w:spacing w:after="40"/>
            </w:pPr>
            <w:r/>
            <w:r>
              <w:rPr>
                <w:rFonts w:ascii="Inter" w:hAnsi="Inter" w:cs="Inter"/>
                <w:b/>
                <w:i w:val="0"/>
                <w:color w:val="1C1E2E"/>
                <w:sz w:val="19"/>
              </w:rPr>
              <w:t>Beca del Ministerio</w:t>
            </w:r>
            <w:r>
              <w:rPr>
                <w:rFonts w:ascii="Inter" w:hAnsi="Inter" w:cs="Inter"/>
                <w:b w:val="0"/>
                <w:i w:val="0"/>
                <w:color w:val="1C1E2E"/>
                <w:sz w:val="19"/>
              </w:rPr>
              <w:t xml:space="preserve"> (beca general de estudios universitarios)</w:t>
            </w:r>
          </w:p>
        </w:tc>
        <w:tc>
          <w:tcPr>
            <w:tcW w:type="dxa" w:w="1608"/>
          </w:tcPr>
          <w:p>
            <w:pPr>
              <w:spacing w:after="40"/>
            </w:pPr>
            <w:r/>
            <w:r>
              <w:rPr>
                <w:rFonts w:ascii="Inter" w:hAnsi="Inter" w:cs="Inter"/>
                <w:b w:val="0"/>
                <w:i w:val="0"/>
                <w:color w:val="1C1E2E"/>
                <w:sz w:val="19"/>
              </w:rPr>
              <w:t xml:space="preserve">Ministerio de Educación </w:t>
            </w:r>
            <w:r>
              <w:rPr>
                <w:rFonts w:ascii="Inter" w:hAnsi="Inter" w:cs="Inter"/>
                <w:b w:val="0"/>
                <w:i/>
                <w:color w:val="1C1E2E"/>
                <w:sz w:val="19"/>
              </w:rPr>
              <w:t>[confirmar denominación exacta de la convocatoria]</w:t>
            </w:r>
          </w:p>
        </w:tc>
        <w:tc>
          <w:tcPr>
            <w:tcW w:type="dxa" w:w="1608"/>
          </w:tcPr>
          <w:p>
            <w:pPr>
              <w:spacing w:after="40"/>
            </w:pPr>
            <w:r/>
            <w:r>
              <w:rPr>
                <w:rFonts w:ascii="Inter" w:hAnsi="Inter" w:cs="Inter"/>
                <w:b w:val="0"/>
                <w:i w:val="0"/>
                <w:color w:val="1C1E2E"/>
                <w:sz w:val="19"/>
              </w:rPr>
              <w:t xml:space="preserve">Máster Universitario en Lenguas y Tecnología, UPV · </w:t>
            </w:r>
            <w:r>
              <w:rPr>
                <w:rFonts w:ascii="Inter" w:hAnsi="Inter" w:cs="Inter"/>
                <w:b w:val="0"/>
                <w:i/>
                <w:color w:val="1C1E2E"/>
                <w:sz w:val="19"/>
              </w:rPr>
              <w:t>[curso a completar]</w:t>
            </w:r>
          </w:p>
        </w:tc>
        <w:tc>
          <w:tcPr>
            <w:tcW w:type="dxa" w:w="1608"/>
          </w:tcPr>
          <w:p>
            <w:pPr>
              <w:spacing w:after="40"/>
            </w:pPr>
            <w:r/>
            <w:r>
              <w:rPr>
                <w:rFonts w:ascii="Inter" w:hAnsi="Inter" w:cs="Inter"/>
                <w:b w:val="0"/>
                <w:i w:val="0"/>
                <w:color w:val="1C1E2E"/>
                <w:sz w:val="19"/>
              </w:rPr>
              <w:t>Beca general de estudios de máster</w:t>
            </w:r>
          </w:p>
        </w:tc>
        <w:tc>
          <w:tcPr>
            <w:tcW w:type="dxa" w:w="1608"/>
          </w:tcPr>
          <w:p>
            <w:pPr>
              <w:spacing w:after="40"/>
            </w:pPr>
            <w:r/>
            <w:r>
              <w:rPr>
                <w:rFonts w:ascii="Inter" w:hAnsi="Inter" w:cs="Inter"/>
                <w:b/>
                <w:i w:val="0"/>
                <w:color w:val="1C1E2E"/>
                <w:sz w:val="19"/>
              </w:rPr>
              <w:t>[DOC-13]</w:t>
            </w:r>
          </w:p>
        </w:tc>
      </w:tr>
    </w:tbl>
    <w:p/>
    <w:p>
      <w:r>
        <w:rPr>
          <w:rFonts w:ascii="Inter" w:hAnsi="Inter" w:cs="Inter"/>
          <w:b/>
          <w:i w:val="0"/>
          <w:color w:val="1C1E2E"/>
          <w:sz w:val="22"/>
        </w:rPr>
        <w:t>Por qué este mérito refuerza el bloque A.</w:t>
      </w:r>
      <w:r>
        <w:rPr>
          <w:rFonts w:ascii="Inter" w:hAnsi="Inter" w:cs="Inter"/>
          <w:b w:val="0"/>
          <w:i w:val="0"/>
          <w:color w:val="1C1E2E"/>
          <w:sz w:val="22"/>
        </w:rPr>
        <w:t xml:space="preserve"> La </w:t>
      </w:r>
      <w:r>
        <w:rPr>
          <w:rFonts w:ascii="Inter" w:hAnsi="Inter" w:cs="Inter"/>
          <w:b/>
          <w:i w:val="0"/>
          <w:color w:val="1C1E2E"/>
          <w:sz w:val="22"/>
        </w:rPr>
        <w:t>beca de excelencia académica</w:t>
      </w:r>
      <w:r>
        <w:rPr>
          <w:rFonts w:ascii="Inter" w:hAnsi="Inter" w:cs="Inter"/>
          <w:b w:val="0"/>
          <w:i w:val="0"/>
          <w:color w:val="1C1E2E"/>
          <w:sz w:val="22"/>
        </w:rPr>
        <w:t xml:space="preserve"> no es una ayuda asistencial: se concede por rendimiento, de modo que </w:t>
      </w:r>
      <w:r>
        <w:rPr>
          <w:rFonts w:ascii="Inter" w:hAnsi="Inter" w:cs="Inter"/>
          <w:b/>
          <w:i w:val="0"/>
          <w:color w:val="1C1E2E"/>
          <w:sz w:val="22"/>
        </w:rPr>
        <w:t>acredita por vía independiente el mismo hecho que el expediente de grado</w:t>
      </w:r>
      <w:r>
        <w:rPr>
          <w:rFonts w:ascii="Inter" w:hAnsi="Inter" w:cs="Inter"/>
          <w:b w:val="0"/>
          <w:i w:val="0"/>
          <w:color w:val="1C1E2E"/>
          <w:sz w:val="22"/>
        </w:rPr>
        <w:t xml:space="preserve"> (Summa Cum Laude, primer rango de promoción). Conviene señalarlo expresamente en la solicitud, porque convierte el 5 % de becas en una evidencia adicional del 70 % del expediente.</w:t>
      </w:r>
    </w:p>
    <w:p>
      <w:pPr>
        <w:pBdr>
          <w:left w:val="single" w:sz="18" w:space="8" w:color="9A5B00"/>
        </w:pBdr>
        <w:spacing w:before="120" w:after="200"/>
        <w:ind w:left="317"/>
      </w:pPr>
      <w:r>
        <w:rPr>
          <w:rFonts w:ascii="Inter" w:hAnsi="Inter" w:cs="Inter"/>
          <w:b/>
          <w:i w:val="0"/>
          <w:color w:val="5B5F77"/>
          <w:sz w:val="21"/>
        </w:rPr>
        <w:t>Acción antes de enviar:</w:t>
      </w:r>
      <w:r>
        <w:rPr>
          <w:rFonts w:ascii="Inter" w:hAnsi="Inter" w:cs="Inter"/>
          <w:b w:val="0"/>
          <w:i w:val="0"/>
          <w:color w:val="5B5F77"/>
          <w:sz w:val="21"/>
        </w:rPr>
        <w:t xml:space="preserve"> - Localizar la </w:t>
      </w:r>
      <w:r>
        <w:rPr>
          <w:rFonts w:ascii="Inter" w:hAnsi="Inter" w:cs="Inter"/>
          <w:b/>
          <w:i w:val="0"/>
          <w:color w:val="5B5F77"/>
          <w:sz w:val="21"/>
        </w:rPr>
        <w:t>credencial o resolución de concesión</w:t>
      </w:r>
      <w:r>
        <w:rPr>
          <w:rFonts w:ascii="Inter" w:hAnsi="Inter" w:cs="Inter"/>
          <w:b w:val="0"/>
          <w:i w:val="0"/>
          <w:color w:val="5B5F77"/>
          <w:sz w:val="21"/>
        </w:rPr>
        <w:t xml:space="preserve"> de cada beca (el justificante de pago no acredita el mérito). - Completar el </w:t>
      </w:r>
      <w:r>
        <w:rPr>
          <w:rFonts w:ascii="Inter" w:hAnsi="Inter" w:cs="Inter"/>
          <w:b/>
          <w:i w:val="0"/>
          <w:color w:val="5B5F77"/>
          <w:sz w:val="21"/>
        </w:rPr>
        <w:t>curso académico</w:t>
      </w:r>
      <w:r>
        <w:rPr>
          <w:rFonts w:ascii="Inter" w:hAnsi="Inter" w:cs="Inter"/>
          <w:b w:val="0"/>
          <w:i w:val="0"/>
          <w:color w:val="5B5F77"/>
          <w:sz w:val="21"/>
        </w:rPr>
        <w:t xml:space="preserve"> de cada una y la </w:t>
      </w:r>
      <w:r>
        <w:rPr>
          <w:rFonts w:ascii="Inter" w:hAnsi="Inter" w:cs="Inter"/>
          <w:b/>
          <w:i w:val="0"/>
          <w:color w:val="5B5F77"/>
          <w:sz w:val="21"/>
        </w:rPr>
        <w:t>denominación oficial exacta</w:t>
      </w:r>
      <w:r>
        <w:rPr>
          <w:rFonts w:ascii="Inter" w:hAnsi="Inter" w:cs="Inter"/>
          <w:b w:val="0"/>
          <w:i w:val="0"/>
          <w:color w:val="5B5F77"/>
          <w:sz w:val="21"/>
        </w:rPr>
        <w:t xml:space="preserve"> de la convocatoria ministerial. - Si la resolución de la ULA está en español venezolano con terminología local, adjuntar una </w:t>
      </w:r>
      <w:r>
        <w:rPr>
          <w:rFonts w:ascii="Inter" w:hAnsi="Inter" w:cs="Inter"/>
          <w:b/>
          <w:i w:val="0"/>
          <w:color w:val="5B5F77"/>
          <w:sz w:val="21"/>
        </w:rPr>
        <w:t>nota explicativa breve</w:t>
      </w:r>
      <w:r>
        <w:rPr>
          <w:rFonts w:ascii="Inter" w:hAnsi="Inter" w:cs="Inter"/>
          <w:b w:val="0"/>
          <w:i w:val="0"/>
          <w:color w:val="5B5F77"/>
          <w:sz w:val="21"/>
        </w:rPr>
        <w:t xml:space="preserve"> del carácter competitivo de la convocatoria.</w:t>
      </w:r>
    </w:p>
    <w:p>
      <w:pPr>
        <w:pBdr>
          <w:bottom w:val="single" w:sz="6" w:space="1" w:color="E6E8F2"/>
        </w:pBdr>
      </w:pPr>
    </w:p>
    <w:p>
      <w:pPr>
        <w:spacing w:before="320" w:after="120"/>
      </w:pPr>
      <w:r>
        <w:rPr>
          <w:rFonts w:ascii="Fraunces" w:hAnsi="Fraunces" w:cs="Fraunces"/>
          <w:b/>
          <w:i w:val="0"/>
          <w:color w:val="22307C"/>
          <w:sz w:val="32"/>
        </w:rPr>
        <w:t xml:space="preserve">B.6 · Experiencia profesional en el ámbito del doctorado — </w:t>
      </w:r>
      <w:r>
        <w:rPr>
          <w:rFonts w:ascii="Fraunces" w:hAnsi="Fraunces" w:cs="Fraunces"/>
          <w:b/>
          <w:i w:val="0"/>
          <w:color w:val="22307C"/>
          <w:sz w:val="32"/>
        </w:rPr>
        <w:t>5 %</w:t>
      </w:r>
      <w:r>
        <w:rPr>
          <w:rFonts w:ascii="Fraunces" w:hAnsi="Fraunces" w:cs="Fraunces"/>
          <w:b/>
          <w:i w:val="0"/>
          <w:color w:val="22307C"/>
          <w:sz w:val="32"/>
        </w:rPr>
        <w:t xml:space="preserve"> ✅ ACREDITADO — MÉRITO MÁS FUERTE</w:t>
      </w:r>
    </w:p>
    <w:p>
      <w:r>
        <w:rPr>
          <w:rFonts w:ascii="Inter" w:hAnsi="Inter" w:cs="Inter"/>
          <w:b/>
          <w:i w:val="0"/>
          <w:color w:val="1C1E2E"/>
          <w:sz w:val="22"/>
        </w:rPr>
        <w:t>Más de 20 años de experiencia continuada en el ámbito exacto de la tesis, con 1.568 horas de docencia universitaria acreditadas:</w:t>
      </w:r>
      <w:r>
        <w:rPr>
          <w:rFonts w:ascii="Inter" w:hAnsi="Inter" w:cs="Inter"/>
          <w:b w:val="0"/>
          <w:i w:val="0"/>
          <w:color w:val="1C1E2E"/>
          <w:sz w:val="22"/>
        </w:rPr>
        <w:t xml:space="preserve"> enseñanza de lenguas alineada al MCER, diseño curricular e instruccional, y tecnologías educativas para el aprendizaje de idiomas.</w:t>
      </w:r>
    </w:p>
    <w:p>
      <w:pPr>
        <w:spacing w:before="240" w:after="120"/>
      </w:pPr>
      <w:r>
        <w:rPr>
          <w:rFonts w:ascii="Inter" w:hAnsi="Inter" w:cs="Inter"/>
          <w:b/>
          <w:i w:val="0"/>
          <w:color w:val="1C1E2E"/>
          <w:sz w:val="26"/>
        </w:rPr>
        <w:t>B.6.1 · Docencia e investigación universitaria</w:t>
      </w:r>
    </w:p>
    <w:p>
      <w:r>
        <w:rPr>
          <w:rFonts w:ascii="Inter" w:hAnsi="Inter" w:cs="Inter"/>
          <w:b/>
          <w:i w:val="0"/>
          <w:color w:val="1C1E2E"/>
          <w:sz w:val="22"/>
        </w:rPr>
        <w:t>Profesora de Inglés Científico y redactora de contenido científico</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horas acreditadas de docencia universitaria</w:t>
      </w:r>
      <w:r>
        <w:rPr>
          <w:rFonts w:ascii="Inter" w:hAnsi="Inter" w:cs="Inter"/>
          <w:b w:val="0"/>
          <w:i w:val="0"/>
          <w:color w:val="1C1E2E"/>
          <w:sz w:val="22"/>
        </w:rPr>
        <w:t xml:space="preserve"> (certificación de servicio docente,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Docencia de inglés científico en titulaciones de ciencias.</w:t>
      </w:r>
    </w:p>
    <w:p>
      <w:pPr>
        <w:pStyle w:val="ListBullet"/>
        <w:spacing w:after="60"/>
        <w:ind w:left="403"/>
      </w:pPr>
      <w:r>
        <w:rPr>
          <w:rFonts w:ascii="Inter" w:hAnsi="Inter" w:cs="Inter"/>
          <w:b w:val="0"/>
          <w:i w:val="0"/>
          <w:color w:val="1C1E2E"/>
          <w:sz w:val="22"/>
        </w:rPr>
        <w:t>Redacción y revisión de contenido científico en inglés (odontología, biología marina) para revistas revisadas por pares de alto impacto.</w:t>
      </w:r>
    </w:p>
    <w:p>
      <w:pPr>
        <w:pStyle w:val="ListBullet"/>
        <w:spacing w:after="60"/>
        <w:ind w:left="403"/>
      </w:pPr>
      <w:r>
        <w:rPr>
          <w:rFonts w:ascii="Inter" w:hAnsi="Inter" w:cs="Inter"/>
          <w:b/>
          <w:i w:val="0"/>
          <w:color w:val="1C1E2E"/>
          <w:sz w:val="22"/>
        </w:rPr>
        <w:t>Reconocimiento en los agradecimientos</w:t>
      </w:r>
      <w:r>
        <w:rPr>
          <w:rFonts w:ascii="Inter" w:hAnsi="Inter" w:cs="Inter"/>
          <w:b w:val="0"/>
          <w:i w:val="0"/>
          <w:color w:val="1C1E2E"/>
          <w:sz w:val="22"/>
        </w:rPr>
        <w:t xml:space="preserve"> de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por el contenido científico y la revisión en inglés del manuscrito. </w:t>
      </w:r>
      <w:r>
        <w:rPr>
          <w:rFonts w:ascii="Inter" w:hAnsi="Inter" w:cs="Inter"/>
          <w:b/>
          <w:i w:val="0"/>
          <w:color w:val="1C1E2E"/>
          <w:sz w:val="22"/>
        </w:rPr>
        <w:t>[DOC-14]</w:t>
      </w:r>
    </w:p>
    <w:p>
      <w:pPr>
        <w:spacing w:before="240" w:after="120"/>
      </w:pPr>
      <w:r>
        <w:rPr>
          <w:rFonts w:ascii="Inter" w:hAnsi="Inter" w:cs="Inter"/>
          <w:b/>
          <w:i w:val="0"/>
          <w:color w:val="1C1E2E"/>
          <w:sz w:val="26"/>
        </w:rPr>
        <w:t>B.6.2 · Diseño instruccional y arquitectura de eLearning</w:t>
      </w:r>
    </w:p>
    <w:p>
      <w:r>
        <w:rPr>
          <w:rFonts w:ascii="Inter" w:hAnsi="Inter" w:cs="Inter"/>
          <w:b/>
          <w:i w:val="0"/>
          <w:color w:val="1C1E2E"/>
          <w:sz w:val="22"/>
        </w:rPr>
        <w:t>Diseñadora Instruccional y Arquitecta de eLearning</w:t>
      </w:r>
      <w:r>
        <w:rPr>
          <w:rFonts w:ascii="Inter" w:hAnsi="Inter" w:cs="Inter"/>
          <w:b w:val="0"/>
          <w:i w:val="0"/>
          <w:color w:val="1C1E2E"/>
          <w:sz w:val="22"/>
        </w:rPr>
        <w:t xml:space="preserve"> — profesional autónoma (España) · </w:t>
      </w:r>
      <w:r>
        <w:rPr>
          <w:rFonts w:ascii="Inter" w:hAnsi="Inter" w:cs="Inter"/>
          <w:b/>
          <w:i w:val="0"/>
          <w:color w:val="1C1E2E"/>
          <w:sz w:val="22"/>
        </w:rPr>
        <w:t>octubre 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curso gamificado de 6 niveles de inglés académico B2→C1, </w:t>
      </w:r>
      <w:r>
        <w:rPr>
          <w:rFonts w:ascii="Inter" w:hAnsi="Inter" w:cs="Inter"/>
          <w:b/>
          <w:i w:val="0"/>
          <w:color w:val="1C1E2E"/>
          <w:sz w:val="22"/>
        </w:rPr>
        <w:t>calificado 10/10 por diseño inclusivo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Guionización íntegra de módulos y documento de diseño de alto nivel (HDD).</w:t>
      </w:r>
    </w:p>
    <w:p>
      <w:pPr>
        <w:pStyle w:val="ListBullet"/>
        <w:spacing w:after="60"/>
        <w:ind w:left="403"/>
      </w:pPr>
      <w:r>
        <w:rPr>
          <w:rFonts w:ascii="Inter" w:hAnsi="Inter" w:cs="Inter"/>
          <w:b/>
          <w:i w:val="0"/>
          <w:color w:val="1C1E2E"/>
          <w:sz w:val="22"/>
        </w:rPr>
        <w:t>Modelo documentado de gobernanza humano–IA</w:t>
      </w:r>
      <w:r>
        <w:rPr>
          <w:rFonts w:ascii="Inter" w:hAnsi="Inter" w:cs="Inter"/>
          <w:b w:val="0"/>
          <w:i w:val="0"/>
          <w:color w:val="1C1E2E"/>
          <w:sz w:val="22"/>
        </w:rPr>
        <w:t xml:space="preserve"> para la generación de contenido y de código — antecedente directo del componente de </w:t>
      </w:r>
      <w:r>
        <w:rPr>
          <w:rFonts w:ascii="Inter" w:hAnsi="Inter" w:cs="Inter"/>
          <w:b w:val="0"/>
          <w:i/>
          <w:color w:val="1C1E2E"/>
          <w:sz w:val="22"/>
        </w:rPr>
        <w:t>literacidad en IA</w:t>
      </w:r>
      <w:r>
        <w:rPr>
          <w:rFonts w:ascii="Inter" w:hAnsi="Inter" w:cs="Inter"/>
          <w:b w:val="0"/>
          <w:i w:val="0"/>
          <w:color w:val="1C1E2E"/>
          <w:sz w:val="22"/>
        </w:rPr>
        <w:t xml:space="preserve"> de la tesis.</w:t>
      </w:r>
    </w:p>
    <w:p>
      <w:pPr>
        <w:pStyle w:val="ListBullet"/>
        <w:spacing w:after="60"/>
        <w:ind w:left="403"/>
      </w:pPr>
      <w:r>
        <w:rPr>
          <w:rFonts w:ascii="Inter" w:hAnsi="Inter" w:cs="Inter"/>
          <w:b w:val="0"/>
          <w:i w:val="0"/>
          <w:color w:val="1C1E2E"/>
          <w:sz w:val="22"/>
        </w:rPr>
        <w:t xml:space="preserve">Capa nativa de accesibilidad (dictado por voz, alto contraste, lectura en audio) conforme a </w:t>
      </w:r>
      <w:r>
        <w:rPr>
          <w:rFonts w:ascii="Inter" w:hAnsi="Inter" w:cs="Inter"/>
          <w:b/>
          <w:i w:val="0"/>
          <w:color w:val="1C1E2E"/>
          <w:sz w:val="22"/>
        </w:rPr>
        <w:t>WCAG</w:t>
      </w:r>
      <w:r>
        <w:rPr>
          <w:rFonts w:ascii="Inter" w:hAnsi="Inter" w:cs="Inter"/>
          <w:b w:val="0"/>
          <w:i w:val="0"/>
          <w:color w:val="1C1E2E"/>
          <w:sz w:val="22"/>
        </w:rPr>
        <w:t xml:space="preserve"> y al </w:t>
      </w:r>
      <w:r>
        <w:rPr>
          <w:rFonts w:ascii="Inter" w:hAnsi="Inter" w:cs="Inter"/>
          <w:b/>
          <w:i w:val="0"/>
          <w:color w:val="1C1E2E"/>
          <w:sz w:val="22"/>
        </w:rPr>
        <w:t>Acta Europea de Accesibilidad</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Migración de AWJ de Canva a </w:t>
      </w:r>
      <w:r>
        <w:rPr>
          <w:rFonts w:ascii="Inter" w:hAnsi="Inter" w:cs="Inter"/>
          <w:b/>
          <w:i w:val="0"/>
          <w:color w:val="1C1E2E"/>
          <w:sz w:val="22"/>
        </w:rPr>
        <w:t>Articulate 360 (Rise)</w:t>
      </w:r>
      <w:r>
        <w:rPr>
          <w:rFonts w:ascii="Inter" w:hAnsi="Inter" w:cs="Inter"/>
          <w:b w:val="0"/>
          <w:i w:val="0"/>
          <w:color w:val="1C1E2E"/>
          <w:sz w:val="22"/>
        </w:rPr>
        <w:t xml:space="preserve"> con empaquetado </w:t>
      </w:r>
      <w:r>
        <w:rPr>
          <w:rFonts w:ascii="Inter" w:hAnsi="Inter" w:cs="Inter"/>
          <w:b/>
          <w:i w:val="0"/>
          <w:color w:val="1C1E2E"/>
          <w:sz w:val="22"/>
        </w:rPr>
        <w:t>SCORM / xAPI</w:t>
      </w:r>
      <w:r>
        <w:rPr>
          <w:rFonts w:ascii="Inter" w:hAnsi="Inter" w:cs="Inter"/>
          <w:b w:val="0"/>
          <w:i w:val="0"/>
          <w:color w:val="1C1E2E"/>
          <w:sz w:val="22"/>
        </w:rPr>
        <w:t xml:space="preserve"> — competencia técnica directamente reutilizable en el módulo de medición de la tesis.</w:t>
      </w:r>
    </w:p>
    <w:p>
      <w:pPr>
        <w:spacing w:before="240" w:after="120"/>
      </w:pPr>
      <w:r>
        <w:rPr>
          <w:rFonts w:ascii="Inter" w:hAnsi="Inter" w:cs="Inter"/>
          <w:b/>
          <w:i w:val="0"/>
          <w:color w:val="1C1E2E"/>
          <w:sz w:val="26"/>
        </w:rPr>
        <w:t>B.6.3 · Proyecto propio y administración de LMS</w:t>
      </w:r>
    </w:p>
    <w:p>
      <w:r>
        <w:rPr>
          <w:rFonts w:ascii="Inter" w:hAnsi="Inter" w:cs="Inter"/>
          <w:b/>
          <w:i w:val="0"/>
          <w:color w:val="1C1E2E"/>
          <w:sz w:val="22"/>
        </w:rPr>
        <w:t>Fundadora y diseñadora de contenidos eLearning — Talkétika</w:t>
      </w:r>
      <w:r>
        <w:rPr>
          <w:rFonts w:ascii="Inter" w:hAnsi="Inter" w:cs="Inter"/>
          <w:b w:val="0"/>
          <w:i w:val="0"/>
          <w:color w:val="1C1E2E"/>
          <w:sz w:val="22"/>
        </w:rPr>
        <w:t xml:space="preserve"> · </w:t>
      </w:r>
      <w:r>
        <w:rPr>
          <w:rFonts w:ascii="Inter" w:hAnsi="Inter" w:cs="Inter"/>
          <w:b/>
          <w:i w:val="0"/>
          <w:color w:val="1C1E2E"/>
          <w:sz w:val="22"/>
        </w:rPr>
        <w:t>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Administradora de Chamilo (LMS) desde 2019</w:t>
      </w:r>
      <w:r>
        <w:rPr>
          <w:rFonts w:ascii="Inter" w:hAnsi="Inter" w:cs="Inter"/>
          <w:b w:val="0"/>
          <w:i w:val="0"/>
          <w:color w:val="1C1E2E"/>
          <w:sz w:val="22"/>
        </w:rPr>
        <w:t xml:space="preserve">; contenido gamificado en </w:t>
      </w:r>
      <w:r>
        <w:rPr>
          <w:rFonts w:ascii="Inter" w:hAnsi="Inter" w:cs="Inter"/>
          <w:b/>
          <w:i w:val="0"/>
          <w:color w:val="1C1E2E"/>
          <w:sz w:val="22"/>
        </w:rPr>
        <w:t>Moodle, Canvas LMS y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Producción de audiolibros en </w:t>
      </w:r>
      <w:r>
        <w:rPr>
          <w:rFonts w:ascii="Inter" w:hAnsi="Inter" w:cs="Inter"/>
          <w:b/>
          <w:i w:val="0"/>
          <w:color w:val="1C1E2E"/>
          <w:sz w:val="22"/>
        </w:rPr>
        <w:t>Adobe Podcast</w:t>
      </w:r>
      <w:r>
        <w:rPr>
          <w:rFonts w:ascii="Inter" w:hAnsi="Inter" w:cs="Inter"/>
          <w:b w:val="0"/>
          <w:i w:val="0"/>
          <w:color w:val="1C1E2E"/>
          <w:sz w:val="22"/>
        </w:rPr>
        <w:t xml:space="preserve"> (guion, edición y publicación).</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sitio de evaluación de productos EdTech (responsividad móvil y tecnología): https://profeanaeslava.my.canva.site/tkcoachreview</w:t>
      </w:r>
    </w:p>
    <w:p>
      <w:pPr>
        <w:spacing w:before="240" w:after="120"/>
      </w:pPr>
      <w:r>
        <w:rPr>
          <w:rFonts w:ascii="Inter" w:hAnsi="Inter" w:cs="Inter"/>
          <w:b/>
          <w:i w:val="0"/>
          <w:color w:val="1C1E2E"/>
          <w:sz w:val="26"/>
        </w:rPr>
        <w:t>B.6.4 · Docencia de lenguas alineada al MCER</w:t>
      </w:r>
    </w:p>
    <w:p>
      <w:r>
        <w:rPr>
          <w:rFonts w:ascii="Inter" w:hAnsi="Inter" w:cs="Inter"/>
          <w:b/>
          <w:i w:val="0"/>
          <w:color w:val="1C1E2E"/>
          <w:sz w:val="22"/>
        </w:rPr>
        <w:t>Profesora de idiomas — ESL, Cambridge y DELE</w:t>
      </w:r>
      <w:r>
        <w:rPr>
          <w:rFonts w:ascii="Inter" w:hAnsi="Inter" w:cs="Inter"/>
          <w:b w:val="0"/>
          <w:i w:val="0"/>
          <w:color w:val="1C1E2E"/>
          <w:sz w:val="22"/>
        </w:rPr>
        <w:t xml:space="preserve"> — diversas instituciones · </w:t>
      </w:r>
      <w:r>
        <w:rPr>
          <w:rFonts w:ascii="Inter" w:hAnsi="Inter" w:cs="Inter"/>
          <w:b/>
          <w:i w:val="0"/>
          <w:color w:val="1C1E2E"/>
          <w:sz w:val="22"/>
        </w:rPr>
        <w:t>julio 2004 – actualidad</w:t>
      </w:r>
    </w:p>
    <w:p>
      <w:pPr>
        <w:pStyle w:val="ListBullet"/>
        <w:spacing w:after="60"/>
        <w:ind w:left="403"/>
      </w:pPr>
      <w:r>
        <w:rPr>
          <w:rFonts w:ascii="Inter" w:hAnsi="Inter" w:cs="Inter"/>
          <w:b w:val="0"/>
          <w:i w:val="0"/>
          <w:color w:val="1C1E2E"/>
          <w:sz w:val="22"/>
        </w:rPr>
        <w:t>Más de 20 años de docencia de inglés y español a personas adultas, presencial y en línea.</w:t>
      </w:r>
    </w:p>
    <w:p>
      <w:pPr>
        <w:pStyle w:val="ListBullet"/>
        <w:spacing w:after="60"/>
        <w:ind w:left="403"/>
      </w:pPr>
      <w:r>
        <w:rPr>
          <w:rFonts w:ascii="Inter" w:hAnsi="Inter" w:cs="Inter"/>
          <w:b/>
          <w:i w:val="0"/>
          <w:color w:val="1C1E2E"/>
          <w:sz w:val="22"/>
        </w:rPr>
        <w:t>Tutora en AVE Global</w:t>
      </w:r>
      <w:r>
        <w:rPr>
          <w:rFonts w:ascii="Inter" w:hAnsi="Inter" w:cs="Inter"/>
          <w:b w:val="0"/>
          <w:i w:val="0"/>
          <w:color w:val="1C1E2E"/>
          <w:sz w:val="22"/>
        </w:rPr>
        <w:t xml:space="preserve"> (aula virtual / LMS de español del Instituto Cervantes).</w:t>
      </w:r>
    </w:p>
    <w:p>
      <w:pPr>
        <w:pStyle w:val="ListBullet"/>
        <w:spacing w:after="60"/>
        <w:ind w:left="403"/>
      </w:pPr>
      <w:r>
        <w:rPr>
          <w:rFonts w:ascii="Inter" w:hAnsi="Inter" w:cs="Inter"/>
          <w:b w:val="0"/>
          <w:i w:val="0"/>
          <w:color w:val="1C1E2E"/>
          <w:sz w:val="22"/>
        </w:rPr>
        <w:t xml:space="preserve">Diseño de </w:t>
      </w:r>
      <w:r>
        <w:rPr>
          <w:rFonts w:ascii="Inter" w:hAnsi="Inter" w:cs="Inter"/>
          <w:b/>
          <w:i w:val="0"/>
          <w:color w:val="1C1E2E"/>
          <w:sz w:val="22"/>
        </w:rPr>
        <w:t>itinerarios y rúbricas alineados al MCER</w:t>
      </w:r>
      <w:r>
        <w:rPr>
          <w:rFonts w:ascii="Inter" w:hAnsi="Inter" w:cs="Inter"/>
          <w:b w:val="0"/>
          <w:i w:val="0"/>
          <w:color w:val="1C1E2E"/>
          <w:sz w:val="22"/>
        </w:rPr>
        <w:t xml:space="preserve">; preparación de </w:t>
      </w:r>
      <w:r>
        <w:rPr>
          <w:rFonts w:ascii="Inter" w:hAnsi="Inter" w:cs="Inter"/>
          <w:b/>
          <w:i w:val="0"/>
          <w:color w:val="1C1E2E"/>
          <w:sz w:val="22"/>
        </w:rPr>
        <w:t>Cambridge (B2 First, C1 Advanced)</w:t>
      </w:r>
      <w:r>
        <w:rPr>
          <w:rFonts w:ascii="Inter" w:hAnsi="Inter" w:cs="Inter"/>
          <w:b w:val="0"/>
          <w:i w:val="0"/>
          <w:color w:val="1C1E2E"/>
          <w:sz w:val="22"/>
        </w:rPr>
        <w:t xml:space="preserve"> y </w:t>
      </w:r>
      <w:r>
        <w:rPr>
          <w:rFonts w:ascii="Inter" w:hAnsi="Inter" w:cs="Inter"/>
          <w:b/>
          <w:i w:val="0"/>
          <w:color w:val="1C1E2E"/>
          <w:sz w:val="22"/>
        </w:rPr>
        <w:t>DELE</w:t>
      </w:r>
      <w:r>
        <w:rPr>
          <w:rFonts w:ascii="Inter" w:hAnsi="Inter" w:cs="Inter"/>
          <w:b w:val="0"/>
          <w:i w:val="0"/>
          <w:color w:val="1C1E2E"/>
          <w:sz w:val="22"/>
        </w:rPr>
        <w:t>.</w:t>
      </w:r>
    </w:p>
    <w:p>
      <w:r>
        <w:rPr>
          <w:rFonts w:ascii="Inter" w:hAnsi="Inter" w:cs="Inter"/>
          <w:b/>
          <w:i w:val="0"/>
          <w:color w:val="1C1E2E"/>
          <w:sz w:val="22"/>
        </w:rPr>
        <w:t>Acreditación:</w:t>
      </w:r>
      <w:r>
        <w:rPr>
          <w:rFonts w:ascii="Inter" w:hAnsi="Inter" w:cs="Inter"/>
          <w:b w:val="0"/>
          <w:i w:val="0"/>
          <w:color w:val="1C1E2E"/>
          <w:sz w:val="22"/>
        </w:rPr>
        <w:t xml:space="preserve"> certificados de servicio UDO </w:t>
      </w:r>
      <w:r>
        <w:rPr>
          <w:rFonts w:ascii="Inter" w:hAnsi="Inter" w:cs="Inter"/>
          <w:b/>
          <w:i w:val="0"/>
          <w:color w:val="1C1E2E"/>
          <w:sz w:val="22"/>
        </w:rPr>
        <w:t>[DOC-16]</w:t>
      </w:r>
      <w:r>
        <w:rPr>
          <w:rFonts w:ascii="Inter" w:hAnsi="Inter" w:cs="Inter"/>
          <w:b w:val="0"/>
          <w:i w:val="0"/>
          <w:color w:val="1C1E2E"/>
          <w:sz w:val="22"/>
        </w:rPr>
        <w:t xml:space="preserve"> · vida laboral / certificado de actividad como autónoma </w:t>
      </w:r>
      <w:r>
        <w:rPr>
          <w:rFonts w:ascii="Inter" w:hAnsi="Inter" w:cs="Inter"/>
          <w:b/>
          <w:i w:val="0"/>
          <w:color w:val="1C1E2E"/>
          <w:sz w:val="22"/>
        </w:rPr>
        <w:t>[DOC-17]</w:t>
      </w:r>
      <w:r>
        <w:rPr>
          <w:rFonts w:ascii="Inter" w:hAnsi="Inter" w:cs="Inter"/>
          <w:b w:val="0"/>
          <w:i w:val="0"/>
          <w:color w:val="1C1E2E"/>
          <w:sz w:val="22"/>
        </w:rPr>
        <w:t xml:space="preserve"> · acreditación de tutoría AVE Global </w:t>
      </w:r>
      <w:r>
        <w:rPr>
          <w:rFonts w:ascii="Inter" w:hAnsi="Inter" w:cs="Inter"/>
          <w:b/>
          <w:i w:val="0"/>
          <w:color w:val="1C1E2E"/>
          <w:sz w:val="22"/>
        </w:rPr>
        <w:t>[DOC-18]</w:t>
      </w:r>
      <w:r>
        <w:rPr>
          <w:rFonts w:ascii="Inter" w:hAnsi="Inter" w:cs="Inter"/>
          <w:b w:val="0"/>
          <w:i w:val="0"/>
          <w:color w:val="1C1E2E"/>
          <w:sz w:val="22"/>
        </w:rPr>
        <w:t xml:space="preserve"> · portafolio en línea (enlace en §0).</w:t>
      </w:r>
    </w:p>
    <w:p>
      <w:pPr>
        <w:pBdr>
          <w:left w:val="single" w:sz="18" w:space="8" w:color="9A5B00"/>
        </w:pBdr>
        <w:spacing w:before="120" w:after="200"/>
        <w:ind w:left="317"/>
      </w:pPr>
      <w:r>
        <w:rPr>
          <w:rFonts w:ascii="Inter" w:hAnsi="Inter" w:cs="Inter"/>
          <w:b/>
          <w:i w:val="0"/>
          <w:color w:val="5B5F77"/>
          <w:sz w:val="21"/>
        </w:rPr>
        <w:t>Encaje con la tesis.</w:t>
      </w:r>
      <w:r>
        <w:rPr>
          <w:rFonts w:ascii="Inter" w:hAnsi="Inter" w:cs="Inter"/>
          <w:b w:val="0"/>
          <w:i w:val="0"/>
          <w:color w:val="5B5F77"/>
          <w:sz w:val="21"/>
        </w:rPr>
        <w:t xml:space="preserve"> Los cuatro bloques de experiencia se corresponden uno a uno con los componentes de la propuesta MLLDE: docencia MCER → anclaje CEFR; diseño instruccional → método MLLDE; gobernanza humano–IA → literacidad en IA; SCORM/xAPI y administración de LMS → módulo de medición y arquitectura de datos de aprendizaje.</w:t>
      </w:r>
    </w:p>
    <w:p>
      <w:pPr>
        <w:pBdr>
          <w:bottom w:val="single" w:sz="6" w:space="1" w:color="E6E8F2"/>
        </w:pBdr>
      </w:pPr>
    </w:p>
    <w:p>
      <w:pPr>
        <w:spacing w:before="320" w:after="120"/>
      </w:pPr>
      <w:r>
        <w:rPr>
          <w:rFonts w:ascii="Fraunces" w:hAnsi="Fraunces" w:cs="Fraunces"/>
          <w:b/>
          <w:i w:val="0"/>
          <w:color w:val="22307C"/>
          <w:sz w:val="32"/>
        </w:rPr>
        <w:t>RESUMEN DEL BAREMO — AUTOEVALUACIÓN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Apartado</w:t>
            </w:r>
          </w:p>
        </w:tc>
        <w:tc>
          <w:tcPr>
            <w:tcW w:type="dxa" w:w="2412"/>
            <w:shd w:val="clear" w:color="auto" w:fill="EEF2FD"/>
          </w:tcPr>
          <w:p>
            <w:pPr>
              <w:spacing w:after="40"/>
            </w:pPr>
            <w:r/>
            <w:r>
              <w:rPr>
                <w:rFonts w:ascii="Inter" w:hAnsi="Inter" w:cs="Inter"/>
                <w:b/>
                <w:i w:val="0"/>
                <w:color w:val="22307C"/>
                <w:sz w:val="19"/>
              </w:rPr>
              <w:t>Peso</w:t>
            </w:r>
          </w:p>
        </w:tc>
        <w:tc>
          <w:tcPr>
            <w:tcW w:type="dxa" w:w="2412"/>
            <w:shd w:val="clear" w:color="auto" w:fill="EEF2FD"/>
          </w:tcPr>
          <w:p>
            <w:pPr>
              <w:spacing w:after="40"/>
            </w:pPr>
            <w:r/>
            <w:r>
              <w:rPr>
                <w:rFonts w:ascii="Inter" w:hAnsi="Inter" w:cs="Inter"/>
                <w:b/>
                <w:i w:val="0"/>
                <w:color w:val="22307C"/>
                <w:sz w:val="19"/>
              </w:rPr>
              <w:t>Estado</w:t>
            </w:r>
          </w:p>
        </w:tc>
        <w:tc>
          <w:tcPr>
            <w:tcW w:type="dxa" w:w="2412"/>
            <w:shd w:val="clear" w:color="auto" w:fill="EEF2FD"/>
          </w:tcPr>
          <w:p>
            <w:pPr>
              <w:spacing w:after="40"/>
            </w:pPr>
            <w:r/>
            <w:r>
              <w:rPr>
                <w:rFonts w:ascii="Inter" w:hAnsi="Inter" w:cs="Inter"/>
                <w:b/>
                <w:i w:val="0"/>
                <w:color w:val="22307C"/>
                <w:sz w:val="19"/>
              </w:rPr>
              <w:t>Evidencia principal</w:t>
            </w:r>
          </w:p>
        </w:tc>
      </w:tr>
      <w:tr>
        <w:tc>
          <w:tcPr>
            <w:tcW w:type="dxa" w:w="2412"/>
          </w:tcPr>
          <w:p>
            <w:pPr>
              <w:spacing w:after="40"/>
            </w:pPr>
            <w:r/>
            <w:r>
              <w:rPr>
                <w:rFonts w:ascii="Inter" w:hAnsi="Inter" w:cs="Inter"/>
                <w:b/>
                <w:i w:val="0"/>
                <w:color w:val="1C1E2E"/>
                <w:sz w:val="19"/>
              </w:rPr>
              <w:t>Expediente académico</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Máster UPV </w:t>
            </w:r>
            <w:r>
              <w:rPr>
                <w:rFonts w:ascii="Inter" w:hAnsi="Inter" w:cs="Inter"/>
                <w:b/>
                <w:i w:val="0"/>
                <w:color w:val="1C1E2E"/>
                <w:sz w:val="19"/>
              </w:rPr>
              <w:t>9,4/10</w:t>
            </w:r>
            <w:r>
              <w:rPr>
                <w:rFonts w:ascii="Inter" w:hAnsi="Inter" w:cs="Inter"/>
                <w:b w:val="0"/>
                <w:i w:val="0"/>
                <w:color w:val="1C1E2E"/>
                <w:sz w:val="19"/>
              </w:rPr>
              <w:t xml:space="preserve"> con 2 MH · Licenciatura </w:t>
            </w:r>
            <w:r>
              <w:rPr>
                <w:rFonts w:ascii="Inter" w:hAnsi="Inter" w:cs="Inter"/>
                <w:b/>
                <w:i w:val="0"/>
                <w:color w:val="1C1E2E"/>
                <w:sz w:val="19"/>
              </w:rPr>
              <w:t>9,07/10</w:t>
            </w:r>
            <w:r>
              <w:rPr>
                <w:rFonts w:ascii="Inter" w:hAnsi="Inter" w:cs="Inter"/>
                <w:b w:val="0"/>
                <w:i w:val="0"/>
                <w:color w:val="1C1E2E"/>
                <w:sz w:val="19"/>
              </w:rPr>
              <w:t xml:space="preserve"> (equivalencia oficial), 1.º de 56</w:t>
            </w:r>
          </w:p>
        </w:tc>
      </w:tr>
      <w:tr>
        <w:tc>
          <w:tcPr>
            <w:tcW w:type="dxa" w:w="2412"/>
          </w:tcPr>
          <w:p>
            <w:pPr>
              <w:spacing w:after="40"/>
            </w:pPr>
            <w:r/>
            <w:r>
              <w:rPr>
                <w:rFonts w:ascii="Inter" w:hAnsi="Inter" w:cs="Inter"/>
                <w:b w:val="0"/>
                <w:i w:val="0"/>
                <w:color w:val="1C1E2E"/>
                <w:sz w:val="19"/>
              </w:rPr>
              <w:t>B.1 Premio extraordinario de grado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constancia apostillada</w:t>
            </w:r>
          </w:p>
        </w:tc>
      </w:tr>
      <w:tr>
        <w:tc>
          <w:tcPr>
            <w:tcW w:type="dxa" w:w="2412"/>
          </w:tcPr>
          <w:p>
            <w:pPr>
              <w:spacing w:after="40"/>
            </w:pPr>
            <w:r/>
            <w:r>
              <w:rPr>
                <w:rFonts w:ascii="Inter" w:hAnsi="Inter" w:cs="Inter"/>
                <w:b w:val="0"/>
                <w:i w:val="0"/>
                <w:color w:val="1C1E2E"/>
                <w:sz w:val="19"/>
              </w:rPr>
              <w:t>B.2 Premio extraordinario de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 — el premio es el de grado</w:t>
            </w:r>
          </w:p>
        </w:tc>
      </w:tr>
      <w:tr>
        <w:tc>
          <w:tcPr>
            <w:tcW w:type="dxa" w:w="2412"/>
          </w:tcPr>
          <w:p>
            <w:pPr>
              <w:spacing w:after="40"/>
            </w:pPr>
            <w:r/>
            <w:r>
              <w:rPr>
                <w:rFonts w:ascii="Inter" w:hAnsi="Inter" w:cs="Inter"/>
                <w:b w:val="0"/>
                <w:i w:val="0"/>
                <w:color w:val="1C1E2E"/>
                <w:sz w:val="19"/>
              </w:rPr>
              <w:t>B.3 Segundo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w:t>
            </w:r>
          </w:p>
        </w:tc>
      </w:tr>
      <w:tr>
        <w:tc>
          <w:tcPr>
            <w:tcW w:type="dxa" w:w="2412"/>
          </w:tcPr>
          <w:p>
            <w:pPr>
              <w:spacing w:after="40"/>
            </w:pPr>
            <w:r/>
            <w:r>
              <w:rPr>
                <w:rFonts w:ascii="Inter" w:hAnsi="Inter" w:cs="Inter"/>
                <w:b w:val="0"/>
                <w:i w:val="0"/>
                <w:color w:val="1C1E2E"/>
                <w:sz w:val="19"/>
              </w:rPr>
              <w:t>B.4 Idiomas ajenos a las titulaciones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examinadora DELE — verificar si computa</w:t>
            </w:r>
          </w:p>
        </w:tc>
      </w:tr>
      <w:tr>
        <w:tc>
          <w:tcPr>
            <w:tcW w:type="dxa" w:w="2412"/>
          </w:tcPr>
          <w:p>
            <w:pPr>
              <w:spacing w:after="40"/>
            </w:pPr>
            <w:r/>
            <w:r>
              <w:rPr>
                <w:rFonts w:ascii="Inter" w:hAnsi="Inter" w:cs="Inter"/>
                <w:b w:val="0"/>
                <w:i w:val="0"/>
                <w:color w:val="1C1E2E"/>
                <w:sz w:val="19"/>
              </w:rPr>
              <w:t>B.5 Becas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Beca de excelencia académica (grado) · beca del Ministerio (máster)</w:t>
            </w:r>
          </w:p>
        </w:tc>
      </w:tr>
      <w:tr>
        <w:tc>
          <w:tcPr>
            <w:tcW w:type="dxa" w:w="2412"/>
          </w:tcPr>
          <w:p>
            <w:pPr>
              <w:spacing w:after="40"/>
            </w:pPr>
            <w:r/>
            <w:r>
              <w:rPr>
                <w:rFonts w:ascii="Inter" w:hAnsi="Inter" w:cs="Inter"/>
                <w:b w:val="0"/>
                <w:i w:val="0"/>
                <w:color w:val="1C1E2E"/>
                <w:sz w:val="19"/>
              </w:rPr>
              <w:t>B.6 Experiencia profesional en el ámbito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h de docencia universitaria acreditadas</w:t>
            </w:r>
            <w:r>
              <w:rPr>
                <w:rFonts w:ascii="Inter" w:hAnsi="Inter" w:cs="Inter"/>
                <w:b w:val="0"/>
                <w:i w:val="0"/>
                <w:color w:val="1C1E2E"/>
                <w:sz w:val="19"/>
              </w:rPr>
              <w:t xml:space="preserve"> · 20+ años · ID 2019-actualidad</w:t>
            </w:r>
          </w:p>
        </w:tc>
      </w:tr>
    </w:tbl>
    <w:p/>
    <w:p>
      <w:r>
        <w:rPr>
          <w:rFonts w:ascii="Inter" w:hAnsi="Inter" w:cs="Inter"/>
          <w:b/>
          <w:i w:val="0"/>
          <w:color w:val="1C1E2E"/>
          <w:sz w:val="22"/>
        </w:rPr>
        <w:t>Lectura honesta.</w:t>
      </w:r>
      <w:r>
        <w:rPr>
          <w:rFonts w:ascii="Inter" w:hAnsi="Inter" w:cs="Inter"/>
          <w:b w:val="0"/>
          <w:i w:val="0"/>
          <w:color w:val="1C1E2E"/>
          <w:sz w:val="22"/>
        </w:rPr>
        <w:t xml:space="preserve"> Tres méritos están plenamente acreditados (B.1, B.5, B.6), uno depende de la interpretación de la comisión (B.4) y dos no proceden (B.2, B.3). Es decir: </w:t>
      </w:r>
      <w:r>
        <w:rPr>
          <w:rFonts w:ascii="Inter" w:hAnsi="Inter" w:cs="Inter"/>
          <w:b/>
          <w:i w:val="0"/>
          <w:color w:val="1C1E2E"/>
          <w:sz w:val="22"/>
        </w:rPr>
        <w:t>entre 15 % y 20 % de los 30 %</w:t>
      </w:r>
      <w:r>
        <w:rPr>
          <w:rFonts w:ascii="Inter" w:hAnsi="Inter" w:cs="Inter"/>
          <w:b w:val="0"/>
          <w:i w:val="0"/>
          <w:color w:val="1C1E2E"/>
          <w:sz w:val="22"/>
        </w:rPr>
        <w:t xml:space="preserve">, con el 70 % del expediente en el tramo alto (9,4 y 9,07 sobre 10). El punto fuerte no es el número de casillas marcadas, sino la </w:t>
      </w:r>
      <w:r>
        <w:rPr>
          <w:rFonts w:ascii="Inter" w:hAnsi="Inter" w:cs="Inter"/>
          <w:b/>
          <w:i w:val="0"/>
          <w:color w:val="1C1E2E"/>
          <w:sz w:val="22"/>
        </w:rPr>
        <w:t>calidad de la prueba</w:t>
      </w:r>
      <w:r>
        <w:rPr>
          <w:rFonts w:ascii="Inter" w:hAnsi="Inter" w:cs="Inter"/>
          <w:b w:val="0"/>
          <w:i w:val="0"/>
          <w:color w:val="1C1E2E"/>
          <w:sz w:val="22"/>
        </w:rPr>
        <w:t>: el mérito de B.1 llega apostillado y con código de validación en línea, y el expediente de grado trae la nota media ya calculada por la Administración española.</w:t>
      </w:r>
    </w:p>
    <w:p>
      <w:r>
        <w:rPr>
          <w:rFonts w:ascii="Inter" w:hAnsi="Inter" w:cs="Inter"/>
          <w:b/>
          <w:i w:val="0"/>
          <w:color w:val="1C1E2E"/>
          <w:sz w:val="22"/>
        </w:rPr>
        <w:t>Dónde se gana el margen que falta.</w:t>
      </w:r>
      <w:r>
        <w:rPr>
          <w:rFonts w:ascii="Inter" w:hAnsi="Inter" w:cs="Inter"/>
          <w:b w:val="0"/>
          <w:i w:val="0"/>
          <w:color w:val="1C1E2E"/>
          <w:sz w:val="22"/>
        </w:rPr>
        <w:t xml:space="preserve"> El único apartado mejorable a corto plazo es B.4: una acreditación oficial de un tercer idioma (valenciano A2–B1 por JQCV/CIEACOVA es la vía más rápida y barata) activaría ese 5 % sin depender de la interpretación de nadie.</w:t>
      </w:r>
    </w:p>
    <w:p>
      <w:pPr>
        <w:pBdr>
          <w:bottom w:val="single" w:sz="6" w:space="1" w:color="E6E8F2"/>
        </w:pBdr>
      </w:pPr>
    </w:p>
    <w:p>
      <w:pPr>
        <w:spacing w:before="320" w:after="120"/>
      </w:pPr>
      <w:r>
        <w:rPr>
          <w:rFonts w:ascii="Fraunces" w:hAnsi="Fraunces" w:cs="Fraunces"/>
          <w:b/>
          <w:i w:val="0"/>
          <w:color w:val="22307C"/>
          <w:sz w:val="42"/>
        </w:rPr>
        <w:t>5. Producción científica y difusión</w:t>
      </w:r>
    </w:p>
    <w:p>
      <w:pPr>
        <w:spacing w:before="320" w:after="120"/>
      </w:pPr>
      <w:r>
        <w:rPr>
          <w:rFonts w:ascii="Fraunces" w:hAnsi="Fraunces" w:cs="Fraunces"/>
          <w:b/>
          <w:i w:val="0"/>
          <w:color w:val="22307C"/>
          <w:sz w:val="32"/>
        </w:rPr>
        <w:t>5.1 · Trayectoria investigadora desde el Trabajo Especial de Grado</w:t>
      </w:r>
    </w:p>
    <w:p>
      <w:r>
        <w:rPr>
          <w:rFonts w:ascii="Inter" w:hAnsi="Inter" w:cs="Inter"/>
          <w:b w:val="0"/>
          <w:i w:val="0"/>
          <w:color w:val="1C1E2E"/>
          <w:sz w:val="22"/>
        </w:rPr>
        <w:t xml:space="preserve">El TFG no se quedó en el expediente: recorrió el ciclo completo de investigación — </w:t>
      </w:r>
      <w:r>
        <w:rPr>
          <w:rFonts w:ascii="Inter" w:hAnsi="Inter" w:cs="Inter"/>
          <w:b/>
          <w:i w:val="0"/>
          <w:color w:val="1C1E2E"/>
          <w:sz w:val="22"/>
        </w:rPr>
        <w:t>defensa con máxima calificación → arbitraje y publicación en revista indexada → ponencia arbitrada en congreso internacional</w:t>
      </w:r>
      <w:r>
        <w:rPr>
          <w:rFonts w:ascii="Inter" w:hAnsi="Inter" w:cs="Inter"/>
          <w:b w:val="0"/>
          <w:i w:val="0"/>
          <w:color w:val="1C1E2E"/>
          <w:sz w:val="22"/>
        </w:rPr>
        <w:t>. Es la evidencia más directa de capacidad investigadora autónoma que puede aportarse a una solicitud de doctorado.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Etapa</w:t>
            </w:r>
          </w:p>
        </w:tc>
        <w:tc>
          <w:tcPr>
            <w:tcW w:type="dxa" w:w="2412"/>
            <w:shd w:val="clear" w:color="auto" w:fill="EEF2FD"/>
          </w:tcPr>
          <w:p>
            <w:pPr>
              <w:spacing w:after="40"/>
            </w:pPr>
            <w:r/>
            <w:r>
              <w:rPr>
                <w:rFonts w:ascii="Inter" w:hAnsi="Inter" w:cs="Inter"/>
                <w:b/>
                <w:i w:val="0"/>
                <w:color w:val="22307C"/>
                <w:sz w:val="19"/>
              </w:rPr>
              <w:t>Hito</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Defensa</w:t>
            </w:r>
          </w:p>
        </w:tc>
        <w:tc>
          <w:tcPr>
            <w:tcW w:type="dxa" w:w="2412"/>
          </w:tcPr>
          <w:p>
            <w:pPr>
              <w:spacing w:after="40"/>
            </w:pPr>
            <w:r/>
            <w:r>
              <w:rPr>
                <w:rFonts w:ascii="Inter" w:hAnsi="Inter" w:cs="Inter"/>
                <w:b w:val="0"/>
                <w:i w:val="0"/>
                <w:color w:val="1C1E2E"/>
                <w:sz w:val="19"/>
              </w:rPr>
              <w:t xml:space="preserve">Trabajo Especial de Grado calificado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de Honor</w:t>
            </w:r>
            <w:r>
              <w:rPr>
                <w:rFonts w:ascii="Inter" w:hAnsi="Inter" w:cs="Inter"/>
                <w:b w:val="0"/>
                <w:i w:val="0"/>
                <w:color w:val="1C1E2E"/>
                <w:sz w:val="19"/>
              </w:rPr>
              <w:t xml:space="preserve"> concedido por el Rector de la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Arbitraje</w:t>
            </w:r>
          </w:p>
        </w:tc>
        <w:tc>
          <w:tcPr>
            <w:tcW w:type="dxa" w:w="2412"/>
          </w:tcPr>
          <w:p>
            <w:pPr>
              <w:spacing w:after="40"/>
            </w:pPr>
            <w:r/>
            <w:r>
              <w:rPr>
                <w:rFonts w:ascii="Inter" w:hAnsi="Inter" w:cs="Inter"/>
                <w:b w:val="0"/>
                <w:i w:val="0"/>
                <w:color w:val="1C1E2E"/>
                <w:sz w:val="19"/>
              </w:rPr>
              <w:t xml:space="preserve">Artículo recibido (13-06-2004) y </w:t>
            </w:r>
            <w:r>
              <w:rPr>
                <w:rFonts w:ascii="Inter" w:hAnsi="Inter" w:cs="Inter"/>
                <w:b/>
                <w:i w:val="0"/>
                <w:color w:val="1C1E2E"/>
                <w:sz w:val="19"/>
              </w:rPr>
              <w:t>aceptado tras arbitraje</w:t>
            </w:r>
            <w:r>
              <w:rPr>
                <w:rFonts w:ascii="Inter" w:hAnsi="Inter" w:cs="Inter"/>
                <w:b w:val="0"/>
                <w:i w:val="0"/>
                <w:color w:val="1C1E2E"/>
                <w:sz w:val="19"/>
              </w:rPr>
              <w:t xml:space="preserve"> (19-07-2004) por </w:t>
            </w:r>
            <w:r>
              <w:rPr>
                <w:rFonts w:ascii="Inter" w:hAnsi="Inter" w:cs="Inter"/>
                <w:b w:val="0"/>
                <w:i/>
                <w:color w:val="1C1E2E"/>
                <w:sz w:val="19"/>
              </w:rPr>
              <w:t>Kaleidoscopio</w:t>
            </w:r>
            <w:r>
              <w:rPr>
                <w:rFonts w:ascii="Inter" w:hAnsi="Inter" w:cs="Inter"/>
                <w:b w:val="0"/>
                <w:i w:val="0"/>
                <w:color w:val="1C1E2E"/>
                <w:sz w:val="19"/>
              </w:rPr>
              <w:t xml:space="preserve">, revista arbitrada de Educación, Humanidades y Artes de la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Publicación</w:t>
            </w:r>
          </w:p>
        </w:tc>
        <w:tc>
          <w:tcPr>
            <w:tcW w:type="dxa" w:w="2412"/>
          </w:tcPr>
          <w:p>
            <w:pPr>
              <w:spacing w:after="40"/>
            </w:pPr>
            <w:r/>
            <w:r>
              <w:rPr>
                <w:rFonts w:ascii="Inter" w:hAnsi="Inter" w:cs="Inter"/>
                <w:b w:val="0"/>
                <w:i w:val="0"/>
                <w:color w:val="1C1E2E"/>
                <w:sz w:val="19"/>
              </w:rPr>
              <w:t xml:space="preserve">Publicado en </w:t>
            </w:r>
            <w:r>
              <w:rPr>
                <w:rFonts w:ascii="Inter" w:hAnsi="Inter" w:cs="Inter"/>
                <w:b/>
                <w:i w:val="0"/>
                <w:color w:val="1C1E2E"/>
                <w:sz w:val="19"/>
              </w:rPr>
              <w:t>Kaleidoscopio, vol. 2, n.º 3 (ene.–jun. 2005), pp. 51–56</w:t>
            </w:r>
            <w:r>
              <w:rPr>
                <w:rFonts w:ascii="Inter" w:hAnsi="Inter" w:cs="Inter"/>
                <w:b w:val="0"/>
                <w:i w:val="0"/>
                <w:color w:val="1C1E2E"/>
                <w:sz w:val="19"/>
              </w:rPr>
              <w:t xml:space="preserve">, con resumen bilingüe español/inglés. ISSN 1690-6054. </w:t>
            </w:r>
            <w:r>
              <w:rPr>
                <w:rFonts w:ascii="Inter" w:hAnsi="Inter" w:cs="Inter"/>
                <w:b/>
                <w:i w:val="0"/>
                <w:color w:val="1C1E2E"/>
                <w:sz w:val="19"/>
              </w:rPr>
              <w:t>Indexada en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Congreso internacional</w:t>
            </w:r>
          </w:p>
        </w:tc>
        <w:tc>
          <w:tcPr>
            <w:tcW w:type="dxa" w:w="2412"/>
          </w:tcPr>
          <w:p>
            <w:pPr>
              <w:spacing w:after="40"/>
            </w:pPr>
            <w:r/>
            <w:r>
              <w:rPr>
                <w:rFonts w:ascii="Inter" w:hAnsi="Inter" w:cs="Inter"/>
                <w:b w:val="0"/>
                <w:i w:val="0"/>
                <w:color w:val="1C1E2E"/>
                <w:sz w:val="19"/>
              </w:rPr>
              <w:t xml:space="preserve">Resumen </w:t>
            </w:r>
            <w:r>
              <w:rPr>
                <w:rFonts w:ascii="Inter" w:hAnsi="Inter" w:cs="Inter"/>
                <w:b/>
                <w:i w:val="0"/>
                <w:color w:val="1C1E2E"/>
                <w:sz w:val="19"/>
              </w:rPr>
              <w:t>aceptado por la comisión de arbitraje</w:t>
            </w:r>
            <w:r>
              <w:rPr>
                <w:rFonts w:ascii="Inter" w:hAnsi="Inter" w:cs="Inter"/>
                <w:b w:val="0"/>
                <w:i w:val="0"/>
                <w:color w:val="1C1E2E"/>
                <w:sz w:val="19"/>
              </w:rPr>
              <w:t xml:space="preserve"> y ponencia presentada en el </w:t>
            </w:r>
            <w:r>
              <w:rPr>
                <w:rFonts w:ascii="Inter" w:hAnsi="Inter" w:cs="Inter"/>
                <w:b/>
                <w:i w:val="0"/>
                <w:color w:val="1C1E2E"/>
                <w:sz w:val="19"/>
              </w:rPr>
              <w:t>II Congreso Internacional de Educación Superior «Tendencias y Perspectivas de la Educación Superior en América Latina / en el Siglo XXI»</w:t>
            </w:r>
            <w:r>
              <w:rPr>
                <w:rFonts w:ascii="Inter" w:hAnsi="Inter" w:cs="Inter"/>
                <w:b w:val="0"/>
                <w:i w:val="0"/>
                <w:color w:val="1C1E2E"/>
                <w:sz w:val="19"/>
              </w:rPr>
              <w:t xml:space="preserve">, Asociación de Educadores de Latinoamérica y del Caribe + Universidad de Oriente, </w:t>
            </w:r>
            <w:r>
              <w:rPr>
                <w:rFonts w:ascii="Inter" w:hAnsi="Inter" w:cs="Inter"/>
                <w:b/>
                <w:i w:val="0"/>
                <w:color w:val="1C1E2E"/>
                <w:sz w:val="19"/>
              </w:rPr>
              <w:t>Cumaná, 31 jul. – 2 ago.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Cita completa:</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Indexada en CLASE (UNAM). https://hdl.handle.net/20.500.14330/CLA01000260594</w:t>
      </w:r>
    </w:p>
    <w:p>
      <w:r>
        <w:rPr>
          <w:rFonts w:ascii="Inter" w:hAnsi="Inter" w:cs="Inter"/>
          <w:b/>
          <w:i w:val="0"/>
          <w:color w:val="1C1E2E"/>
          <w:sz w:val="22"/>
        </w:rPr>
        <w:t>Relevancia para la propuesta de tesis.</w:t>
      </w:r>
      <w:r>
        <w:rPr>
          <w:rFonts w:ascii="Inter" w:hAnsi="Inter" w:cs="Inter"/>
          <w:b w:val="0"/>
          <w:i w:val="0"/>
          <w:color w:val="1C1E2E"/>
          <w:sz w:val="22"/>
        </w:rPr>
        <w:t xml:space="preserve"> El objeto de aquel estudio — el perfil del egresado medido contra las funciones docentes y las competencias lingüísticas previstas en la reforma curricular — es, en el fondo, el mismo problema que aborda MLLDE veinte años después: </w:t>
      </w:r>
      <w:r>
        <w:rPr>
          <w:rFonts w:ascii="Inter" w:hAnsi="Inter" w:cs="Inter"/>
          <w:b/>
          <w:i w:val="0"/>
          <w:color w:val="1C1E2E"/>
          <w:sz w:val="22"/>
        </w:rPr>
        <w:t>cómo alinear un diseño curricular con un marco de competencias verificable</w:t>
      </w:r>
      <w:r>
        <w:rPr>
          <w:rFonts w:ascii="Inter" w:hAnsi="Inter" w:cs="Inter"/>
          <w:b w:val="0"/>
          <w:i w:val="0"/>
          <w:color w:val="1C1E2E"/>
          <w:sz w:val="22"/>
        </w:rPr>
        <w:t>. La continuidad de línea de investigación es real, no retórica.</w:t>
      </w:r>
    </w:p>
    <w:p>
      <w:pPr>
        <w:spacing w:before="320" w:after="120"/>
      </w:pPr>
      <w:r>
        <w:rPr>
          <w:rFonts w:ascii="Fraunces" w:hAnsi="Fraunces" w:cs="Fraunces"/>
          <w:b/>
          <w:i w:val="0"/>
          <w:color w:val="22307C"/>
          <w:sz w:val="32"/>
        </w:rPr>
        <w:t>5.2 · Reconocimiento en agradecimientos</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por el contenido científico y la revisión en inglés del manuscrito. </w:t>
      </w:r>
      <w:r>
        <w:rPr>
          <w:rFonts w:ascii="Inter" w:hAnsi="Inter" w:cs="Inter"/>
          <w:b/>
          <w:i w:val="0"/>
          <w:color w:val="5B5F77"/>
          <w:sz w:val="21"/>
        </w:rPr>
        <w:t>[DOC-14]</w:t>
      </w:r>
    </w:p>
    <w:p>
      <w:pPr>
        <w:spacing w:before="320" w:after="120"/>
      </w:pPr>
      <w:r>
        <w:rPr>
          <w:rFonts w:ascii="Fraunces" w:hAnsi="Fraunces" w:cs="Fraunces"/>
          <w:b/>
          <w:i w:val="0"/>
          <w:color w:val="22307C"/>
          <w:sz w:val="32"/>
        </w:rPr>
        <w:t>5.3 · Difusión y divulgación profesional</w:t>
      </w:r>
    </w:p>
    <w:p>
      <w:pPr>
        <w:pStyle w:val="ListBullet"/>
        <w:spacing w:after="60"/>
        <w:ind w:left="403"/>
      </w:pPr>
      <w:r>
        <w:rPr>
          <w:rFonts w:ascii="Inter" w:hAnsi="Inter" w:cs="Inter"/>
          <w:b w:val="0"/>
          <w:i w:val="0"/>
          <w:color w:val="1C1E2E"/>
          <w:sz w:val="22"/>
        </w:rPr>
        <w:t>Portafolio EdTech de seis áreas (vídeo, gamificación, diseño de cursos, herramientas interactivas, formación virtual, investigación).</w:t>
      </w:r>
    </w:p>
    <w:p>
      <w:pPr>
        <w:pStyle w:val="ListBullet"/>
        <w:spacing w:after="60"/>
        <w:ind w:left="403"/>
      </w:pPr>
      <w:r>
        <w:rPr>
          <w:rFonts w:ascii="Inter" w:hAnsi="Inter" w:cs="Inter"/>
          <w:b w:val="0"/>
          <w:i w:val="0"/>
          <w:color w:val="1C1E2E"/>
          <w:sz w:val="22"/>
        </w:rPr>
        <w:t>Libro de datos interactivo del corpus de metadiscurso (visualización de resultados de investigación en lingüística aplicada), publicado en el portafolio de investigación.</w:t>
      </w:r>
    </w:p>
    <w:p>
      <w:pPr>
        <w:pStyle w:val="ListBullet"/>
        <w:spacing w:after="60"/>
        <w:ind w:left="403"/>
      </w:pPr>
      <w:r>
        <w:rPr>
          <w:rFonts w:ascii="Inter" w:hAnsi="Inter" w:cs="Inter"/>
          <w:b w:val="0"/>
          <w:i w:val="0"/>
          <w:color w:val="1C1E2E"/>
          <w:sz w:val="22"/>
        </w:rPr>
        <w:t>Podcast profesional en Spotify y canal de YouTube sobre diseño de aprendizaje y escritura académica.</w:t>
      </w:r>
    </w:p>
    <w:p>
      <w:pPr>
        <w:pBdr>
          <w:bottom w:val="single" w:sz="6" w:space="1" w:color="E6E8F2"/>
        </w:pBdr>
      </w:pPr>
    </w:p>
    <w:p>
      <w:pPr>
        <w:spacing w:before="320" w:after="120"/>
      </w:pPr>
      <w:r>
        <w:rPr>
          <w:rFonts w:ascii="Fraunces" w:hAnsi="Fraunces" w:cs="Fraunces"/>
          <w:b/>
          <w:i w:val="0"/>
          <w:color w:val="22307C"/>
          <w:sz w:val="42"/>
        </w:rPr>
        <w:t>6. Formación complementaria y certificaciones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Certificación</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ene.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(válido hasta dic.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Creación de contenidos digitales, mobile learning y gamificación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Idiomas, competencias y herramientas</w:t>
      </w:r>
    </w:p>
    <w:p>
      <w:r>
        <w:rPr>
          <w:rFonts w:ascii="Inter" w:hAnsi="Inter" w:cs="Inter"/>
          <w:b/>
          <w:i w:val="0"/>
          <w:color w:val="1C1E2E"/>
          <w:sz w:val="22"/>
        </w:rPr>
        <w:t>Idiomas:</w:t>
      </w:r>
      <w:r>
        <w:rPr>
          <w:rFonts w:ascii="Inter" w:hAnsi="Inter" w:cs="Inter"/>
          <w:b w:val="0"/>
          <w:i w:val="0"/>
          <w:color w:val="1C1E2E"/>
          <w:sz w:val="22"/>
        </w:rPr>
        <w:t xml:space="preserve"> español (nativo) · inglés </w:t>
      </w:r>
      <w:r>
        <w:rPr>
          <w:rFonts w:ascii="Inter" w:hAnsi="Inter" w:cs="Inter"/>
          <w:b/>
          <w:i w:val="0"/>
          <w:color w:val="1C1E2E"/>
          <w:sz w:val="22"/>
        </w:rPr>
        <w:t>C1</w:t>
      </w:r>
      <w:r>
        <w:rPr>
          <w:rFonts w:ascii="Inter" w:hAnsi="Inter" w:cs="Inter"/>
          <w:b w:val="0"/>
          <w:i w:val="0"/>
          <w:color w:val="1C1E2E"/>
          <w:sz w:val="22"/>
        </w:rPr>
        <w:t xml:space="preserve"> (Cambridge C1 Advanced / CAE) — redacción profesional y científica en ambas lenguas.</w:t>
      </w:r>
    </w:p>
    <w:p>
      <w:r>
        <w:rPr>
          <w:rFonts w:ascii="Inter" w:hAnsi="Inter" w:cs="Inter"/>
          <w:b/>
          <w:i w:val="0"/>
          <w:color w:val="1C1E2E"/>
          <w:sz w:val="22"/>
        </w:rPr>
        <w:t>Competencias y herramientas (línea de palabras clave):</w:t>
      </w:r>
      <w:r>
        <w:rPr>
          <w:rFonts w:ascii="Inter" w:hAnsi="Inter" w:cs="Inter"/>
          <w:b w:val="0"/>
          <w:i w:val="0"/>
          <w:color w:val="1C1E2E"/>
          <w:sz w:val="22"/>
        </w:rPr>
        <w:t xml:space="preserve"> diseño de contenidos educativos, diseño instruccional, eLearning, formación en línea, adaptación de contenidos, revisión de originales, guionización, redacción de contenidos, narrativa didáctica, producción de audio, gamificación, microlearning, diseño curricular, evaluación por competencias, accesibilidad (DUA/WCAG), ADDIE, SAM, escritura científica, MCER/CEFR,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ANEXO — Índice de documentos acreditativos</w:t>
      </w:r>
    </w:p>
    <w:p>
      <w:pPr>
        <w:pBdr>
          <w:left w:val="single" w:sz="18" w:space="8" w:color="9A5B00"/>
        </w:pBdr>
        <w:spacing w:before="120" w:after="200"/>
        <w:ind w:left="317"/>
      </w:pPr>
      <w:r>
        <w:rPr>
          <w:rFonts w:ascii="Inter" w:hAnsi="Inter" w:cs="Inter"/>
          <w:b w:val="0"/>
          <w:i w:val="0"/>
          <w:color w:val="5B5F77"/>
          <w:sz w:val="21"/>
        </w:rPr>
        <w:t xml:space="preserve">Enviar un único PDF con los documentos </w:t>
      </w:r>
      <w:r>
        <w:rPr>
          <w:rFonts w:ascii="Inter" w:hAnsi="Inter" w:cs="Inter"/>
          <w:b/>
          <w:i w:val="0"/>
          <w:color w:val="5B5F77"/>
          <w:sz w:val="21"/>
        </w:rPr>
        <w:t>en este orden</w:t>
      </w:r>
      <w:r>
        <w:rPr>
          <w:rFonts w:ascii="Inter" w:hAnsi="Inter" w:cs="Inter"/>
          <w:b w:val="0"/>
          <w:i w:val="0"/>
          <w:color w:val="5B5F77"/>
          <w:sz w:val="21"/>
        </w:rPr>
        <w:t>, con una portada que reproduzca esta tabla. La comisión debe poder ir del mérito al documento en un solo salto.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Código</w:t>
            </w:r>
          </w:p>
        </w:tc>
        <w:tc>
          <w:tcPr>
            <w:tcW w:type="dxa" w:w="2412"/>
            <w:shd w:val="clear" w:color="auto" w:fill="EEF2FD"/>
          </w:tcPr>
          <w:p>
            <w:pPr>
              <w:spacing w:after="40"/>
            </w:pPr>
            <w:r/>
            <w:r>
              <w:rPr>
                <w:rFonts w:ascii="Inter" w:hAnsi="Inter" w:cs="Inter"/>
                <w:b/>
                <w:i w:val="0"/>
                <w:color w:val="22307C"/>
                <w:sz w:val="19"/>
              </w:rPr>
              <w:t>Documento</w:t>
            </w:r>
          </w:p>
        </w:tc>
        <w:tc>
          <w:tcPr>
            <w:tcW w:type="dxa" w:w="2412"/>
            <w:shd w:val="clear" w:color="auto" w:fill="EEF2FD"/>
          </w:tcPr>
          <w:p>
            <w:pPr>
              <w:spacing w:after="40"/>
            </w:pPr>
            <w:r/>
            <w:r>
              <w:rPr>
                <w:rFonts w:ascii="Inter" w:hAnsi="Inter" w:cs="Inter"/>
                <w:b/>
                <w:i w:val="0"/>
                <w:color w:val="22307C"/>
                <w:sz w:val="19"/>
              </w:rPr>
              <w:t>Acredita</w:t>
            </w:r>
          </w:p>
        </w:tc>
        <w:tc>
          <w:tcPr>
            <w:tcW w:type="dxa" w:w="2412"/>
            <w:shd w:val="clear" w:color="auto" w:fill="EEF2FD"/>
          </w:tcPr>
          <w:p>
            <w:pPr>
              <w:spacing w:after="40"/>
            </w:pPr>
            <w:r/>
            <w:r>
              <w:rPr>
                <w:rFonts w:ascii="Inter" w:hAnsi="Inter" w:cs="Inter"/>
                <w:b/>
                <w:i w:val="0"/>
                <w:color w:val="22307C"/>
                <w:sz w:val="19"/>
              </w:rPr>
              <w:t>Estado</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Certificación académica personal UPV (nota media 9,4/10 + 2 MH)</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Título o resguardo del Máster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val="0"/>
                <w:i w:val="0"/>
                <w:color w:val="1C1E2E"/>
                <w:sz w:val="19"/>
              </w:rPr>
              <w:t>Certificación académica personal ULA con nota media</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Título de Licenciatura (ULA) + acta de grado con la distinción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Declaración de equivalencia de la nota media</w:t>
            </w:r>
            <w:r>
              <w:rPr>
                <w:rFonts w:ascii="Inter" w:hAnsi="Inter" w:cs="Inter"/>
                <w:b w:val="0"/>
                <w:i w:val="0"/>
                <w:color w:val="1C1E2E"/>
                <w:sz w:val="19"/>
              </w:rPr>
              <w:t xml:space="preserve"> — Secretaría General de Universidades · </w:t>
            </w:r>
            <w:r>
              <w:rPr>
                <w:rFonts w:ascii="Inter" w:hAnsi="Inter" w:cs="Inter"/>
                <w:b/>
                <w:i w:val="0"/>
                <w:color w:val="1C1E2E"/>
                <w:sz w:val="19"/>
              </w:rPr>
              <w:t>9,07/10</w:t>
            </w:r>
            <w:r>
              <w:rPr>
                <w:rFonts w:ascii="Inter" w:hAnsi="Inter" w:cs="Inter"/>
                <w:b w:val="0"/>
                <w:i w:val="0"/>
                <w:color w:val="1C1E2E"/>
                <w:sz w:val="19"/>
              </w:rPr>
              <w:t xml:space="preserve"> · CSV ⟨CSV en la copia entregada a la comisión⟩</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(1.º de 56) + certificación rectoral n.º ⟨n.º en la copia entregada a la comisión⟩ + </w:t>
            </w:r>
            <w:r>
              <w:rPr>
                <w:rFonts w:ascii="Inter" w:hAnsi="Inter" w:cs="Inter"/>
                <w:b/>
                <w:i w:val="0"/>
                <w:color w:val="1C1E2E"/>
                <w:sz w:val="19"/>
              </w:rPr>
              <w:t>Apostilla ⟨n.º en la copia entregada a la comisión⟩</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de Honor</w:t>
            </w:r>
            <w:r>
              <w:rPr>
                <w:rFonts w:ascii="Inter" w:hAnsi="Inter" w:cs="Inter"/>
                <w:b w:val="0"/>
                <w:i w:val="0"/>
                <w:color w:val="1C1E2E"/>
                <w:sz w:val="19"/>
              </w:rPr>
              <w:t xml:space="preserve"> del Trabajo Especial de Grado — 20/20 Sobresaliente, Rector de la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Resolución del Premio Extraordinario de Máster </w:t>
            </w:r>
            <w:r>
              <w:rPr>
                <w:rFonts w:ascii="Inter" w:hAnsi="Inter" w:cs="Inter"/>
                <w:b w:val="0"/>
                <w:i/>
                <w:color w:val="1C1E2E"/>
                <w:sz w:val="19"/>
              </w:rPr>
              <w:t>(solo si la UPV lo resolviera; hoy no procede)</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Certificado C1 Advanced (CAE)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Certificado CELTA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Acreditación de examinadora DELE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Credencial de la </w:t>
            </w:r>
            <w:r>
              <w:rPr>
                <w:rFonts w:ascii="Inter" w:hAnsi="Inter" w:cs="Inter"/>
                <w:b/>
                <w:i w:val="0"/>
                <w:color w:val="1C1E2E"/>
                <w:sz w:val="19"/>
              </w:rPr>
              <w:t>Beca de Excelencia Académica</w:t>
            </w:r>
            <w:r>
              <w:rPr>
                <w:rFonts w:ascii="Inter" w:hAnsi="Inter" w:cs="Inter"/>
                <w:b w:val="0"/>
                <w:i w:val="0"/>
                <w:color w:val="1C1E2E"/>
                <w:sz w:val="19"/>
              </w:rPr>
              <w:t xml:space="preserve"> (ULA, grado)</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 xml:space="preserve">Resolución de concesión de la </w:t>
            </w:r>
            <w:r>
              <w:rPr>
                <w:rFonts w:ascii="Inter" w:hAnsi="Inter" w:cs="Inter"/>
                <w:b/>
                <w:i w:val="0"/>
                <w:color w:val="1C1E2E"/>
                <w:sz w:val="19"/>
              </w:rPr>
              <w:t>beca del Ministerio</w:t>
            </w:r>
            <w:r>
              <w:rPr>
                <w:rFonts w:ascii="Inter" w:hAnsi="Inter" w:cs="Inter"/>
                <w:b w:val="0"/>
                <w:i w:val="0"/>
                <w:color w:val="1C1E2E"/>
                <w:sz w:val="19"/>
              </w:rPr>
              <w:t xml:space="preserve"> (máster UPV)</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portada + página de agradecimientos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Evidencia de la calificación 10/10 de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Certificados de servicio docente — UDO Núcleo Nueva Esparta (2005–2015), </w:t>
            </w:r>
            <w:r>
              <w:rPr>
                <w:rFonts w:ascii="Inter" w:hAnsi="Inter" w:cs="Inter"/>
                <w:b/>
                <w:i w:val="0"/>
                <w:color w:val="1C1E2E"/>
                <w:sz w:val="19"/>
              </w:rPr>
              <w:t>1.568 h acreditadas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Vida laboral / certificado de actividad profesional en España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Acreditación de tutoría en AVE Global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primera y última página + carta de aceptación tras arbitraje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Certificado UC Irvine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Certificado University of Cambridge (PCE)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Certificado AP Stylebook</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Certificado SEPE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II Congreso Internacional de Educación Superior</w:t>
            </w:r>
            <w:r>
              <w:rPr>
                <w:rFonts w:ascii="Inter" w:hAnsi="Inter" w:cs="Inter"/>
                <w:b w:val="0"/>
                <w:i w:val="0"/>
                <w:color w:val="1C1E2E"/>
                <w:sz w:val="19"/>
              </w:rPr>
              <w:t xml:space="preserve"> (Cumaná, 2008) — carta de aceptación de la ponencia,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bl>
    <w:p/>
    <w:p>
      <w:pPr>
        <w:pBdr>
          <w:bottom w:val="single" w:sz="6" w:space="1" w:color="E6E8F2"/>
        </w:pBdr>
      </w:pPr>
    </w:p>
    <w:p>
      <w:pPr>
        <w:spacing w:before="320" w:after="120"/>
      </w:pPr>
      <w:r>
        <w:rPr>
          <w:rFonts w:ascii="Fraunces" w:hAnsi="Fraunces" w:cs="Fraunces"/>
          <w:b/>
          <w:i w:val="0"/>
          <w:color w:val="22307C"/>
          <w:sz w:val="32"/>
        </w:rPr>
        <w:t>Lista de verificación antes de enviar</w:t>
      </w:r>
    </w:p>
    <w:p>
      <w:r>
        <w:rPr>
          <w:rFonts w:ascii="Inter" w:hAnsi="Inter" w:cs="Inter"/>
          <w:b/>
          <w:i w:val="0"/>
          <w:color w:val="1C1E2E"/>
          <w:sz w:val="22"/>
        </w:rPr>
        <w:t>Resuelto con la documentación ya aportada:</w:t>
      </w:r>
    </w:p>
    <w:p>
      <w:pPr>
        <w:pStyle w:val="ListBullet"/>
        <w:spacing w:after="60"/>
        <w:ind w:left="403"/>
      </w:pPr>
      <w:r>
        <w:rPr>
          <w:rFonts w:ascii="Inter" w:hAnsi="Inter" w:cs="Inter"/>
          <w:b w:val="0"/>
          <w:i w:val="0"/>
          <w:color w:val="1C1E2E"/>
          <w:sz w:val="22"/>
        </w:rPr>
        <w:t xml:space="preserve">☑ Nota media de la licenciatura en escala 0–10 → </w:t>
      </w:r>
      <w:r>
        <w:rPr>
          <w:rFonts w:ascii="Inter" w:hAnsi="Inter" w:cs="Inter"/>
          <w:b/>
          <w:i w:val="0"/>
          <w:color w:val="1C1E2E"/>
          <w:sz w:val="22"/>
        </w:rPr>
        <w:t>9,07</w:t>
      </w:r>
      <w:r>
        <w:rPr>
          <w:rFonts w:ascii="Inter" w:hAnsi="Inter" w:cs="Inter"/>
          <w:b w:val="0"/>
          <w:i w:val="0"/>
          <w:color w:val="1C1E2E"/>
          <w:sz w:val="22"/>
        </w:rPr>
        <w:t>, certificada por la Administración española (DOC-05).</w:t>
      </w:r>
    </w:p>
    <w:p>
      <w:pPr>
        <w:pStyle w:val="ListBullet"/>
        <w:spacing w:after="60"/>
        <w:ind w:left="403"/>
      </w:pPr>
      <w:r>
        <w:rPr>
          <w:rFonts w:ascii="Inter" w:hAnsi="Inter" w:cs="Inter"/>
          <w:b w:val="0"/>
          <w:i w:val="0"/>
          <w:color w:val="1C1E2E"/>
          <w:sz w:val="22"/>
        </w:rPr>
        <w:t xml:space="preserve">☑ Premio extraordinario de grado → </w:t>
      </w:r>
      <w:r>
        <w:rPr>
          <w:rFonts w:ascii="Inter" w:hAnsi="Inter" w:cs="Inter"/>
          <w:b/>
          <w:i w:val="0"/>
          <w:color w:val="1C1E2E"/>
          <w:sz w:val="22"/>
        </w:rPr>
        <w:t>1.º de 56</w:t>
      </w:r>
      <w:r>
        <w:rPr>
          <w:rFonts w:ascii="Inter" w:hAnsi="Inter" w:cs="Inter"/>
          <w:b w:val="0"/>
          <w:i w:val="0"/>
          <w:color w:val="1C1E2E"/>
          <w:sz w:val="22"/>
        </w:rPr>
        <w:t>, constancia apostillada (DOC-06).</w:t>
      </w:r>
    </w:p>
    <w:p>
      <w:pPr>
        <w:pStyle w:val="ListBullet"/>
        <w:spacing w:after="60"/>
        <w:ind w:left="403"/>
      </w:pPr>
      <w:r>
        <w:rPr>
          <w:rFonts w:ascii="Inter" w:hAnsi="Inter" w:cs="Inter"/>
          <w:b w:val="0"/>
          <w:i w:val="0"/>
          <w:color w:val="1C1E2E"/>
          <w:sz w:val="22"/>
        </w:rPr>
        <w:t>☑ Estado del Premio Extraordinario de Máster → no procede; se declaran las 2 Matrículas de Honor.</w:t>
      </w:r>
    </w:p>
    <w:p>
      <w:pPr>
        <w:pStyle w:val="ListBullet"/>
        <w:spacing w:after="60"/>
        <w:ind w:left="403"/>
      </w:pPr>
      <w:r>
        <w:rPr>
          <w:rFonts w:ascii="Inter" w:hAnsi="Inter" w:cs="Inter"/>
          <w:b w:val="0"/>
          <w:i w:val="0"/>
          <w:color w:val="1C1E2E"/>
          <w:sz w:val="22"/>
        </w:rPr>
        <w:t xml:space="preserve">☑ Datos completos de la publicación → </w:t>
      </w:r>
      <w:r>
        <w:rPr>
          <w:rFonts w:ascii="Inter" w:hAnsi="Inter" w:cs="Inter"/>
          <w:b w:val="0"/>
          <w:i/>
          <w:color w:val="1C1E2E"/>
          <w:sz w:val="22"/>
        </w:rPr>
        <w:t>Kaleidoscopio</w:t>
      </w:r>
      <w:r>
        <w:rPr>
          <w:rFonts w:ascii="Inter" w:hAnsi="Inter" w:cs="Inter"/>
          <w:b w:val="0"/>
          <w:i w:val="0"/>
          <w:color w:val="1C1E2E"/>
          <w:sz w:val="22"/>
        </w:rPr>
        <w:t xml:space="preserve"> 2(3), 51–56, 2005, con carta de arbitraje y ponencia en congreso internacional (DOC-19, DOC-24).</w:t>
      </w:r>
    </w:p>
    <w:p>
      <w:r>
        <w:rPr>
          <w:rFonts w:ascii="Inter" w:hAnsi="Inter" w:cs="Inter"/>
          <w:b/>
          <w:i w:val="0"/>
          <w:color w:val="1C1E2E"/>
          <w:sz w:val="22"/>
        </w:rPr>
        <w:t>Pendiente:</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Comprobación de nivel del título extranjero</w:t>
      </w:r>
      <w:r>
        <w:rPr>
          <w:rFonts w:ascii="Inter" w:hAnsi="Inter" w:cs="Inter"/>
          <w:b w:val="0"/>
          <w:i w:val="0"/>
          <w:color w:val="1C1E2E"/>
          <w:sz w:val="22"/>
        </w:rPr>
        <w:t xml:space="preserve"> ante la Escuela de Doctorado de la UPV (art. 6 RD 99/2011). Es un requisito de </w:t>
      </w:r>
      <w:r>
        <w:rPr>
          <w:rFonts w:ascii="Inter" w:hAnsi="Inter" w:cs="Inter"/>
          <w:b w:val="0"/>
          <w:i/>
          <w:color w:val="1C1E2E"/>
          <w:sz w:val="22"/>
        </w:rPr>
        <w:t>admisibilidad</w:t>
      </w:r>
      <w:r>
        <w:rPr>
          <w:rFonts w:ascii="Inter" w:hAnsi="Inter" w:cs="Inter"/>
          <w:b w:val="0"/>
          <w:i w:val="0"/>
          <w:color w:val="1C1E2E"/>
          <w:sz w:val="22"/>
        </w:rPr>
        <w:t xml:space="preserve">, no de puntuación, y es lo que puede bloquear la solicitud aunque el baremo salga alto. </w:t>
      </w:r>
      <w:r>
        <w:rPr>
          <w:rFonts w:ascii="Inter" w:hAnsi="Inter" w:cs="Inter"/>
          <w:b/>
          <w:i w:val="0"/>
          <w:color w:val="1C1E2E"/>
          <w:sz w:val="22"/>
        </w:rPr>
        <w:t>Iniciarlo ya.</w:t>
      </w:r>
    </w:p>
    <w:p>
      <w:pPr>
        <w:pStyle w:val="ListBullet"/>
        <w:spacing w:after="60"/>
        <w:ind w:left="403"/>
      </w:pPr>
      <w:r>
        <w:rPr>
          <w:rFonts w:ascii="Inter" w:hAnsi="Inter" w:cs="Inter"/>
          <w:b w:val="0"/>
          <w:i w:val="0"/>
          <w:color w:val="1C1E2E"/>
          <w:sz w:val="22"/>
        </w:rPr>
        <w:t xml:space="preserve">☐ Consultar a la comisión si el </w:t>
      </w:r>
      <w:r>
        <w:rPr>
          <w:rFonts w:ascii="Inter" w:hAnsi="Inter" w:cs="Inter"/>
          <w:b/>
          <w:i w:val="0"/>
          <w:color w:val="1C1E2E"/>
          <w:sz w:val="22"/>
        </w:rPr>
        <w:t>inglés computa</w:t>
      </w:r>
      <w:r>
        <w:rPr>
          <w:rFonts w:ascii="Inter" w:hAnsi="Inter" w:cs="Inter"/>
          <w:b w:val="0"/>
          <w:i w:val="0"/>
          <w:color w:val="1C1E2E"/>
          <w:sz w:val="22"/>
        </w:rPr>
        <w:t xml:space="preserve"> en el apartado de idiomas → §B.4.</w:t>
      </w:r>
    </w:p>
    <w:p>
      <w:pPr>
        <w:pStyle w:val="ListBullet"/>
        <w:spacing w:after="60"/>
        <w:ind w:left="403"/>
      </w:pPr>
      <w:r>
        <w:rPr>
          <w:rFonts w:ascii="Inter" w:hAnsi="Inter" w:cs="Inter"/>
          <w:b w:val="0"/>
          <w:i w:val="0"/>
          <w:color w:val="1C1E2E"/>
          <w:sz w:val="22"/>
        </w:rPr>
        <w:t xml:space="preserve">☐ Completar el </w:t>
      </w:r>
      <w:r>
        <w:rPr>
          <w:rFonts w:ascii="Inter" w:hAnsi="Inter" w:cs="Inter"/>
          <w:b/>
          <w:i w:val="0"/>
          <w:color w:val="1C1E2E"/>
          <w:sz w:val="22"/>
        </w:rPr>
        <w:t>curso académico</w:t>
      </w:r>
      <w:r>
        <w:rPr>
          <w:rFonts w:ascii="Inter" w:hAnsi="Inter" w:cs="Inter"/>
          <w:b w:val="0"/>
          <w:i w:val="0"/>
          <w:color w:val="1C1E2E"/>
          <w:sz w:val="22"/>
        </w:rPr>
        <w:t xml:space="preserve"> y la </w:t>
      </w:r>
      <w:r>
        <w:rPr>
          <w:rFonts w:ascii="Inter" w:hAnsi="Inter" w:cs="Inter"/>
          <w:b/>
          <w:i w:val="0"/>
          <w:color w:val="1C1E2E"/>
          <w:sz w:val="22"/>
        </w:rPr>
        <w:t>denominación oficial</w:t>
      </w:r>
      <w:r>
        <w:rPr>
          <w:rFonts w:ascii="Inter" w:hAnsi="Inter" w:cs="Inter"/>
          <w:b w:val="0"/>
          <w:i w:val="0"/>
          <w:color w:val="1C1E2E"/>
          <w:sz w:val="22"/>
        </w:rPr>
        <w:t xml:space="preserve"> de las dos becas y localizar sus resoluciones → §B.5.</w:t>
      </w:r>
    </w:p>
    <w:p>
      <w:pPr>
        <w:pStyle w:val="ListBullet"/>
        <w:spacing w:after="60"/>
        <w:ind w:left="403"/>
      </w:pPr>
      <w:r>
        <w:rPr>
          <w:rFonts w:ascii="Inter" w:hAnsi="Inter" w:cs="Inter"/>
          <w:b w:val="0"/>
          <w:i w:val="0"/>
          <w:color w:val="1C1E2E"/>
          <w:sz w:val="22"/>
        </w:rPr>
        <w:t>☐ Reunir el resto de certificados (DOC-01 a DOC-04, DOC-09 a DOC-18, DOC-20 a DOC-23).</w:t>
      </w:r>
    </w:p>
    <w:p>
      <w:pPr>
        <w:pStyle w:val="ListBullet"/>
        <w:spacing w:after="60"/>
        <w:ind w:left="403"/>
      </w:pPr>
      <w:r>
        <w:rPr>
          <w:rFonts w:ascii="Inter" w:hAnsi="Inter" w:cs="Inter"/>
          <w:b w:val="0"/>
          <w:i w:val="0"/>
          <w:color w:val="1C1E2E"/>
          <w:sz w:val="22"/>
        </w:rPr>
        <w:t xml:space="preserve">☐ Escanear todo en un </w:t>
      </w:r>
      <w:r>
        <w:rPr>
          <w:rFonts w:ascii="Inter" w:hAnsi="Inter" w:cs="Inter"/>
          <w:b/>
          <w:i w:val="0"/>
          <w:color w:val="1C1E2E"/>
          <w:sz w:val="22"/>
        </w:rPr>
        <w:t>PDF único</w:t>
      </w:r>
      <w:r>
        <w:rPr>
          <w:rFonts w:ascii="Inter" w:hAnsi="Inter" w:cs="Inter"/>
          <w:b w:val="0"/>
          <w:i w:val="0"/>
          <w:color w:val="1C1E2E"/>
          <w:sz w:val="22"/>
        </w:rPr>
        <w:t>, en el orden del Anexo §8, con portada-índice.</w:t>
      </w:r>
    </w:p>
    <w:p>
      <w:pPr>
        <w:pStyle w:val="ListBullet"/>
        <w:spacing w:after="60"/>
        <w:ind w:left="403"/>
      </w:pPr>
      <w:r>
        <w:rPr>
          <w:rFonts w:ascii="Inter" w:hAnsi="Inter" w:cs="Inter"/>
          <w:b w:val="0"/>
          <w:i w:val="0"/>
          <w:color w:val="1C1E2E"/>
          <w:sz w:val="22"/>
        </w:rPr>
        <w:t xml:space="preserve">☐ Adjuntar la </w:t>
      </w:r>
      <w:r>
        <w:rPr>
          <w:rFonts w:ascii="Inter" w:hAnsi="Inter" w:cs="Inter"/>
          <w:b/>
          <w:i w:val="0"/>
          <w:color w:val="1C1E2E"/>
          <w:sz w:val="22"/>
        </w:rPr>
        <w:t>propuesta de tesis MLLDE</w:t>
      </w:r>
      <w:r>
        <w:rPr>
          <w:rFonts w:ascii="Inter" w:hAnsi="Inter" w:cs="Inter"/>
          <w:b w:val="0"/>
          <w:i w:val="0"/>
          <w:color w:val="1C1E2E"/>
          <w:sz w:val="22"/>
        </w:rPr>
        <w:t xml:space="preserve"> (documento independiente,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Documento elaborado con asistencia de IA (Claude Code, Anthropic) bajo supervisión y verificación humana; todos los datos proceden del perfil profesional verificado de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