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CURRICULUM VITAE — PhD ADMISSION</w:t>
      </w:r>
    </w:p>
    <w:p>
      <w:pPr>
        <w:spacing w:before="320" w:after="120"/>
      </w:pPr>
      <w:r>
        <w:rPr>
          <w:rFonts w:ascii="Fraunces" w:hAnsi="Fraunces" w:cs="Fraunces"/>
          <w:b/>
          <w:i w:val="0"/>
          <w:color w:val="22307C"/>
          <w:sz w:val="32"/>
        </w:rPr>
        <w:t>Ana Eslava-Graterol</w:t>
      </w:r>
    </w:p>
    <w:p>
      <w:r>
        <w:rPr>
          <w:rFonts w:ascii="Inter" w:hAnsi="Inter" w:cs="Inter"/>
          <w:b/>
          <w:i w:val="0"/>
          <w:color w:val="1C1E2E"/>
          <w:sz w:val="22"/>
        </w:rPr>
        <w:t>Programme applied for:</w:t>
      </w:r>
      <w:r>
        <w:rPr>
          <w:rFonts w:ascii="Inter" w:hAnsi="Inter" w:cs="Inter"/>
          <w:b w:val="0"/>
          <w:i w:val="0"/>
          <w:color w:val="1C1E2E"/>
          <w:sz w:val="22"/>
        </w:rPr>
        <w:t xml:space="preserve"> PhD Programme — Applied Linguistics</w:t>
      </w:r>
    </w:p>
    <w:p>
      <w:r>
        <w:rPr>
          <w:rFonts w:ascii="Inter" w:hAnsi="Inter" w:cs="Inter"/>
          <w:b/>
          <w:i w:val="0"/>
          <w:color w:val="1C1E2E"/>
          <w:sz w:val="22"/>
        </w:rPr>
        <w:t>Department of Applied Linguistics · Universitat Politècnica de València (UPV), Spain</w:t>
      </w:r>
    </w:p>
    <w:p>
      <w:r>
        <w:rPr>
          <w:rFonts w:ascii="Inter" w:hAnsi="Inter" w:cs="Inter"/>
          <w:b/>
          <w:i w:val="0"/>
          <w:color w:val="1C1E2E"/>
          <w:sz w:val="22"/>
        </w:rPr>
        <w:t>Research line:</w:t>
      </w:r>
      <w:r>
        <w:rPr>
          <w:rFonts w:ascii="Inter" w:hAnsi="Inter" w:cs="Inter"/>
          <w:b w:val="0"/>
          <w:i w:val="0"/>
          <w:color w:val="1C1E2E"/>
          <w:sz w:val="22"/>
        </w:rPr>
        <w:t xml:space="preserve"> Language technologies and instructional design for language learning</w:t>
      </w:r>
    </w:p>
    <w:p>
      <w:r>
        <w:rPr>
          <w:rFonts w:ascii="Inter" w:hAnsi="Inter" w:cs="Inter"/>
          <w:b/>
          <w:i w:val="0"/>
          <w:color w:val="1C1E2E"/>
          <w:sz w:val="22"/>
        </w:rPr>
        <w:t>Thesis proposal:</w:t>
      </w:r>
      <w:r>
        <w:rPr>
          <w:rFonts w:ascii="Inter" w:hAnsi="Inter" w:cs="Inter"/>
          <w:b w:val="0"/>
          <w:i w:val="0"/>
          <w:color w:val="1C1E2E"/>
          <w:sz w:val="22"/>
        </w:rPr>
        <w:t xml:space="preserve"> </w:t>
      </w:r>
      <w:r>
        <w:rPr>
          <w:rFonts w:ascii="Inter" w:hAnsi="Inter" w:cs="Inter"/>
          <w:b w:val="0"/>
          <w:i/>
          <w:color w:val="1C1E2E"/>
          <w:sz w:val="22"/>
        </w:rPr>
        <w:t>MLLDE — Mobile Language Learning Design Environment: a method for integrating LLM tutors and AI literacy into CEFR curriculum design</w:t>
      </w:r>
    </w:p>
    <w:p>
      <w:pPr>
        <w:pBdr>
          <w:left w:val="single" w:sz="18" w:space="8" w:color="9A5B00"/>
        </w:pBdr>
        <w:spacing w:before="120" w:after="200"/>
        <w:ind w:left="317"/>
      </w:pPr>
      <w:r>
        <w:rPr>
          <w:rFonts w:ascii="Inter" w:hAnsi="Inter" w:cs="Inter"/>
          <w:b/>
          <w:i w:val="0"/>
          <w:color w:val="5B5F77"/>
          <w:sz w:val="21"/>
        </w:rPr>
        <w:t>Note on structure.</w:t>
      </w:r>
      <w:r>
        <w:rPr>
          <w:rFonts w:ascii="Inter" w:hAnsi="Inter" w:cs="Inter"/>
          <w:b w:val="0"/>
          <w:i w:val="0"/>
          <w:color w:val="5B5F77"/>
          <w:sz w:val="21"/>
        </w:rPr>
        <w:t xml:space="preserve"> This CV is organised </w:t>
      </w:r>
      <w:r>
        <w:rPr>
          <w:rFonts w:ascii="Inter" w:hAnsi="Inter" w:cs="Inter"/>
          <w:b/>
          <w:i w:val="0"/>
          <w:color w:val="5B5F77"/>
          <w:sz w:val="21"/>
        </w:rPr>
        <w:t>exactly according to the call's scoring rubric</w:t>
      </w:r>
      <w:r>
        <w:rPr>
          <w:rFonts w:ascii="Inter" w:hAnsi="Inter" w:cs="Inter"/>
          <w:b w:val="0"/>
          <w:i w:val="0"/>
          <w:color w:val="5B5F77"/>
          <w:sz w:val="21"/>
        </w:rPr>
        <w:t xml:space="preserve"> (Academic record 70% + Other merits 30%, six merits worth 5% each), so the admissions committee can score each item without searching for the information. Every merit points to its supporting document through a </w:t>
      </w:r>
      <w:r>
        <w:rPr>
          <w:rFonts w:ascii="Inter" w:hAnsi="Inter" w:cs="Inter"/>
          <w:b/>
          <w:i w:val="0"/>
          <w:color w:val="5B5F77"/>
          <w:sz w:val="21"/>
        </w:rPr>
        <w:t>[DOC-nn]</w:t>
      </w:r>
      <w:r>
        <w:rPr>
          <w:rFonts w:ascii="Inter" w:hAnsi="Inter" w:cs="Inter"/>
          <w:b w:val="0"/>
          <w:i w:val="0"/>
          <w:color w:val="5B5F77"/>
          <w:sz w:val="21"/>
        </w:rPr>
        <w:t xml:space="preserve"> code matching the index in the Annex (§8) and the order of the evidence PDF.</w:t>
      </w:r>
    </w:p>
    <w:p>
      <w:pPr>
        <w:pBdr>
          <w:bottom w:val="single" w:sz="6" w:space="1" w:color="E6E8F2"/>
        </w:pBdr>
      </w:pPr>
    </w:p>
    <w:p>
      <w:pPr>
        <w:spacing w:before="320" w:after="120"/>
      </w:pPr>
      <w:r>
        <w:rPr>
          <w:rFonts w:ascii="Fraunces" w:hAnsi="Fraunces" w:cs="Fraunces"/>
          <w:b/>
          <w:i w:val="0"/>
          <w:color w:val="22307C"/>
          <w:sz w:val="32"/>
        </w:rPr>
        <w:t>0. Identification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Field</w:t>
            </w:r>
          </w:p>
        </w:tc>
        <w:tc>
          <w:tcPr>
            <w:tcW w:type="dxa" w:w="4824"/>
            <w:shd w:val="clear" w:color="auto" w:fill="EEF2FD"/>
          </w:tcPr>
          <w:p>
            <w:pPr>
              <w:spacing w:after="40"/>
            </w:pPr>
            <w:r/>
            <w:r>
              <w:rPr>
                <w:rFonts w:ascii="Inter" w:hAnsi="Inter" w:cs="Inter"/>
                <w:b/>
                <w:i w:val="0"/>
                <w:color w:val="22307C"/>
                <w:sz w:val="19"/>
              </w:rPr>
              <w:t>Detail</w:t>
            </w:r>
          </w:p>
        </w:tc>
      </w:tr>
      <w:tr>
        <w:tc>
          <w:tcPr>
            <w:tcW w:type="dxa" w:w="4824"/>
          </w:tcPr>
          <w:p>
            <w:pPr>
              <w:spacing w:after="40"/>
            </w:pPr>
            <w:r/>
            <w:r>
              <w:rPr>
                <w:rFonts w:ascii="Inter" w:hAnsi="Inter" w:cs="Inter"/>
                <w:b w:val="0"/>
                <w:i w:val="0"/>
                <w:color w:val="1C1E2E"/>
                <w:sz w:val="19"/>
              </w:rPr>
              <w:t>Full name</w:t>
            </w:r>
          </w:p>
        </w:tc>
        <w:tc>
          <w:tcPr>
            <w:tcW w:type="dxa" w:w="4824"/>
          </w:tcPr>
          <w:p>
            <w:pPr>
              <w:spacing w:after="40"/>
            </w:pPr>
            <w:r/>
            <w:r>
              <w:rPr>
                <w:rFonts w:ascii="Inter" w:hAnsi="Inter" w:cs="Inter"/>
                <w:b/>
                <w:i w:val="0"/>
                <w:color w:val="1C1E2E"/>
                <w:sz w:val="19"/>
              </w:rPr>
              <w:t>Ana Zoraimy Eslava Graterol</w:t>
            </w:r>
          </w:p>
        </w:tc>
      </w:tr>
      <w:tr>
        <w:tc>
          <w:tcPr>
            <w:tcW w:type="dxa" w:w="4824"/>
          </w:tcPr>
          <w:p>
            <w:pPr>
              <w:spacing w:after="40"/>
            </w:pPr>
            <w:r/>
            <w:r>
              <w:rPr>
                <w:rFonts w:ascii="Inter" w:hAnsi="Inter" w:cs="Inter"/>
                <w:b w:val="0"/>
                <w:i w:val="0"/>
                <w:color w:val="1C1E2E"/>
                <w:sz w:val="19"/>
              </w:rPr>
              <w:t>Email</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val="0"/>
                <w:i w:val="0"/>
                <w:color w:val="1C1E2E"/>
                <w:sz w:val="19"/>
              </w:rPr>
              <w:t>Location</w:t>
            </w:r>
          </w:p>
        </w:tc>
        <w:tc>
          <w:tcPr>
            <w:tcW w:type="dxa" w:w="4824"/>
          </w:tcPr>
          <w:p>
            <w:pPr>
              <w:spacing w:after="40"/>
            </w:pPr>
            <w:r/>
            <w:r>
              <w:rPr>
                <w:rFonts w:ascii="Inter" w:hAnsi="Inter" w:cs="Inter"/>
                <w:b w:val="0"/>
                <w:i w:val="0"/>
                <w:color w:val="1C1E2E"/>
                <w:sz w:val="19"/>
              </w:rPr>
              <w:t>Valencia, Spain (immediate availability)</w:t>
            </w:r>
          </w:p>
        </w:tc>
      </w:tr>
      <w:tr>
        <w:tc>
          <w:tcPr>
            <w:tcW w:type="dxa" w:w="4824"/>
          </w:tcPr>
          <w:p>
            <w:pPr>
              <w:spacing w:after="40"/>
            </w:pPr>
            <w:r/>
            <w:r>
              <w:rPr>
                <w:rFonts w:ascii="Inter" w:hAnsi="Inter" w:cs="Inter"/>
                <w:b w:val="0"/>
                <w:i w:val="0"/>
                <w:color w:val="1C1E2E"/>
                <w:sz w:val="19"/>
              </w:rPr>
              <w:t>LinkedIn</w:t>
            </w:r>
          </w:p>
        </w:tc>
        <w:tc>
          <w:tcPr>
            <w:tcW w:type="dxa" w:w="4824"/>
          </w:tcPr>
          <w:p>
            <w:pPr>
              <w:spacing w:after="40"/>
            </w:pPr>
            <w:r/>
            <w:r>
              <w:rPr>
                <w:rFonts w:ascii="Inter" w:hAnsi="Inter" w:cs="Inter"/>
                <w:b w:val="0"/>
                <w:i w:val="0"/>
                <w:color w:val="1C1E2E"/>
                <w:sz w:val="19"/>
              </w:rPr>
              <w:t>https://www.linkedin.com/in/anaeslava</w:t>
            </w:r>
          </w:p>
        </w:tc>
      </w:tr>
      <w:tr>
        <w:tc>
          <w:tcPr>
            <w:tcW w:type="dxa" w:w="4824"/>
          </w:tcPr>
          <w:p>
            <w:pPr>
              <w:spacing w:after="40"/>
            </w:pPr>
            <w:r/>
            <w:r>
              <w:rPr>
                <w:rFonts w:ascii="Inter" w:hAnsi="Inter" w:cs="Inter"/>
                <w:b w:val="0"/>
                <w:i w:val="0"/>
                <w:color w:val="1C1E2E"/>
                <w:sz w:val="19"/>
              </w:rPr>
              <w:t>EdTech portfolio (6 areas)</w:t>
            </w:r>
          </w:p>
        </w:tc>
        <w:tc>
          <w:tcPr>
            <w:tcW w:type="dxa" w:w="4824"/>
          </w:tcPr>
          <w:p>
            <w:pPr>
              <w:spacing w:after="40"/>
            </w:pPr>
            <w:r/>
            <w:r>
              <w:rPr>
                <w:rFonts w:ascii="Inter" w:hAnsi="Inter" w:cs="Inter"/>
                <w:b w:val="0"/>
                <w:i w:val="0"/>
                <w:color w:val="1C1E2E"/>
                <w:sz w:val="19"/>
              </w:rPr>
              <w:t>https://profeanaeslavaedtech.github.io/eLearningportfolio/</w:t>
            </w:r>
          </w:p>
        </w:tc>
      </w:tr>
      <w:tr>
        <w:tc>
          <w:tcPr>
            <w:tcW w:type="dxa" w:w="4824"/>
          </w:tcPr>
          <w:p>
            <w:pPr>
              <w:spacing w:after="40"/>
            </w:pPr>
            <w:r/>
            <w:r>
              <w:rPr>
                <w:rFonts w:ascii="Inter" w:hAnsi="Inter" w:cs="Inter"/>
                <w:b w:val="0"/>
                <w:i w:val="0"/>
                <w:color w:val="1C1E2E"/>
                <w:sz w:val="19"/>
              </w:rPr>
              <w:t>Research &amp; ID portfolio</w:t>
            </w:r>
          </w:p>
        </w:tc>
        <w:tc>
          <w:tcPr>
            <w:tcW w:type="dxa" w:w="4824"/>
          </w:tcPr>
          <w:p>
            <w:pPr>
              <w:spacing w:after="40"/>
            </w:pPr>
            <w:r/>
            <w:r>
              <w:rPr>
                <w:rFonts w:ascii="Inter" w:hAnsi="Inter" w:cs="Inter"/>
                <w:b w:val="0"/>
                <w:i w:val="0"/>
                <w:color w:val="1C1E2E"/>
                <w:sz w:val="19"/>
              </w:rPr>
              <w:t>https://profeanaeslavaedtech.github.io/portofolio/</w:t>
            </w:r>
          </w:p>
        </w:tc>
      </w:tr>
      <w:tr>
        <w:tc>
          <w:tcPr>
            <w:tcW w:type="dxa" w:w="4824"/>
          </w:tcPr>
          <w:p>
            <w:pPr>
              <w:spacing w:after="40"/>
            </w:pPr>
            <w:r/>
            <w:r>
              <w:rPr>
                <w:rFonts w:ascii="Inter" w:hAnsi="Inter" w:cs="Inter"/>
                <w:b w:val="0"/>
                <w:i w:val="0"/>
                <w:color w:val="1C1E2E"/>
                <w:sz w:val="19"/>
              </w:rPr>
              <w:t>Professional site</w:t>
            </w:r>
          </w:p>
        </w:tc>
        <w:tc>
          <w:tcPr>
            <w:tcW w:type="dxa" w:w="4824"/>
          </w:tcPr>
          <w:p>
            <w:pPr>
              <w:spacing w:after="40"/>
            </w:pPr>
            <w:r/>
            <w:r>
              <w:rPr>
                <w:rFonts w:ascii="Inter" w:hAnsi="Inter" w:cs="Inter"/>
                <w:b w:val="0"/>
                <w:i w:val="0"/>
                <w:color w:val="1C1E2E"/>
                <w:sz w:val="19"/>
              </w:rPr>
              <w:t>https://www.profeanaeslava.com</w:t>
            </w:r>
          </w:p>
        </w:tc>
      </w:tr>
      <w:tr>
        <w:tc>
          <w:tcPr>
            <w:tcW w:type="dxa" w:w="4824"/>
          </w:tcPr>
          <w:p>
            <w:pPr>
              <w:spacing w:after="40"/>
            </w:pPr>
            <w:r/>
            <w:r>
              <w:rPr>
                <w:rFonts w:ascii="Inter" w:hAnsi="Inter" w:cs="Inter"/>
                <w:b w:val="0"/>
                <w:i w:val="0"/>
                <w:color w:val="1C1E2E"/>
                <w:sz w:val="19"/>
              </w:rPr>
              <w:t>Supporting documents</w:t>
            </w:r>
          </w:p>
        </w:tc>
        <w:tc>
          <w:tcPr>
            <w:tcW w:type="dxa" w:w="4824"/>
          </w:tcPr>
          <w:p>
            <w:pPr>
              <w:spacing w:after="40"/>
            </w:pPr>
            <w:r/>
            <w:r>
              <w:rPr>
                <w:rFonts w:ascii="Inter" w:hAnsi="Inter" w:cs="Inter"/>
                <w:b w:val="0"/>
                <w:i w:val="0"/>
                <w:color w:val="1C1E2E"/>
                <w:sz w:val="19"/>
              </w:rPr>
              <w:t>Annex §8 — one PDF per merit, numbered [DOC-01]…[DOC-nn]</w:t>
            </w:r>
          </w:p>
        </w:tc>
      </w:tr>
    </w:tbl>
    <w:p/>
    <w:p>
      <w:pPr>
        <w:pBdr>
          <w:bottom w:val="single" w:sz="6" w:space="1" w:color="E6E8F2"/>
        </w:pBdr>
      </w:pPr>
    </w:p>
    <w:p>
      <w:pPr>
        <w:spacing w:before="320" w:after="120"/>
      </w:pPr>
      <w:r>
        <w:rPr>
          <w:rFonts w:ascii="Fraunces" w:hAnsi="Fraunces" w:cs="Fraunces"/>
          <w:b/>
          <w:i w:val="0"/>
          <w:color w:val="22307C"/>
          <w:sz w:val="42"/>
        </w:rPr>
        <w:t xml:space="preserve">BLOCK A — ACADEMIC RECORD · </w:t>
      </w:r>
      <w:r>
        <w:rPr>
          <w:rFonts w:ascii="Fraunces" w:hAnsi="Fraunces" w:cs="Fraunces"/>
          <w:b/>
          <w:i w:val="0"/>
          <w:color w:val="22307C"/>
          <w:sz w:val="42"/>
        </w:rPr>
        <w:t>70 %</w:t>
      </w:r>
    </w:p>
    <w:p>
      <w:pPr>
        <w:pBdr>
          <w:left w:val="single" w:sz="18" w:space="8" w:color="9A5B00"/>
        </w:pBdr>
        <w:spacing w:before="120" w:after="200"/>
        <w:ind w:left="317"/>
      </w:pPr>
      <w:r>
        <w:rPr>
          <w:rFonts w:ascii="Inter" w:hAnsi="Inter" w:cs="Inter"/>
          <w:b w:val="0"/>
          <w:i w:val="0"/>
          <w:color w:val="5B5F77"/>
          <w:sz w:val="21"/>
        </w:rPr>
        <w:t xml:space="preserve">The heaviest-weighted block. A </w:t>
      </w:r>
      <w:r>
        <w:rPr>
          <w:rFonts w:ascii="Inter" w:hAnsi="Inter" w:cs="Inter"/>
          <w:b/>
          <w:i w:val="0"/>
          <w:color w:val="5B5F77"/>
          <w:sz w:val="21"/>
        </w:rPr>
        <w:t>personal academic transcript</w:t>
      </w:r>
      <w:r>
        <w:rPr>
          <w:rFonts w:ascii="Inter" w:hAnsi="Inter" w:cs="Inter"/>
          <w:b w:val="0"/>
          <w:i w:val="0"/>
          <w:color w:val="5B5F77"/>
          <w:sz w:val="21"/>
        </w:rPr>
        <w:t xml:space="preserve"> with the grade-point average on the 0–10 Spanish scale is supplied for each degree, plus the official equivalence for the foreign degree.</w:t>
      </w:r>
    </w:p>
    <w:p>
      <w:pPr>
        <w:spacing w:before="320" w:after="120"/>
      </w:pPr>
      <w:r>
        <w:rPr>
          <w:rFonts w:ascii="Fraunces" w:hAnsi="Fraunces" w:cs="Fraunces"/>
          <w:b/>
          <w:i w:val="0"/>
          <w:color w:val="22307C"/>
          <w:sz w:val="32"/>
        </w:rPr>
        <w:t>A.1 · Master's Degree in Languages and Technology — Didactics specialisation</w:t>
      </w:r>
    </w:p>
    <w:p>
      <w:r>
        <w:rPr>
          <w:rFonts w:ascii="Inter" w:hAnsi="Inter" w:cs="Inter"/>
          <w:b/>
          <w:i w:val="0"/>
          <w:color w:val="1C1E2E"/>
          <w:sz w:val="22"/>
        </w:rPr>
        <w:t>Universitat Politècnica de València (UPV), Spain — July 2026</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Indicator</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i w:val="0"/>
                <w:color w:val="1C1E2E"/>
                <w:sz w:val="19"/>
              </w:rPr>
              <w:t>Grade-point average</w:t>
            </w:r>
          </w:p>
        </w:tc>
        <w:tc>
          <w:tcPr>
            <w:tcW w:type="dxa" w:w="4824"/>
          </w:tcPr>
          <w:p>
            <w:pPr>
              <w:spacing w:after="40"/>
            </w:pPr>
            <w:r/>
            <w:r>
              <w:rPr>
                <w:rFonts w:ascii="Inter" w:hAnsi="Inter" w:cs="Inter"/>
                <w:b/>
                <w:i w:val="0"/>
                <w:color w:val="1C1E2E"/>
                <w:sz w:val="19"/>
              </w:rPr>
              <w:t>9.4 / 10</w:t>
            </w:r>
          </w:p>
        </w:tc>
      </w:tr>
      <w:tr>
        <w:tc>
          <w:tcPr>
            <w:tcW w:type="dxa" w:w="4824"/>
          </w:tcPr>
          <w:p>
            <w:pPr>
              <w:spacing w:after="40"/>
            </w:pPr>
            <w:r/>
            <w:r>
              <w:rPr>
                <w:rFonts w:ascii="Inter" w:hAnsi="Inter" w:cs="Inter"/>
                <w:b w:val="0"/>
                <w:i w:val="0"/>
                <w:color w:val="1C1E2E"/>
                <w:sz w:val="19"/>
              </w:rPr>
              <w:t>Distinctions (</w:t>
            </w:r>
            <w:r>
              <w:rPr>
                <w:rFonts w:ascii="Inter" w:hAnsi="Inter" w:cs="Inter"/>
                <w:b w:val="0"/>
                <w:i/>
                <w:color w:val="1C1E2E"/>
                <w:sz w:val="19"/>
              </w:rPr>
              <w:t>Matrícula de Honor</w:t>
            </w:r>
            <w:r>
              <w:rPr>
                <w:rFonts w:ascii="Inter" w:hAnsi="Inter" w:cs="Inter"/>
                <w:b w:val="0"/>
                <w:i w:val="0"/>
                <w:color w:val="1C1E2E"/>
                <w:sz w:val="19"/>
              </w:rPr>
              <w:t>)</w:t>
            </w:r>
          </w:p>
        </w:tc>
        <w:tc>
          <w:tcPr>
            <w:tcW w:type="dxa" w:w="4824"/>
          </w:tcPr>
          <w:p>
            <w:pPr>
              <w:spacing w:after="40"/>
            </w:pPr>
            <w:r/>
            <w:r>
              <w:rPr>
                <w:rFonts w:ascii="Inter" w:hAnsi="Inter" w:cs="Inter"/>
                <w:b/>
                <w:i w:val="0"/>
                <w:color w:val="1C1E2E"/>
                <w:sz w:val="19"/>
              </w:rPr>
              <w:t>2</w:t>
            </w:r>
          </w:p>
        </w:tc>
      </w:tr>
      <w:tr>
        <w:tc>
          <w:tcPr>
            <w:tcW w:type="dxa" w:w="4824"/>
          </w:tcPr>
          <w:p>
            <w:pPr>
              <w:spacing w:after="40"/>
            </w:pPr>
            <w:r/>
            <w:r>
              <w:rPr>
                <w:rFonts w:ascii="Inter" w:hAnsi="Inter" w:cs="Inter"/>
                <w:b w:val="0"/>
                <w:i w:val="0"/>
                <w:color w:val="1C1E2E"/>
                <w:sz w:val="19"/>
              </w:rPr>
              <w:t xml:space="preserve">Grade for the </w:t>
            </w:r>
            <w:r>
              <w:rPr>
                <w:rFonts w:ascii="Inter" w:hAnsi="Inter" w:cs="Inter"/>
                <w:b w:val="0"/>
                <w:i/>
                <w:color w:val="1C1E2E"/>
                <w:sz w:val="19"/>
              </w:rPr>
              <w:t>Academic Writing Journey</w:t>
            </w:r>
            <w:r>
              <w:rPr>
                <w:rFonts w:ascii="Inter" w:hAnsi="Inter" w:cs="Inter"/>
                <w:b w:val="0"/>
                <w:i w:val="0"/>
                <w:color w:val="1C1E2E"/>
                <w:sz w:val="19"/>
              </w:rPr>
              <w:t xml:space="preserve"> project</w:t>
            </w:r>
          </w:p>
        </w:tc>
        <w:tc>
          <w:tcPr>
            <w:tcW w:type="dxa" w:w="4824"/>
          </w:tcPr>
          <w:p>
            <w:pPr>
              <w:spacing w:after="40"/>
            </w:pPr>
            <w:r/>
            <w:r>
              <w:rPr>
                <w:rFonts w:ascii="Inter" w:hAnsi="Inter" w:cs="Inter"/>
                <w:b/>
                <w:i w:val="0"/>
                <w:color w:val="1C1E2E"/>
                <w:sz w:val="19"/>
              </w:rPr>
              <w:t>10/10</w:t>
            </w:r>
            <w:r>
              <w:rPr>
                <w:rFonts w:ascii="Inter" w:hAnsi="Inter" w:cs="Inter"/>
                <w:b w:val="0"/>
                <w:i w:val="0"/>
                <w:color w:val="1C1E2E"/>
                <w:sz w:val="19"/>
              </w:rPr>
              <w:t xml:space="preserve"> (course "Simulation, Games and Technology Applied to Teaching Strategies and Research Methodology", Prof. Ricardo Casañ-Pitarch)</w:t>
            </w:r>
          </w:p>
        </w:tc>
      </w:tr>
      <w:tr>
        <w:tc>
          <w:tcPr>
            <w:tcW w:type="dxa" w:w="4824"/>
          </w:tcPr>
          <w:p>
            <w:pPr>
              <w:spacing w:after="40"/>
            </w:pPr>
            <w:r/>
            <w:r>
              <w:rPr>
                <w:rFonts w:ascii="Inter" w:hAnsi="Inter" w:cs="Inter"/>
                <w:b w:val="0"/>
                <w:i w:val="0"/>
                <w:color w:val="1C1E2E"/>
                <w:sz w:val="19"/>
              </w:rPr>
              <w:t>Evidence</w:t>
            </w:r>
          </w:p>
        </w:tc>
        <w:tc>
          <w:tcPr>
            <w:tcW w:type="dxa" w:w="4824"/>
          </w:tcPr>
          <w:p>
            <w:pPr>
              <w:spacing w:after="40"/>
            </w:pPr>
            <w:r/>
            <w:r>
              <w:rPr>
                <w:rFonts w:ascii="Inter" w:hAnsi="Inter" w:cs="Inter"/>
                <w:b w:val="0"/>
                <w:i w:val="0"/>
                <w:color w:val="1C1E2E"/>
                <w:sz w:val="19"/>
              </w:rPr>
              <w:t xml:space="preserve">UPV academic transcript </w:t>
            </w:r>
            <w:r>
              <w:rPr>
                <w:rFonts w:ascii="Inter" w:hAnsi="Inter" w:cs="Inter"/>
                <w:b/>
                <w:i w:val="0"/>
                <w:color w:val="1C1E2E"/>
                <w:sz w:val="19"/>
              </w:rPr>
              <w:t>[DOC-01]</w:t>
            </w:r>
            <w:r>
              <w:rPr>
                <w:rFonts w:ascii="Inter" w:hAnsi="Inter" w:cs="Inter"/>
                <w:b w:val="0"/>
                <w:i w:val="0"/>
                <w:color w:val="1C1E2E"/>
                <w:sz w:val="19"/>
              </w:rPr>
              <w:t xml:space="preserve"> · Degree certificate </w:t>
            </w:r>
            <w:r>
              <w:rPr>
                <w:rFonts w:ascii="Inter" w:hAnsi="Inter" w:cs="Inter"/>
                <w:b/>
                <w:i w:val="0"/>
                <w:color w:val="1C1E2E"/>
                <w:sz w:val="19"/>
              </w:rPr>
              <w:t>[DOC-02]</w:t>
            </w:r>
          </w:p>
        </w:tc>
      </w:tr>
    </w:tbl>
    <w:p/>
    <w:p>
      <w:r>
        <w:rPr>
          <w:rFonts w:ascii="Inter" w:hAnsi="Inter" w:cs="Inter"/>
          <w:b/>
          <w:i w:val="0"/>
          <w:color w:val="1C1E2E"/>
          <w:sz w:val="22"/>
        </w:rPr>
        <w:t>Relevance to the doctorate.</w:t>
      </w:r>
      <w:r>
        <w:rPr>
          <w:rFonts w:ascii="Inter" w:hAnsi="Inter" w:cs="Inter"/>
          <w:b w:val="0"/>
          <w:i w:val="0"/>
          <w:color w:val="1C1E2E"/>
          <w:sz w:val="22"/>
        </w:rPr>
        <w:t xml:space="preserve"> This master's is the direct access qualification for the programme and places the record in the upper band of the scale. The Didactics specialisation and UPV's Department of Applied Linguistics are precisely the setting of the MLLDE thesis proposal, which guarantees methodological and supervisory continuity.</w:t>
      </w:r>
    </w:p>
    <w:p>
      <w:pPr>
        <w:spacing w:before="320" w:after="120"/>
      </w:pPr>
      <w:r>
        <w:rPr>
          <w:rFonts w:ascii="Fraunces" w:hAnsi="Fraunces" w:cs="Fraunces"/>
          <w:b/>
          <w:i w:val="0"/>
          <w:color w:val="22307C"/>
          <w:sz w:val="32"/>
        </w:rPr>
        <w:t>A.2 · Licenciada en Educación, mención Inglés (Degree in Education, English major)</w:t>
      </w:r>
    </w:p>
    <w:p>
      <w:r>
        <w:rPr>
          <w:rFonts w:ascii="Inter" w:hAnsi="Inter" w:cs="Inter"/>
          <w:b/>
          <w:i w:val="0"/>
          <w:color w:val="1C1E2E"/>
          <w:sz w:val="22"/>
        </w:rPr>
        <w:t>Universidad de Los Andes (ULA) — Núcleo Universitario "Dr. Pedro Rincón Gutiérrez", San Cristóbal, Táchira, Venezuela</w:t>
      </w:r>
    </w:p>
    <w:p>
      <w:r>
        <w:rPr>
          <w:rFonts w:ascii="Inter" w:hAnsi="Inter" w:cs="Inter"/>
          <w:b/>
          <w:i w:val="0"/>
          <w:color w:val="1C1E2E"/>
          <w:sz w:val="22"/>
        </w:rPr>
        <w:t>Studies 1999–2003 · graduated in academic term U-2003 · degree conferred 2004</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Indicator</w:t>
            </w:r>
          </w:p>
        </w:tc>
        <w:tc>
          <w:tcPr>
            <w:tcW w:type="dxa" w:w="3216"/>
            <w:shd w:val="clear" w:color="auto" w:fill="EEF2FD"/>
          </w:tcPr>
          <w:p>
            <w:pPr>
              <w:spacing w:after="40"/>
            </w:pPr>
            <w:r/>
            <w:r>
              <w:rPr>
                <w:rFonts w:ascii="Inter" w:hAnsi="Inter" w:cs="Inter"/>
                <w:b/>
                <w:i w:val="0"/>
                <w:color w:val="22307C"/>
                <w:sz w:val="19"/>
              </w:rPr>
              <w:t>Value</w:t>
            </w:r>
          </w:p>
        </w:tc>
        <w:tc>
          <w:tcPr>
            <w:tcW w:type="dxa" w:w="3216"/>
            <w:shd w:val="clear" w:color="auto" w:fill="EEF2FD"/>
          </w:tcPr>
          <w:p>
            <w:pPr>
              <w:spacing w:after="40"/>
            </w:pPr>
            <w:r/>
            <w:r>
              <w:rPr>
                <w:rFonts w:ascii="Inter" w:hAnsi="Inter" w:cs="Inter"/>
                <w:b/>
                <w:i w:val="0"/>
                <w:color w:val="22307C"/>
                <w:sz w:val="19"/>
              </w:rPr>
              <w:t>Source</w:t>
            </w:r>
          </w:p>
        </w:tc>
      </w:tr>
      <w:tr>
        <w:tc>
          <w:tcPr>
            <w:tcW w:type="dxa" w:w="3216"/>
          </w:tcPr>
          <w:p>
            <w:pPr>
              <w:spacing w:after="40"/>
            </w:pPr>
            <w:r/>
            <w:r>
              <w:rPr>
                <w:rFonts w:ascii="Inter" w:hAnsi="Inter" w:cs="Inter"/>
                <w:b/>
                <w:i w:val="0"/>
                <w:color w:val="1C1E2E"/>
                <w:sz w:val="19"/>
              </w:rPr>
              <w:t>GPA converted to the Spanish scale</w:t>
            </w:r>
          </w:p>
        </w:tc>
        <w:tc>
          <w:tcPr>
            <w:tcW w:type="dxa" w:w="3216"/>
          </w:tcPr>
          <w:p>
            <w:pPr>
              <w:spacing w:after="40"/>
            </w:pPr>
            <w:r/>
            <w:r>
              <w:rPr>
                <w:rFonts w:ascii="Inter" w:hAnsi="Inter" w:cs="Inter"/>
                <w:b/>
                <w:i w:val="0"/>
                <w:color w:val="1C1E2E"/>
                <w:sz w:val="19"/>
              </w:rPr>
              <w:t>9.07 / 10</w:t>
            </w:r>
          </w:p>
        </w:tc>
        <w:tc>
          <w:tcPr>
            <w:tcW w:type="dxa" w:w="3216"/>
          </w:tcPr>
          <w:p>
            <w:pPr>
              <w:spacing w:after="40"/>
            </w:pPr>
            <w:r/>
            <w:r>
              <w:rPr>
                <w:rFonts w:ascii="Inter" w:hAnsi="Inter" w:cs="Inter"/>
                <w:b w:val="0"/>
                <w:i w:val="0"/>
                <w:color w:val="1C1E2E"/>
                <w:sz w:val="19"/>
              </w:rPr>
              <w:t xml:space="preserve">Official grade-equivalence declaration — Spanish General Secretariat for Universities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GPA on the home scale</w:t>
            </w:r>
          </w:p>
        </w:tc>
        <w:tc>
          <w:tcPr>
            <w:tcW w:type="dxa" w:w="3216"/>
          </w:tcPr>
          <w:p>
            <w:pPr>
              <w:spacing w:after="40"/>
            </w:pPr>
            <w:r/>
            <w:r>
              <w:rPr>
                <w:rFonts w:ascii="Inter" w:hAnsi="Inter" w:cs="Inter"/>
                <w:b/>
                <w:i w:val="0"/>
                <w:color w:val="1C1E2E"/>
                <w:sz w:val="19"/>
              </w:rPr>
              <w:t>18.97 / 20</w:t>
            </w:r>
            <w:r>
              <w:rPr>
                <w:rFonts w:ascii="Inter" w:hAnsi="Inter" w:cs="Inter"/>
                <w:b w:val="0"/>
                <w:i w:val="0"/>
                <w:color w:val="1C1E2E"/>
                <w:sz w:val="19"/>
              </w:rPr>
              <w:t xml:space="preserve"> (Venezuelan 0–20 scale, pass ≥ 10)</w:t>
            </w:r>
          </w:p>
        </w:tc>
        <w:tc>
          <w:tcPr>
            <w:tcW w:type="dxa" w:w="3216"/>
          </w:tcPr>
          <w:p>
            <w:pPr>
              <w:spacing w:after="40"/>
            </w:pPr>
            <w:r/>
            <w:r>
              <w:rPr>
                <w:rFonts w:ascii="Inter" w:hAnsi="Inter" w:cs="Inter"/>
                <w:b w:val="0"/>
                <w:i w:val="0"/>
                <w:color w:val="1C1E2E"/>
                <w:sz w:val="19"/>
              </w:rPr>
              <w:t xml:space="preserve">Academic Rank Certificate </w:t>
            </w:r>
            <w:r>
              <w:rPr>
                <w:rFonts w:ascii="Inter" w:hAnsi="Inter" w:cs="Inter"/>
                <w:b/>
                <w:i w:val="0"/>
                <w:color w:val="1C1E2E"/>
                <w:sz w:val="19"/>
              </w:rPr>
              <w:t>[DOC-06]</w:t>
            </w:r>
          </w:p>
        </w:tc>
      </w:tr>
      <w:tr>
        <w:tc>
          <w:tcPr>
            <w:tcW w:type="dxa" w:w="3216"/>
          </w:tcPr>
          <w:p>
            <w:pPr>
              <w:spacing w:after="40"/>
            </w:pPr>
            <w:r/>
            <w:r>
              <w:rPr>
                <w:rFonts w:ascii="Inter" w:hAnsi="Inter" w:cs="Inter"/>
                <w:b/>
                <w:i w:val="0"/>
                <w:color w:val="1C1E2E"/>
                <w:sz w:val="19"/>
              </w:rPr>
              <w:t>Class ranking</w:t>
            </w:r>
          </w:p>
        </w:tc>
        <w:tc>
          <w:tcPr>
            <w:tcW w:type="dxa" w:w="3216"/>
          </w:tcPr>
          <w:p>
            <w:pPr>
              <w:spacing w:after="40"/>
            </w:pPr>
            <w:r/>
            <w:r>
              <w:rPr>
                <w:rFonts w:ascii="Inter" w:hAnsi="Inter" w:cs="Inter"/>
                <w:b/>
                <w:i w:val="0"/>
                <w:color w:val="1C1E2E"/>
                <w:sz w:val="19"/>
              </w:rPr>
              <w:t>1st of 56 graduates</w:t>
            </w:r>
            <w:r>
              <w:rPr>
                <w:rFonts w:ascii="Inter" w:hAnsi="Inter" w:cs="Inter"/>
                <w:b w:val="0"/>
                <w:i w:val="0"/>
                <w:color w:val="1C1E2E"/>
                <w:sz w:val="19"/>
              </w:rPr>
              <w:t xml:space="preserve"> — cohort average: 15.77</w:t>
            </w:r>
          </w:p>
        </w:tc>
        <w:tc>
          <w:tcPr>
            <w:tcW w:type="dxa" w:w="3216"/>
          </w:tcPr>
          <w:p>
            <w:pPr>
              <w:spacing w:after="40"/>
            </w:pPr>
            <w:r/>
            <w:r>
              <w:rPr>
                <w:rFonts w:ascii="Inter" w:hAnsi="Inter" w:cs="Inter"/>
                <w:b w:val="0"/>
                <w:i w:val="0"/>
                <w:color w:val="1C1E2E"/>
                <w:sz w:val="19"/>
              </w:rPr>
              <w:t xml:space="preserve">Academic Rank Certificate </w:t>
            </w:r>
            <w:r>
              <w:rPr>
                <w:rFonts w:ascii="Inter" w:hAnsi="Inter" w:cs="Inter"/>
                <w:b/>
                <w:i w:val="0"/>
                <w:color w:val="1C1E2E"/>
                <w:sz w:val="19"/>
              </w:rPr>
              <w:t>[DOC-06]</w:t>
            </w:r>
          </w:p>
        </w:tc>
      </w:tr>
      <w:tr>
        <w:tc>
          <w:tcPr>
            <w:tcW w:type="dxa" w:w="3216"/>
          </w:tcPr>
          <w:p>
            <w:pPr>
              <w:spacing w:after="40"/>
            </w:pPr>
            <w:r/>
            <w:r>
              <w:rPr>
                <w:rFonts w:ascii="Inter" w:hAnsi="Inter" w:cs="Inter"/>
                <w:b w:val="0"/>
                <w:i w:val="0"/>
                <w:color w:val="1C1E2E"/>
                <w:sz w:val="19"/>
              </w:rPr>
              <w:t>Grade distribution</w:t>
            </w:r>
          </w:p>
        </w:tc>
        <w:tc>
          <w:tcPr>
            <w:tcW w:type="dxa" w:w="3216"/>
          </w:tcPr>
          <w:p>
            <w:pPr>
              <w:spacing w:after="40"/>
            </w:pPr>
            <w:r/>
            <w:r>
              <w:rPr>
                <w:rFonts w:ascii="Inter" w:hAnsi="Inter" w:cs="Inter"/>
                <w:b w:val="0"/>
                <w:i w:val="0"/>
                <w:color w:val="1C1E2E"/>
                <w:sz w:val="19"/>
              </w:rPr>
              <w:t xml:space="preserve">0 % pass · 28.45 % notable · </w:t>
            </w:r>
            <w:r>
              <w:rPr>
                <w:rFonts w:ascii="Inter" w:hAnsi="Inter" w:cs="Inter"/>
                <w:b/>
                <w:i w:val="0"/>
                <w:color w:val="1C1E2E"/>
                <w:sz w:val="19"/>
              </w:rPr>
              <w:t>38.79 % sobresaliente</w:t>
            </w:r>
            <w:r>
              <w:rPr>
                <w:rFonts w:ascii="Inter" w:hAnsi="Inter" w:cs="Inter"/>
                <w:b w:val="0"/>
                <w:i w:val="0"/>
                <w:color w:val="1C1E2E"/>
                <w:sz w:val="19"/>
              </w:rPr>
              <w:t xml:space="preserve"> · </w:t>
            </w:r>
            <w:r>
              <w:rPr>
                <w:rFonts w:ascii="Inter" w:hAnsi="Inter" w:cs="Inter"/>
                <w:b/>
                <w:i w:val="0"/>
                <w:color w:val="1C1E2E"/>
                <w:sz w:val="19"/>
              </w:rPr>
              <w:t>32.76 % matrícula de honor</w:t>
            </w:r>
          </w:p>
        </w:tc>
        <w:tc>
          <w:tcPr>
            <w:tcW w:type="dxa" w:w="3216"/>
          </w:tcPr>
          <w:p>
            <w:pPr>
              <w:spacing w:after="40"/>
            </w:pPr>
            <w:r/>
            <w:r>
              <w:rPr>
                <w:rFonts w:ascii="Inter" w:hAnsi="Inter" w:cs="Inter"/>
                <w:b w:val="0"/>
                <w:i w:val="0"/>
                <w:color w:val="1C1E2E"/>
                <w:sz w:val="19"/>
              </w:rPr>
              <w:t xml:space="preserve">Equivalence declaration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Volume of the record</w:t>
            </w:r>
          </w:p>
        </w:tc>
        <w:tc>
          <w:tcPr>
            <w:tcW w:type="dxa" w:w="3216"/>
          </w:tcPr>
          <w:p>
            <w:pPr>
              <w:spacing w:after="40"/>
            </w:pPr>
            <w:r/>
            <w:r>
              <w:rPr>
                <w:rFonts w:ascii="Inter" w:hAnsi="Inter" w:cs="Inter"/>
                <w:b w:val="0"/>
                <w:i w:val="0"/>
                <w:color w:val="1C1E2E"/>
                <w:sz w:val="19"/>
              </w:rPr>
              <w:t>119 courses/credits (116 graded)</w:t>
            </w:r>
          </w:p>
        </w:tc>
        <w:tc>
          <w:tcPr>
            <w:tcW w:type="dxa" w:w="3216"/>
          </w:tcPr>
          <w:p>
            <w:pPr>
              <w:spacing w:after="40"/>
            </w:pPr>
            <w:r/>
            <w:r>
              <w:rPr>
                <w:rFonts w:ascii="Inter" w:hAnsi="Inter" w:cs="Inter"/>
                <w:b w:val="0"/>
                <w:i w:val="0"/>
                <w:color w:val="1C1E2E"/>
                <w:sz w:val="19"/>
              </w:rPr>
              <w:t xml:space="preserve">Equivalence declaration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Spanish knowledge branch · ISCED</w:t>
            </w:r>
          </w:p>
        </w:tc>
        <w:tc>
          <w:tcPr>
            <w:tcW w:type="dxa" w:w="3216"/>
          </w:tcPr>
          <w:p>
            <w:pPr>
              <w:spacing w:after="40"/>
            </w:pPr>
            <w:r/>
            <w:r>
              <w:rPr>
                <w:rFonts w:ascii="Inter" w:hAnsi="Inter" w:cs="Inter"/>
                <w:b w:val="0"/>
                <w:i w:val="0"/>
                <w:color w:val="1C1E2E"/>
                <w:sz w:val="19"/>
              </w:rPr>
              <w:t xml:space="preserve">Social and Legal Sciences · </w:t>
            </w:r>
            <w:r>
              <w:rPr>
                <w:rFonts w:ascii="Inter" w:hAnsi="Inter" w:cs="Inter"/>
                <w:b/>
                <w:i w:val="0"/>
                <w:color w:val="1C1E2E"/>
                <w:sz w:val="19"/>
              </w:rPr>
              <w:t>0114</w:t>
            </w:r>
            <w:r>
              <w:rPr>
                <w:rFonts w:ascii="Inter" w:hAnsi="Inter" w:cs="Inter"/>
                <w:b w:val="0"/>
                <w:i w:val="0"/>
                <w:color w:val="1C1E2E"/>
                <w:sz w:val="19"/>
              </w:rPr>
              <w:t xml:space="preserve"> (teacher training)</w:t>
            </w:r>
          </w:p>
        </w:tc>
        <w:tc>
          <w:tcPr>
            <w:tcW w:type="dxa" w:w="3216"/>
          </w:tcPr>
          <w:p>
            <w:pPr>
              <w:spacing w:after="40"/>
            </w:pPr>
            <w:r/>
            <w:r>
              <w:rPr>
                <w:rFonts w:ascii="Inter" w:hAnsi="Inter" w:cs="Inter"/>
                <w:b w:val="0"/>
                <w:i w:val="0"/>
                <w:color w:val="1C1E2E"/>
                <w:sz w:val="19"/>
              </w:rPr>
              <w:t xml:space="preserve">Equivalence declaration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Academic distinction</w:t>
            </w:r>
          </w:p>
        </w:tc>
        <w:tc>
          <w:tcPr>
            <w:tcW w:type="dxa" w:w="3216"/>
          </w:tcPr>
          <w:p>
            <w:pPr>
              <w:spacing w:after="40"/>
            </w:pPr>
            <w:r/>
            <w:r>
              <w:rPr>
                <w:rFonts w:ascii="Inter" w:hAnsi="Inter" w:cs="Inter"/>
                <w:b/>
                <w:i w:val="0"/>
                <w:color w:val="1C1E2E"/>
                <w:sz w:val="19"/>
              </w:rPr>
              <w:t>Summa Cum Laude</w:t>
            </w:r>
          </w:p>
        </w:tc>
        <w:tc>
          <w:tcPr>
            <w:tcW w:type="dxa" w:w="3216"/>
          </w:tcPr>
          <w:p>
            <w:pPr>
              <w:spacing w:after="40"/>
            </w:pPr>
            <w:r/>
            <w:r>
              <w:rPr>
                <w:rFonts w:ascii="Inter" w:hAnsi="Inter" w:cs="Inter"/>
                <w:b w:val="0"/>
                <w:i w:val="0"/>
                <w:color w:val="1C1E2E"/>
                <w:sz w:val="19"/>
              </w:rPr>
              <w:t xml:space="preserve">Graduation record / diploma </w:t>
            </w:r>
            <w:r>
              <w:rPr>
                <w:rFonts w:ascii="Inter" w:hAnsi="Inter" w:cs="Inter"/>
                <w:b/>
                <w:i w:val="0"/>
                <w:color w:val="1C1E2E"/>
                <w:sz w:val="19"/>
              </w:rPr>
              <w:t>[DOC-04]</w:t>
            </w:r>
          </w:p>
        </w:tc>
      </w:tr>
      <w:tr>
        <w:tc>
          <w:tcPr>
            <w:tcW w:type="dxa" w:w="3216"/>
          </w:tcPr>
          <w:p>
            <w:pPr>
              <w:spacing w:after="40"/>
            </w:pPr>
            <w:r/>
            <w:r>
              <w:rPr>
                <w:rFonts w:ascii="Inter" w:hAnsi="Inter" w:cs="Inter"/>
                <w:b/>
                <w:i w:val="0"/>
                <w:color w:val="1C1E2E"/>
                <w:sz w:val="19"/>
              </w:rPr>
              <w:t>Final-year dissertation</w:t>
            </w:r>
          </w:p>
        </w:tc>
        <w:tc>
          <w:tcPr>
            <w:tcW w:type="dxa" w:w="3216"/>
          </w:tcPr>
          <w:p>
            <w:pPr>
              <w:spacing w:after="40"/>
            </w:pPr>
            <w:r/>
            <w:r>
              <w:rPr>
                <w:rFonts w:ascii="Inter" w:hAnsi="Inter" w:cs="Inter"/>
                <w:b/>
                <w:i w:val="0"/>
                <w:color w:val="1C1E2E"/>
                <w:sz w:val="19"/>
              </w:rPr>
              <w:t>20 / 20 — Sobresaliente</w:t>
            </w:r>
            <w:r>
              <w:rPr>
                <w:rFonts w:ascii="Inter" w:hAnsi="Inter" w:cs="Inter"/>
                <w:b w:val="0"/>
                <w:i w:val="0"/>
                <w:color w:val="1C1E2E"/>
                <w:sz w:val="19"/>
              </w:rPr>
              <w:t xml:space="preserve">, with a </w:t>
            </w:r>
            <w:r>
              <w:rPr>
                <w:rFonts w:ascii="Inter" w:hAnsi="Inter" w:cs="Inter"/>
                <w:b/>
                <w:i w:val="0"/>
                <w:color w:val="1C1E2E"/>
                <w:sz w:val="19"/>
              </w:rPr>
              <w:t>Diploma of Honour awarded by the Rector of ULA</w:t>
            </w:r>
            <w:r>
              <w:rPr>
                <w:rFonts w:ascii="Inter" w:hAnsi="Inter" w:cs="Inter"/>
                <w:b w:val="0"/>
                <w:i w:val="0"/>
                <w:color w:val="1C1E2E"/>
                <w:sz w:val="19"/>
              </w:rPr>
              <w:t xml:space="preserve"> (Mérida, 15 Nov 2004)</w:t>
            </w:r>
          </w:p>
        </w:tc>
        <w:tc>
          <w:tcPr>
            <w:tcW w:type="dxa" w:w="3216"/>
          </w:tcPr>
          <w:p>
            <w:pPr>
              <w:spacing w:after="40"/>
            </w:pPr>
            <w:r/>
            <w:r>
              <w:rPr>
                <w:rFonts w:ascii="Inter" w:hAnsi="Inter" w:cs="Inter"/>
                <w:b w:val="0"/>
                <w:i w:val="0"/>
                <w:color w:val="1C1E2E"/>
                <w:sz w:val="19"/>
              </w:rPr>
              <w:t xml:space="preserve">Diploma of Honour </w:t>
            </w:r>
            <w:r>
              <w:rPr>
                <w:rFonts w:ascii="Inter" w:hAnsi="Inter" w:cs="Inter"/>
                <w:b/>
                <w:i w:val="0"/>
                <w:color w:val="1C1E2E"/>
                <w:sz w:val="19"/>
              </w:rPr>
              <w:t>[DOC-07]</w:t>
            </w:r>
          </w:p>
        </w:tc>
      </w:tr>
      <w:tr>
        <w:tc>
          <w:tcPr>
            <w:tcW w:type="dxa" w:w="3216"/>
          </w:tcPr>
          <w:p>
            <w:pPr>
              <w:spacing w:after="40"/>
            </w:pPr>
            <w:r/>
            <w:r>
              <w:rPr>
                <w:rFonts w:ascii="Inter" w:hAnsi="Inter" w:cs="Inter"/>
                <w:b w:val="0"/>
                <w:i w:val="0"/>
                <w:color w:val="1C1E2E"/>
                <w:sz w:val="19"/>
              </w:rPr>
              <w:t>Research trajectory of the dissertation</w:t>
            </w:r>
          </w:p>
        </w:tc>
        <w:tc>
          <w:tcPr>
            <w:tcW w:type="dxa" w:w="3216"/>
          </w:tcPr>
          <w:p>
            <w:pPr>
              <w:spacing w:after="40"/>
            </w:pPr>
            <w:r/>
            <w:r>
              <w:rPr>
                <w:rFonts w:ascii="Inter" w:hAnsi="Inter" w:cs="Inter"/>
                <w:b w:val="0"/>
                <w:i w:val="0"/>
                <w:color w:val="1C1E2E"/>
                <w:sz w:val="19"/>
              </w:rPr>
              <w:t>Peer-reviewed and published in an indexed journal, then presented as a refereed paper at an international conference (§5.1)</w:t>
            </w:r>
          </w:p>
        </w:tc>
        <w:tc>
          <w:tcPr>
            <w:tcW w:type="dxa" w:w="3216"/>
          </w:tcPr>
          <w:p>
            <w:pPr>
              <w:spacing w:after="40"/>
            </w:pPr>
            <w:r/>
            <w:r>
              <w:rPr>
                <w:rFonts w:ascii="Inter" w:hAnsi="Inter" w:cs="Inter"/>
                <w:b/>
                <w:i w:val="0"/>
                <w:color w:val="1C1E2E"/>
                <w:sz w:val="19"/>
              </w:rPr>
              <w:t>[DOC-19]</w:t>
            </w:r>
            <w:r>
              <w:rPr>
                <w:rFonts w:ascii="Inter" w:hAnsi="Inter" w:cs="Inter"/>
                <w:b w:val="0"/>
                <w:i w:val="0"/>
                <w:color w:val="1C1E2E"/>
                <w:sz w:val="19"/>
              </w:rPr>
              <w:t xml:space="preserve"> · </w:t>
            </w:r>
            <w:r>
              <w:rPr>
                <w:rFonts w:ascii="Inter" w:hAnsi="Inter" w:cs="Inter"/>
                <w:b/>
                <w:i w:val="0"/>
                <w:color w:val="1C1E2E"/>
                <w:sz w:val="19"/>
              </w:rPr>
              <w:t>[DOC-24]</w:t>
            </w:r>
          </w:p>
        </w:tc>
      </w:tr>
      <w:tr>
        <w:tc>
          <w:tcPr>
            <w:tcW w:type="dxa" w:w="3216"/>
          </w:tcPr>
          <w:p>
            <w:pPr>
              <w:spacing w:after="40"/>
            </w:pPr>
            <w:r/>
            <w:r>
              <w:rPr>
                <w:rFonts w:ascii="Inter" w:hAnsi="Inter" w:cs="Inter"/>
                <w:b w:val="0"/>
                <w:i w:val="0"/>
                <w:color w:val="1C1E2E"/>
                <w:sz w:val="19"/>
              </w:rPr>
              <w:t>Degree research lines</w:t>
            </w:r>
          </w:p>
        </w:tc>
        <w:tc>
          <w:tcPr>
            <w:tcW w:type="dxa" w:w="3216"/>
          </w:tcPr>
          <w:p>
            <w:pPr>
              <w:spacing w:after="40"/>
            </w:pPr>
            <w:r/>
            <w:r>
              <w:rPr>
                <w:rFonts w:ascii="Inter" w:hAnsi="Inter" w:cs="Inter"/>
                <w:b w:val="0"/>
                <w:i w:val="0"/>
                <w:color w:val="1C1E2E"/>
                <w:sz w:val="19"/>
              </w:rPr>
              <w:t>Curriculum design and English language teaching</w:t>
            </w:r>
          </w:p>
        </w:tc>
        <w:tc>
          <w:tcPr>
            <w:tcW w:type="dxa" w:w="3216"/>
          </w:tcPr>
          <w:p>
            <w:pPr>
              <w:spacing w:after="40"/>
            </w:pPr>
            <w:r/>
            <w:r>
              <w:rPr>
                <w:rFonts w:ascii="Inter" w:hAnsi="Inter" w:cs="Inter"/>
                <w:b w:val="0"/>
                <w:i w:val="0"/>
                <w:color w:val="1C1E2E"/>
                <w:sz w:val="19"/>
              </w:rPr>
              <w:t>—</w:t>
            </w:r>
          </w:p>
        </w:tc>
      </w:tr>
    </w:tbl>
    <w:p/>
    <w:p>
      <w:r>
        <w:rPr>
          <w:rFonts w:ascii="Inter" w:hAnsi="Inter" w:cs="Inter"/>
          <w:b/>
          <w:i w:val="0"/>
          <w:color w:val="1C1E2E"/>
          <w:sz w:val="22"/>
        </w:rPr>
        <w:t>The figure the committee enters into the 70% is 9.07/10</w:t>
      </w:r>
      <w:r>
        <w:rPr>
          <w:rFonts w:ascii="Inter" w:hAnsi="Inter" w:cs="Inter"/>
          <w:b w:val="0"/>
          <w:i w:val="0"/>
          <w:color w:val="1C1E2E"/>
          <w:sz w:val="22"/>
        </w:rPr>
        <w:t xml:space="preserve">, already computed and certified by the Spanish administration: the </w:t>
      </w:r>
      <w:r>
        <w:rPr>
          <w:rFonts w:ascii="Inter" w:hAnsi="Inter" w:cs="Inter"/>
          <w:b w:val="0"/>
          <w:i/>
          <w:color w:val="1C1E2E"/>
          <w:sz w:val="22"/>
        </w:rPr>
        <w:t>Declaración de equivalencia de la nota media del expediente académico de estudios cursados en el extranjero</w:t>
      </w:r>
      <w:r>
        <w:rPr>
          <w:rFonts w:ascii="Inter" w:hAnsi="Inter" w:cs="Inter"/>
          <w:b w:val="0"/>
          <w:i w:val="0"/>
          <w:color w:val="1C1E2E"/>
          <w:sz w:val="22"/>
        </w:rPr>
        <w:t xml:space="preserve"> (General Secretariat for Universities, Directorate-General for University Policy), verified by the Regional Government of Andalusia and checkable online with </w:t>
      </w:r>
      <w:r>
        <w:rPr>
          <w:rFonts w:ascii="Inter" w:hAnsi="Inter" w:cs="Inter"/>
          <w:b/>
          <w:i w:val="0"/>
          <w:color w:val="1C1E2E"/>
          <w:sz w:val="22"/>
        </w:rPr>
        <w:t>CSV ⟨CSV in the copy submitted to the committee⟩</w:t>
      </w:r>
      <w:r>
        <w:rPr>
          <w:rFonts w:ascii="Inter" w:hAnsi="Inter" w:cs="Inter"/>
          <w:b w:val="0"/>
          <w:i w:val="0"/>
          <w:color w:val="1C1E2E"/>
          <w:sz w:val="22"/>
        </w:rPr>
        <w:t xml:space="preserve"> at . Nothing needs to be estimated or converted — the declaration is simply attached.</w:t>
      </w:r>
    </w:p>
    <w:p>
      <w:r>
        <w:rPr>
          <w:rFonts w:ascii="Inter" w:hAnsi="Inter" w:cs="Inter"/>
          <w:b/>
          <w:i w:val="0"/>
          <w:color w:val="1C1E2E"/>
          <w:sz w:val="22"/>
        </w:rPr>
        <w:t>Relevance to the doctorate.</w:t>
      </w:r>
      <w:r>
        <w:rPr>
          <w:rFonts w:ascii="Inter" w:hAnsi="Inter" w:cs="Inter"/>
          <w:b w:val="0"/>
          <w:i w:val="0"/>
          <w:color w:val="1C1E2E"/>
          <w:sz w:val="22"/>
        </w:rPr>
        <w:t xml:space="preserve"> The degree is in </w:t>
      </w:r>
      <w:r>
        <w:rPr>
          <w:rFonts w:ascii="Inter" w:hAnsi="Inter" w:cs="Inter"/>
          <w:b/>
          <w:i w:val="0"/>
          <w:color w:val="1C1E2E"/>
          <w:sz w:val="22"/>
        </w:rPr>
        <w:t>Education with an English major</w:t>
      </w:r>
      <w:r>
        <w:rPr>
          <w:rFonts w:ascii="Inter" w:hAnsi="Inter" w:cs="Inter"/>
          <w:b w:val="0"/>
          <w:i w:val="0"/>
          <w:color w:val="1C1E2E"/>
          <w:sz w:val="22"/>
        </w:rPr>
        <w:t xml:space="preserve">, with research lines in curriculum design and English language teaching — the original training is already in curriculum design, which is the object of the thesis. The final-year dissertation, graded </w:t>
      </w:r>
      <w:r>
        <w:rPr>
          <w:rFonts w:ascii="Inter" w:hAnsi="Inter" w:cs="Inter"/>
          <w:b/>
          <w:i w:val="0"/>
          <w:color w:val="1C1E2E"/>
          <w:sz w:val="22"/>
        </w:rPr>
        <w:t>20/20 with a Rector's Diploma of Honour</w:t>
      </w:r>
      <w:r>
        <w:rPr>
          <w:rFonts w:ascii="Inter" w:hAnsi="Inter" w:cs="Inter"/>
          <w:b w:val="0"/>
          <w:i w:val="0"/>
          <w:color w:val="1C1E2E"/>
          <w:sz w:val="22"/>
        </w:rPr>
        <w:t xml:space="preserve">, did not stay in the file: it was peer-reviewed and published in an </w:t>
      </w:r>
      <w:r>
        <w:rPr>
          <w:rFonts w:ascii="Inter" w:hAnsi="Inter" w:cs="Inter"/>
          <w:b/>
          <w:i w:val="0"/>
          <w:color w:val="1C1E2E"/>
          <w:sz w:val="22"/>
        </w:rPr>
        <w:t>indexed journal</w:t>
      </w:r>
      <w:r>
        <w:rPr>
          <w:rFonts w:ascii="Inter" w:hAnsi="Inter" w:cs="Inter"/>
          <w:b w:val="0"/>
          <w:i w:val="0"/>
          <w:color w:val="1C1E2E"/>
          <w:sz w:val="22"/>
        </w:rPr>
        <w:t xml:space="preserve"> (</w:t>
      </w:r>
      <w:r>
        <w:rPr>
          <w:rFonts w:ascii="Inter" w:hAnsi="Inter" w:cs="Inter"/>
          <w:b w:val="0"/>
          <w:i/>
          <w:color w:val="1C1E2E"/>
          <w:sz w:val="22"/>
        </w:rPr>
        <w:t>Kaleidoscopio</w:t>
      </w:r>
      <w:r>
        <w:rPr>
          <w:rFonts w:ascii="Inter" w:hAnsi="Inter" w:cs="Inter"/>
          <w:b w:val="0"/>
          <w:i w:val="0"/>
          <w:color w:val="1C1E2E"/>
          <w:sz w:val="22"/>
        </w:rPr>
        <w:t xml:space="preserve">, ISSN 1690-6054, indexed in CLASE–UNAM) and presented as a </w:t>
      </w:r>
      <w:r>
        <w:rPr>
          <w:rFonts w:ascii="Inter" w:hAnsi="Inter" w:cs="Inter"/>
          <w:b/>
          <w:i w:val="0"/>
          <w:color w:val="1C1E2E"/>
          <w:sz w:val="22"/>
        </w:rPr>
        <w:t>refereed paper at an international conference</w:t>
      </w:r>
      <w:r>
        <w:rPr>
          <w:rFonts w:ascii="Inter" w:hAnsi="Inter" w:cs="Inter"/>
          <w:b w:val="0"/>
          <w:i w:val="0"/>
          <w:color w:val="1C1E2E"/>
          <w:sz w:val="22"/>
        </w:rPr>
        <w:t xml:space="preserve"> (§5.1). That is independent research capacity evidenced from the undergraduate stage onward.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An admissibility issue to resolve — this is not about points.</w:t>
      </w:r>
      <w:r>
        <w:rPr>
          <w:rFonts w:ascii="Inter" w:hAnsi="Inter" w:cs="Inter"/>
          <w:b w:val="0"/>
          <w:i w:val="0"/>
          <w:color w:val="5B5F77"/>
          <w:sz w:val="21"/>
        </w:rPr>
        <w:t xml:space="preserve"> The equivalence declaration states explicitly </w:t>
      </w:r>
      <w:r>
        <w:rPr>
          <w:rFonts w:ascii="Inter" w:hAnsi="Inter" w:cs="Inter"/>
          <w:b/>
          <w:i w:val="0"/>
          <w:color w:val="5B5F77"/>
          <w:sz w:val="21"/>
        </w:rPr>
        <w:t>"Título homologado/equivalente: NO"</w:t>
      </w:r>
      <w:r>
        <w:rPr>
          <w:rFonts w:ascii="Inter" w:hAnsi="Inter" w:cs="Inter"/>
          <w:b w:val="0"/>
          <w:i w:val="0"/>
          <w:color w:val="5B5F77"/>
          <w:sz w:val="21"/>
        </w:rPr>
        <w:t xml:space="preserve">: what has been declared is the </w:t>
      </w:r>
      <w:r>
        <w:rPr>
          <w:rFonts w:ascii="Inter" w:hAnsi="Inter" w:cs="Inter"/>
          <w:b/>
          <w:i w:val="0"/>
          <w:color w:val="5B5F77"/>
          <w:sz w:val="21"/>
        </w:rPr>
        <w:t>equivalence of the grade average</w:t>
      </w:r>
      <w:r>
        <w:rPr>
          <w:rFonts w:ascii="Inter" w:hAnsi="Inter" w:cs="Inter"/>
          <w:b w:val="0"/>
          <w:i w:val="0"/>
          <w:color w:val="5B5F77"/>
          <w:sz w:val="21"/>
        </w:rPr>
        <w:t>, not recognition (</w:t>
      </w:r>
      <w:r>
        <w:rPr>
          <w:rFonts w:ascii="Inter" w:hAnsi="Inter" w:cs="Inter"/>
          <w:b w:val="0"/>
          <w:i/>
          <w:color w:val="5B5F77"/>
          <w:sz w:val="21"/>
        </w:rPr>
        <w:t>homologación</w:t>
      </w:r>
      <w:r>
        <w:rPr>
          <w:rFonts w:ascii="Inter" w:hAnsi="Inter" w:cs="Inter"/>
          <w:b w:val="0"/>
          <w:i w:val="0"/>
          <w:color w:val="5B5F77"/>
          <w:sz w:val="21"/>
        </w:rPr>
        <w:t xml:space="preserve">) of the degree itself. To enter a doctorate with a non-recognised foreign degree, Article 6 of Royal Decree 99/2011 allows admission once </w:t>
      </w:r>
      <w:r>
        <w:rPr>
          <w:rFonts w:ascii="Inter" w:hAnsi="Inter" w:cs="Inter"/>
          <w:b/>
          <w:i w:val="0"/>
          <w:color w:val="5B5F77"/>
          <w:sz w:val="21"/>
        </w:rPr>
        <w:t>the university has verified that the degree certifies a level of education equivalent</w:t>
      </w:r>
      <w:r>
        <w:rPr>
          <w:rFonts w:ascii="Inter" w:hAnsi="Inter" w:cs="Inter"/>
          <w:b w:val="0"/>
          <w:i w:val="0"/>
          <w:color w:val="5B5F77"/>
          <w:sz w:val="21"/>
        </w:rPr>
        <w:t xml:space="preserve"> to a Spanish master's and grants access to doctoral study in the issuing country. </w:t>
      </w:r>
      <w:r>
        <w:rPr>
          <w:rFonts w:ascii="Inter" w:hAnsi="Inter" w:cs="Inter"/>
          <w:b/>
          <w:i w:val="0"/>
          <w:color w:val="5B5F77"/>
          <w:sz w:val="21"/>
        </w:rPr>
        <w:t>Action:</w:t>
      </w:r>
      <w:r>
        <w:rPr>
          <w:rFonts w:ascii="Inter" w:hAnsi="Inter" w:cs="Inter"/>
          <w:b w:val="0"/>
          <w:i w:val="0"/>
          <w:color w:val="5B5F77"/>
          <w:sz w:val="21"/>
        </w:rPr>
        <w:t xml:space="preserve"> request the </w:t>
      </w:r>
      <w:r>
        <w:rPr>
          <w:rFonts w:ascii="Inter" w:hAnsi="Inter" w:cs="Inter"/>
          <w:b/>
          <w:i w:val="0"/>
          <w:color w:val="5B5F77"/>
          <w:sz w:val="21"/>
        </w:rPr>
        <w:t>level verification</w:t>
      </w:r>
      <w:r>
        <w:rPr>
          <w:rFonts w:ascii="Inter" w:hAnsi="Inter" w:cs="Inter"/>
          <w:b w:val="0"/>
          <w:i w:val="0"/>
          <w:color w:val="5B5F77"/>
          <w:sz w:val="21"/>
        </w:rPr>
        <w:t xml:space="preserve"> from UPV's Doctoral School (or start the academic-level equivalence procedure with the Ministry) </w:t>
      </w:r>
      <w:r>
        <w:rPr>
          <w:rFonts w:ascii="Inter" w:hAnsi="Inter" w:cs="Inter"/>
          <w:b/>
          <w:i w:val="0"/>
          <w:color w:val="5B5F77"/>
          <w:sz w:val="21"/>
        </w:rPr>
        <w:t>before</w:t>
      </w:r>
      <w:r>
        <w:rPr>
          <w:rFonts w:ascii="Inter" w:hAnsi="Inter" w:cs="Inter"/>
          <w:b w:val="0"/>
          <w:i w:val="0"/>
          <w:color w:val="5B5F77"/>
          <w:sz w:val="21"/>
        </w:rPr>
        <w:t xml:space="preserve"> the deadline — it takes time and it blocks admission however high the score. Attach the grade-equivalence declaration as supporting evidence, not as a substitute.</w:t>
      </w:r>
    </w:p>
    <w:p>
      <w:pPr>
        <w:pBdr>
          <w:bottom w:val="single" w:sz="6" w:space="1" w:color="E6E8F2"/>
        </w:pBdr>
      </w:pPr>
    </w:p>
    <w:p>
      <w:pPr>
        <w:spacing w:before="320" w:after="120"/>
      </w:pPr>
      <w:r>
        <w:rPr>
          <w:rFonts w:ascii="Fraunces" w:hAnsi="Fraunces" w:cs="Fraunces"/>
          <w:b/>
          <w:i w:val="0"/>
          <w:color w:val="22307C"/>
          <w:sz w:val="42"/>
        </w:rPr>
        <w:t xml:space="preserve">BLOCK B — OTHER MERITS · </w:t>
      </w:r>
      <w:r>
        <w:rPr>
          <w:rFonts w:ascii="Fraunces" w:hAnsi="Fraunces" w:cs="Fraunces"/>
          <w:b/>
          <w:i w:val="0"/>
          <w:color w:val="22307C"/>
          <w:sz w:val="42"/>
        </w:rPr>
        <w:t>30 %</w:t>
      </w:r>
    </w:p>
    <w:p>
      <w:pPr>
        <w:pBdr>
          <w:left w:val="single" w:sz="18" w:space="8" w:color="9A5B00"/>
        </w:pBdr>
        <w:spacing w:before="120" w:after="200"/>
        <w:ind w:left="317"/>
      </w:pPr>
      <w:r>
        <w:rPr>
          <w:rFonts w:ascii="Inter" w:hAnsi="Inter" w:cs="Inter"/>
          <w:b w:val="0"/>
          <w:i w:val="0"/>
          <w:color w:val="5B5F77"/>
          <w:sz w:val="21"/>
        </w:rPr>
        <w:t xml:space="preserve">The six merits are presented </w:t>
      </w:r>
      <w:r>
        <w:rPr>
          <w:rFonts w:ascii="Inter" w:hAnsi="Inter" w:cs="Inter"/>
          <w:b/>
          <w:i w:val="0"/>
          <w:color w:val="5B5F77"/>
          <w:sz w:val="21"/>
        </w:rPr>
        <w:t>in the same order and wording as the call</w:t>
      </w:r>
      <w:r>
        <w:rPr>
          <w:rFonts w:ascii="Inter" w:hAnsi="Inter" w:cs="Inter"/>
          <w:b w:val="0"/>
          <w:i w:val="0"/>
          <w:color w:val="5B5F77"/>
          <w:sz w:val="21"/>
        </w:rPr>
        <w:t>, each with its weight (5%), status and supporting document.</w:t>
      </w:r>
    </w:p>
    <w:p>
      <w:pPr>
        <w:pBdr>
          <w:bottom w:val="single" w:sz="6" w:space="1" w:color="E6E8F2"/>
        </w:pBdr>
      </w:pPr>
    </w:p>
    <w:p>
      <w:pPr>
        <w:spacing w:before="320" w:after="120"/>
      </w:pPr>
      <w:r>
        <w:rPr>
          <w:rFonts w:ascii="Fraunces" w:hAnsi="Fraunces" w:cs="Fraunces"/>
          <w:b/>
          <w:i w:val="0"/>
          <w:color w:val="22307C"/>
          <w:sz w:val="32"/>
        </w:rPr>
        <w:t xml:space="preserve">B.1 · Extraordinary award for the undergraduate degree — </w:t>
      </w:r>
      <w:r>
        <w:rPr>
          <w:rFonts w:ascii="Fraunces" w:hAnsi="Fraunces" w:cs="Fraunces"/>
          <w:b/>
          <w:i w:val="0"/>
          <w:color w:val="22307C"/>
          <w:sz w:val="32"/>
        </w:rPr>
        <w:t>5 %</w:t>
      </w:r>
      <w:r>
        <w:rPr>
          <w:rFonts w:ascii="Fraunces" w:hAnsi="Fraunces" w:cs="Fraunces"/>
          <w:b/>
          <w:i w:val="0"/>
          <w:color w:val="22307C"/>
          <w:sz w:val="32"/>
        </w:rPr>
        <w:t xml:space="preserve"> ✅ EVIDENCED AND </w:t>
      </w:r>
      <w:r>
        <w:rPr>
          <w:rFonts w:ascii="Fraunces" w:hAnsi="Fraunces" w:cs="Fraunces"/>
          <w:b/>
          <w:i w:val="0"/>
          <w:color w:val="22307C"/>
          <w:sz w:val="32"/>
        </w:rPr>
        <w:t>APOSTILLED</w:t>
      </w:r>
    </w:p>
    <w:p>
      <w:r>
        <w:rPr>
          <w:rFonts w:ascii="Inter" w:hAnsi="Inter" w:cs="Inter"/>
          <w:b/>
          <w:i w:val="0"/>
          <w:color w:val="1C1E2E"/>
          <w:sz w:val="22"/>
        </w:rPr>
        <w:t>First in the graduating class — 1st of 56 graduates</w:t>
      </w:r>
      <w:r>
        <w:rPr>
          <w:rFonts w:ascii="Inter" w:hAnsi="Inter" w:cs="Inter"/>
          <w:b w:val="0"/>
          <w:i w:val="0"/>
          <w:color w:val="1C1E2E"/>
          <w:sz w:val="22"/>
        </w:rPr>
        <w:t>, Degree in Education (English major), ULA – Núcleo Universitario "Dr. Pedro Rincón Gutiérrez", Táchira.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Certified fact</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val="0"/>
                <w:i w:val="0"/>
                <w:color w:val="1C1E2E"/>
                <w:sz w:val="19"/>
              </w:rPr>
              <w:t>Class ranking</w:t>
            </w:r>
          </w:p>
        </w:tc>
        <w:tc>
          <w:tcPr>
            <w:tcW w:type="dxa" w:w="4824"/>
          </w:tcPr>
          <w:p>
            <w:pPr>
              <w:spacing w:after="40"/>
            </w:pPr>
            <w:r/>
            <w:r>
              <w:rPr>
                <w:rFonts w:ascii="Inter" w:hAnsi="Inter" w:cs="Inter"/>
                <w:b/>
                <w:i w:val="0"/>
                <w:color w:val="1C1E2E"/>
                <w:sz w:val="19"/>
              </w:rPr>
              <w:t>FIRST (1st) of FIFTY-SIX (56) graduates</w:t>
            </w:r>
          </w:p>
        </w:tc>
      </w:tr>
      <w:tr>
        <w:tc>
          <w:tcPr>
            <w:tcW w:type="dxa" w:w="4824"/>
          </w:tcPr>
          <w:p>
            <w:pPr>
              <w:spacing w:after="40"/>
            </w:pPr>
            <w:r/>
            <w:r>
              <w:rPr>
                <w:rFonts w:ascii="Inter" w:hAnsi="Inter" w:cs="Inter"/>
                <w:b w:val="0"/>
                <w:i w:val="0"/>
                <w:color w:val="1C1E2E"/>
                <w:sz w:val="19"/>
              </w:rPr>
              <w:t>Candidate's average</w:t>
            </w:r>
          </w:p>
        </w:tc>
        <w:tc>
          <w:tcPr>
            <w:tcW w:type="dxa" w:w="4824"/>
          </w:tcPr>
          <w:p>
            <w:pPr>
              <w:spacing w:after="40"/>
            </w:pPr>
            <w:r/>
            <w:r>
              <w:rPr>
                <w:rFonts w:ascii="Inter" w:hAnsi="Inter" w:cs="Inter"/>
                <w:b/>
                <w:i w:val="0"/>
                <w:color w:val="1C1E2E"/>
                <w:sz w:val="19"/>
              </w:rPr>
              <w:t>18.97 / 20</w:t>
            </w:r>
          </w:p>
        </w:tc>
      </w:tr>
      <w:tr>
        <w:tc>
          <w:tcPr>
            <w:tcW w:type="dxa" w:w="4824"/>
          </w:tcPr>
          <w:p>
            <w:pPr>
              <w:spacing w:after="40"/>
            </w:pPr>
            <w:r/>
            <w:r>
              <w:rPr>
                <w:rFonts w:ascii="Inter" w:hAnsi="Inter" w:cs="Inter"/>
                <w:b w:val="0"/>
                <w:i w:val="0"/>
                <w:color w:val="1C1E2E"/>
                <w:sz w:val="19"/>
              </w:rPr>
              <w:t>Cohort average</w:t>
            </w:r>
          </w:p>
        </w:tc>
        <w:tc>
          <w:tcPr>
            <w:tcW w:type="dxa" w:w="4824"/>
          </w:tcPr>
          <w:p>
            <w:pPr>
              <w:spacing w:after="40"/>
            </w:pPr>
            <w:r/>
            <w:r>
              <w:rPr>
                <w:rFonts w:ascii="Inter" w:hAnsi="Inter" w:cs="Inter"/>
                <w:b w:val="0"/>
                <w:i w:val="0"/>
                <w:color w:val="1C1E2E"/>
                <w:sz w:val="19"/>
              </w:rPr>
              <w:t>15.77 / 20</w:t>
            </w:r>
          </w:p>
        </w:tc>
      </w:tr>
      <w:tr>
        <w:tc>
          <w:tcPr>
            <w:tcW w:type="dxa" w:w="4824"/>
          </w:tcPr>
          <w:p>
            <w:pPr>
              <w:spacing w:after="40"/>
            </w:pPr>
            <w:r/>
            <w:r>
              <w:rPr>
                <w:rFonts w:ascii="Inter" w:hAnsi="Inter" w:cs="Inter"/>
                <w:b w:val="0"/>
                <w:i w:val="0"/>
                <w:color w:val="1C1E2E"/>
                <w:sz w:val="19"/>
              </w:rPr>
              <w:t>Margin over the cohort</w:t>
            </w:r>
          </w:p>
        </w:tc>
        <w:tc>
          <w:tcPr>
            <w:tcW w:type="dxa" w:w="4824"/>
          </w:tcPr>
          <w:p>
            <w:pPr>
              <w:spacing w:after="40"/>
            </w:pPr>
            <w:r/>
            <w:r>
              <w:rPr>
                <w:rFonts w:ascii="Inter" w:hAnsi="Inter" w:cs="Inter"/>
                <w:b/>
                <w:i w:val="0"/>
                <w:color w:val="1C1E2E"/>
                <w:sz w:val="19"/>
              </w:rPr>
              <w:t>+3.20 points</w:t>
            </w:r>
          </w:p>
        </w:tc>
      </w:tr>
      <w:tr>
        <w:tc>
          <w:tcPr>
            <w:tcW w:type="dxa" w:w="4824"/>
          </w:tcPr>
          <w:p>
            <w:pPr>
              <w:spacing w:after="40"/>
            </w:pPr>
            <w:r/>
            <w:r>
              <w:rPr>
                <w:rFonts w:ascii="Inter" w:hAnsi="Inter" w:cs="Inter"/>
                <w:b w:val="0"/>
                <w:i w:val="0"/>
                <w:color w:val="1C1E2E"/>
                <w:sz w:val="19"/>
              </w:rPr>
              <w:t>Document</w:t>
            </w:r>
          </w:p>
        </w:tc>
        <w:tc>
          <w:tcPr>
            <w:tcW w:type="dxa" w:w="4824"/>
          </w:tcPr>
          <w:p>
            <w:pPr>
              <w:spacing w:after="40"/>
            </w:pPr>
            <w:r/>
            <w:r>
              <w:rPr>
                <w:rFonts w:ascii="Inter" w:hAnsi="Inter" w:cs="Inter"/>
                <w:b/>
                <w:i w:val="0"/>
                <w:color w:val="1C1E2E"/>
                <w:sz w:val="19"/>
              </w:rPr>
              <w:t>Constancia de Rango Académico</w:t>
            </w:r>
            <w:r>
              <w:rPr>
                <w:rFonts w:ascii="Inter" w:hAnsi="Inter" w:cs="Inter"/>
                <w:b w:val="0"/>
                <w:i w:val="0"/>
                <w:color w:val="1C1E2E"/>
                <w:sz w:val="19"/>
              </w:rPr>
              <w:t xml:space="preserve"> (Academic Rank Certificate), Student Records Office, ULA-Táchira, 13 January 2026 — signed by the Acting Head of Student Records and the Vice-Rector-Dean</w:t>
            </w:r>
          </w:p>
        </w:tc>
      </w:tr>
      <w:tr>
        <w:tc>
          <w:tcPr>
            <w:tcW w:type="dxa" w:w="4824"/>
          </w:tcPr>
          <w:p>
            <w:pPr>
              <w:spacing w:after="40"/>
            </w:pPr>
            <w:r/>
            <w:r>
              <w:rPr>
                <w:rFonts w:ascii="Inter" w:hAnsi="Inter" w:cs="Inter"/>
                <w:b w:val="0"/>
                <w:i w:val="0"/>
                <w:color w:val="1C1E2E"/>
                <w:sz w:val="19"/>
              </w:rPr>
              <w:t>Signature certification</w:t>
            </w:r>
          </w:p>
        </w:tc>
        <w:tc>
          <w:tcPr>
            <w:tcW w:type="dxa" w:w="4824"/>
          </w:tcPr>
          <w:p>
            <w:pPr>
              <w:spacing w:after="40"/>
            </w:pPr>
            <w:r/>
            <w:r>
              <w:rPr>
                <w:rFonts w:ascii="Inter" w:hAnsi="Inter" w:cs="Inter"/>
                <w:b w:val="0"/>
                <w:i w:val="0"/>
                <w:color w:val="1C1E2E"/>
                <w:sz w:val="19"/>
              </w:rPr>
              <w:t xml:space="preserve">ULA General Secretariat, security paper </w:t>
            </w:r>
            <w:r>
              <w:rPr>
                <w:rFonts w:ascii="Inter" w:hAnsi="Inter" w:cs="Inter"/>
                <w:b/>
                <w:i w:val="0"/>
                <w:color w:val="1C1E2E"/>
                <w:sz w:val="19"/>
              </w:rPr>
              <w:t>no. ⟨no. in the copy submitted to the committee⟩</w:t>
            </w:r>
            <w:r>
              <w:rPr>
                <w:rFonts w:ascii="Inter" w:hAnsi="Inter" w:cs="Inter"/>
                <w:b w:val="0"/>
                <w:i w:val="0"/>
                <w:color w:val="1C1E2E"/>
                <w:sz w:val="19"/>
              </w:rPr>
              <w:t xml:space="preserve">, 30 January 2026; countersigned by the Rector. Verifiable at  under no. </w:t>
            </w:r>
            <w:r>
              <w:rPr>
                <w:rFonts w:ascii="Inter" w:hAnsi="Inter" w:cs="Inter"/>
                <w:b/>
                <w:i w:val="0"/>
                <w:color w:val="1C1E2E"/>
                <w:sz w:val="19"/>
              </w:rPr>
              <w:t>⟨no. in the copy submitted to the committee⟩</w:t>
            </w:r>
          </w:p>
        </w:tc>
      </w:tr>
      <w:tr>
        <w:tc>
          <w:tcPr>
            <w:tcW w:type="dxa" w:w="4824"/>
          </w:tcPr>
          <w:p>
            <w:pPr>
              <w:spacing w:after="40"/>
            </w:pPr>
            <w:r/>
            <w:r>
              <w:rPr>
                <w:rFonts w:ascii="Inter" w:hAnsi="Inter" w:cs="Inter"/>
                <w:b/>
                <w:i w:val="0"/>
                <w:color w:val="1C1E2E"/>
                <w:sz w:val="19"/>
              </w:rPr>
              <w:t>International legalisation</w:t>
            </w:r>
          </w:p>
        </w:tc>
        <w:tc>
          <w:tcPr>
            <w:tcW w:type="dxa" w:w="4824"/>
          </w:tcPr>
          <w:p>
            <w:pPr>
              <w:spacing w:after="40"/>
            </w:pPr>
            <w:r/>
            <w:r>
              <w:rPr>
                <w:rFonts w:ascii="Inter" w:hAnsi="Inter" w:cs="Inter"/>
                <w:b/>
                <w:i w:val="0"/>
                <w:color w:val="1C1E2E"/>
                <w:sz w:val="19"/>
              </w:rPr>
              <w:t>Hague Apostille no. ⟨no. in the copy submitted to the committee⟩</w:t>
            </w:r>
            <w:r>
              <w:rPr>
                <w:rFonts w:ascii="Inter" w:hAnsi="Inter" w:cs="Inter"/>
                <w:b w:val="0"/>
                <w:i w:val="0"/>
                <w:color w:val="1C1E2E"/>
                <w:sz w:val="19"/>
              </w:rPr>
              <w:t xml:space="preserve">, Ministry of Foreign Affairs, Caracas, 20-03-2026 — validatable with code </w:t>
            </w:r>
            <w:r>
              <w:rPr>
                <w:rFonts w:ascii="Inter" w:hAnsi="Inter" w:cs="Inter"/>
                <w:b/>
                <w:i w:val="0"/>
                <w:color w:val="1C1E2E"/>
                <w:sz w:val="19"/>
              </w:rPr>
              <w:t>⟨code in the copy submitted to the committee⟩</w:t>
            </w:r>
            <w:r>
              <w:rPr>
                <w:rFonts w:ascii="Inter" w:hAnsi="Inter" w:cs="Inter"/>
                <w:b w:val="0"/>
                <w:i w:val="0"/>
                <w:color w:val="1C1E2E"/>
                <w:sz w:val="19"/>
              </w:rPr>
              <w:t xml:space="preserve"> at </w:t>
            </w:r>
          </w:p>
        </w:tc>
      </w:tr>
    </w:tbl>
    <w:p/>
    <w:p>
      <w:r>
        <w:rPr>
          <w:rFonts w:ascii="Inter" w:hAnsi="Inter" w:cs="Inter"/>
          <w:b/>
          <w:i w:val="0"/>
          <w:color w:val="1C1E2E"/>
          <w:sz w:val="22"/>
        </w:rPr>
        <w:t>Associated distinctions:</w:t>
      </w:r>
      <w:r>
        <w:rPr>
          <w:rFonts w:ascii="Inter" w:hAnsi="Inter" w:cs="Inter"/>
          <w:b w:val="0"/>
          <w:i w:val="0"/>
          <w:color w:val="1C1E2E"/>
          <w:sz w:val="22"/>
        </w:rPr>
        <w:t xml:space="preserve"> </w:t>
      </w:r>
      <w:r>
        <w:rPr>
          <w:rFonts w:ascii="Inter" w:hAnsi="Inter" w:cs="Inter"/>
          <w:b/>
          <w:i w:val="0"/>
          <w:color w:val="1C1E2E"/>
          <w:sz w:val="22"/>
        </w:rPr>
        <w:t>Summa Cum Laude</w:t>
      </w:r>
      <w:r>
        <w:rPr>
          <w:rFonts w:ascii="Inter" w:hAnsi="Inter" w:cs="Inter"/>
          <w:b w:val="0"/>
          <w:i w:val="0"/>
          <w:color w:val="1C1E2E"/>
          <w:sz w:val="22"/>
        </w:rPr>
        <w:t xml:space="preserve"> and, for the final-year dissertation, a </w:t>
      </w:r>
      <w:r>
        <w:rPr>
          <w:rFonts w:ascii="Inter" w:hAnsi="Inter" w:cs="Inter"/>
          <w:b/>
          <w:i w:val="0"/>
          <w:color w:val="1C1E2E"/>
          <w:sz w:val="22"/>
        </w:rPr>
        <w:t>Diploma of Honour awarded by the Rector of ULA</w:t>
      </w:r>
      <w:r>
        <w:rPr>
          <w:rFonts w:ascii="Inter" w:hAnsi="Inter" w:cs="Inter"/>
          <w:b w:val="0"/>
          <w:i w:val="0"/>
          <w:color w:val="1C1E2E"/>
          <w:sz w:val="22"/>
        </w:rPr>
        <w:t xml:space="preserve"> with a grade of </w:t>
      </w:r>
      <w:r>
        <w:rPr>
          <w:rFonts w:ascii="Inter" w:hAnsi="Inter" w:cs="Inter"/>
          <w:b/>
          <w:i w:val="0"/>
          <w:color w:val="1C1E2E"/>
          <w:sz w:val="22"/>
        </w:rPr>
        <w:t>twenty (20) points — Sobresaliente</w:t>
      </w:r>
      <w:r>
        <w:rPr>
          <w:rFonts w:ascii="Inter" w:hAnsi="Inter" w:cs="Inter"/>
          <w:b w:val="0"/>
          <w:i w:val="0"/>
          <w:color w:val="1C1E2E"/>
          <w:sz w:val="22"/>
        </w:rPr>
        <w:t xml:space="preserve"> (Mérida, 15 November 2004) </w:t>
      </w:r>
      <w:r>
        <w:rPr>
          <w:rFonts w:ascii="Inter" w:hAnsi="Inter" w:cs="Inter"/>
          <w:b/>
          <w:i w:val="0"/>
          <w:color w:val="1C1E2E"/>
          <w:sz w:val="22"/>
        </w:rPr>
        <w:t>[DOC-07]</w:t>
      </w:r>
      <w:r>
        <w:rPr>
          <w:rFonts w:ascii="Inter" w:hAnsi="Inter" w:cs="Inter"/>
          <w:b w:val="0"/>
          <w:i w:val="0"/>
          <w:color w:val="1C1E2E"/>
          <w:sz w:val="22"/>
        </w:rPr>
        <w:t>.</w:t>
      </w:r>
    </w:p>
    <w:p>
      <w:pPr>
        <w:pBdr>
          <w:left w:val="single" w:sz="18" w:space="8" w:color="9A5B00"/>
        </w:pBdr>
        <w:spacing w:before="120" w:after="200"/>
        <w:ind w:left="317"/>
      </w:pPr>
      <w:r>
        <w:rPr>
          <w:rFonts w:ascii="Inter" w:hAnsi="Inter" w:cs="Inter"/>
          <w:b/>
          <w:i w:val="0"/>
          <w:color w:val="5B5F77"/>
          <w:sz w:val="21"/>
        </w:rPr>
        <w:t>How to word this for the committee — it matters.</w:t>
      </w:r>
      <w:r>
        <w:rPr>
          <w:rFonts w:ascii="Inter" w:hAnsi="Inter" w:cs="Inter"/>
          <w:b w:val="0"/>
          <w:i w:val="0"/>
          <w:color w:val="5B5F77"/>
          <w:sz w:val="21"/>
        </w:rPr>
        <w:t xml:space="preserve"> The Venezuelan document is </w:t>
      </w:r>
      <w:r>
        <w:rPr>
          <w:rFonts w:ascii="Inter" w:hAnsi="Inter" w:cs="Inter"/>
          <w:b/>
          <w:i w:val="0"/>
          <w:color w:val="5B5F77"/>
          <w:sz w:val="21"/>
        </w:rPr>
        <w:t>not titled "Premio Extraordinario Fin de Carrera"</w:t>
      </w:r>
      <w:r>
        <w:rPr>
          <w:rFonts w:ascii="Inter" w:hAnsi="Inter" w:cs="Inter"/>
          <w:b w:val="0"/>
          <w:i w:val="0"/>
          <w:color w:val="5B5F77"/>
          <w:sz w:val="21"/>
        </w:rPr>
        <w:t xml:space="preserve">, because ULA does not issue an award under that name: it issues the </w:t>
      </w:r>
      <w:r>
        <w:rPr>
          <w:rFonts w:ascii="Inter" w:hAnsi="Inter" w:cs="Inter"/>
          <w:b/>
          <w:i w:val="0"/>
          <w:color w:val="5B5F77"/>
          <w:sz w:val="21"/>
        </w:rPr>
        <w:t>Academic Rank Certificate</w:t>
      </w:r>
      <w:r>
        <w:rPr>
          <w:rFonts w:ascii="Inter" w:hAnsi="Inter" w:cs="Inter"/>
          <w:b w:val="0"/>
          <w:i w:val="0"/>
          <w:color w:val="5B5F77"/>
          <w:sz w:val="21"/>
        </w:rPr>
        <w:t xml:space="preserve">, its functional equivalent, certifying exactly what the Spanish award evidences — </w:t>
      </w:r>
      <w:r>
        <w:rPr>
          <w:rFonts w:ascii="Inter" w:hAnsi="Inter" w:cs="Inter"/>
          <w:b/>
          <w:i w:val="0"/>
          <w:color w:val="5B5F77"/>
          <w:sz w:val="21"/>
        </w:rPr>
        <w:t>having ranked first in the graduating class</w:t>
      </w:r>
      <w:r>
        <w:rPr>
          <w:rFonts w:ascii="Inter" w:hAnsi="Inter" w:cs="Inter"/>
          <w:b w:val="0"/>
          <w:i w:val="0"/>
          <w:color w:val="5B5F77"/>
          <w:sz w:val="21"/>
        </w:rPr>
        <w:t xml:space="preserve">. Present it in those terms and attach the apostilled certificate: the committee then sees a verifiable number (1st of 56; 18.97 against 15.77) instead of a label it would have to interpret. It is also the </w:t>
      </w:r>
      <w:r>
        <w:rPr>
          <w:rFonts w:ascii="Inter" w:hAnsi="Inter" w:cs="Inter"/>
          <w:b/>
          <w:i w:val="0"/>
          <w:color w:val="5B5F77"/>
          <w:sz w:val="21"/>
        </w:rPr>
        <w:t>best-documented merit in the whole file</w:t>
      </w:r>
      <w:r>
        <w:rPr>
          <w:rFonts w:ascii="Inter" w:hAnsi="Inter" w:cs="Inter"/>
          <w:b w:val="0"/>
          <w:i w:val="0"/>
          <w:color w:val="5B5F77"/>
          <w:sz w:val="21"/>
        </w:rPr>
        <w:t>: official certificate + Rectorate signature certification + Hague Apostille with an online validation code. No other rubric item reaches that standard of proof.</w:t>
      </w:r>
    </w:p>
    <w:p>
      <w:r>
        <w:rPr>
          <w:rFonts w:ascii="Inter" w:hAnsi="Inter" w:cs="Inter"/>
          <w:b/>
          <w:i w:val="0"/>
          <w:color w:val="1C1E2E"/>
          <w:sz w:val="22"/>
        </w:rPr>
        <w:t>Evidence:</w:t>
      </w:r>
      <w:r>
        <w:rPr>
          <w:rFonts w:ascii="Inter" w:hAnsi="Inter" w:cs="Inter"/>
          <w:b w:val="0"/>
          <w:i w:val="0"/>
          <w:color w:val="1C1E2E"/>
          <w:sz w:val="22"/>
        </w:rPr>
        <w:t xml:space="preserve"> Academic Rank Certificate with rectoral certification and apostille </w:t>
      </w:r>
      <w:r>
        <w:rPr>
          <w:rFonts w:ascii="Inter" w:hAnsi="Inter" w:cs="Inter"/>
          <w:b/>
          <w:i w:val="0"/>
          <w:color w:val="1C1E2E"/>
          <w:sz w:val="22"/>
        </w:rPr>
        <w:t>[DOC-06]</w:t>
      </w:r>
      <w:r>
        <w:rPr>
          <w:rFonts w:ascii="Inter" w:hAnsi="Inter" w:cs="Inter"/>
          <w:b w:val="0"/>
          <w:i w:val="0"/>
          <w:color w:val="1C1E2E"/>
          <w:sz w:val="22"/>
        </w:rPr>
        <w:t xml:space="preserve"> · Diploma of Honour for the dissertation (20/20 Sobresaliente) </w:t>
      </w:r>
      <w:r>
        <w:rPr>
          <w:rFonts w:ascii="Inter" w:hAnsi="Inter" w:cs="Inter"/>
          <w:b/>
          <w:i w:val="0"/>
          <w:color w:val="1C1E2E"/>
          <w:sz w:val="22"/>
        </w:rPr>
        <w:t>[DOC-07]</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B.2 · Extraordinary award for the master's degree — </w:t>
      </w:r>
      <w:r>
        <w:rPr>
          <w:rFonts w:ascii="Fraunces" w:hAnsi="Fraunces" w:cs="Fraunces"/>
          <w:b/>
          <w:i w:val="0"/>
          <w:color w:val="22307C"/>
          <w:sz w:val="32"/>
        </w:rPr>
        <w:t>5 %</w:t>
      </w:r>
      <w:r>
        <w:rPr>
          <w:rFonts w:ascii="Fraunces" w:hAnsi="Fraunces" w:cs="Fraunces"/>
          <w:b/>
          <w:i w:val="0"/>
          <w:color w:val="22307C"/>
          <w:sz w:val="32"/>
        </w:rPr>
        <w:t xml:space="preserve"> ❌ NOT APPLICABLE</w:t>
      </w:r>
    </w:p>
    <w:p>
      <w:r>
        <w:rPr>
          <w:rFonts w:ascii="Inter" w:hAnsi="Inter" w:cs="Inter"/>
          <w:b/>
          <w:i w:val="0"/>
          <w:color w:val="1C1E2E"/>
          <w:sz w:val="22"/>
        </w:rPr>
        <w:t>The Extraordinary Award held is the undergraduate one (§B.1), not a master's award.</w:t>
      </w:r>
      <w:r>
        <w:rPr>
          <w:rFonts w:ascii="Inter" w:hAnsi="Inter" w:cs="Inter"/>
          <w:b w:val="0"/>
          <w:i w:val="0"/>
          <w:color w:val="1C1E2E"/>
          <w:sz w:val="22"/>
        </w:rPr>
        <w:t xml:space="preserve"> No award is declared here.</w:t>
      </w:r>
    </w:p>
    <w:p>
      <w:r>
        <w:rPr>
          <w:rFonts w:ascii="Inter" w:hAnsi="Inter" w:cs="Inter"/>
          <w:b/>
          <w:i w:val="0"/>
          <w:color w:val="1C1E2E"/>
          <w:sz w:val="22"/>
        </w:rPr>
        <w:t>What is declared instead, as the master's academic distinction</w:t>
      </w:r>
      <w:r>
        <w:rPr>
          <w:rFonts w:ascii="Inter" w:hAnsi="Inter" w:cs="Inter"/>
          <w:b w:val="0"/>
          <w:i w:val="0"/>
          <w:color w:val="1C1E2E"/>
          <w:sz w:val="22"/>
        </w:rPr>
        <w:t xml:space="preserve"> — reinforcing Block A, not this item:</w:t>
      </w:r>
    </w:p>
    <w:p>
      <w:pPr>
        <w:pStyle w:val="ListBullet"/>
        <w:spacing w:after="60"/>
        <w:ind w:left="403"/>
      </w:pPr>
      <w:r>
        <w:rPr>
          <w:rFonts w:ascii="Inter" w:hAnsi="Inter" w:cs="Inter"/>
          <w:b/>
          <w:i w:val="0"/>
          <w:color w:val="1C1E2E"/>
          <w:sz w:val="22"/>
        </w:rPr>
        <w:t>2 Matrículas de Honor</w:t>
      </w:r>
      <w:r>
        <w:rPr>
          <w:rFonts w:ascii="Inter" w:hAnsi="Inter" w:cs="Inter"/>
          <w:b w:val="0"/>
          <w:i w:val="0"/>
          <w:color w:val="1C1E2E"/>
          <w:sz w:val="22"/>
        </w:rPr>
        <w:t xml:space="preserve"> in the Master's Degree in Languages and Technology (UPV, 2026).</w:t>
      </w:r>
    </w:p>
    <w:p>
      <w:pPr>
        <w:pStyle w:val="ListBullet"/>
        <w:spacing w:after="60"/>
        <w:ind w:left="403"/>
      </w:pPr>
      <w:r>
        <w:rPr>
          <w:rFonts w:ascii="Inter" w:hAnsi="Inter" w:cs="Inter"/>
          <w:b w:val="0"/>
          <w:i w:val="0"/>
          <w:color w:val="1C1E2E"/>
          <w:sz w:val="22"/>
        </w:rPr>
        <w:t xml:space="preserve">Grade-point average </w:t>
      </w:r>
      <w:r>
        <w:rPr>
          <w:rFonts w:ascii="Inter" w:hAnsi="Inter" w:cs="Inter"/>
          <w:b/>
          <w:i w:val="0"/>
          <w:color w:val="1C1E2E"/>
          <w:sz w:val="22"/>
        </w:rPr>
        <w:t>9.4 / 10</w:t>
      </w:r>
      <w:r>
        <w:rPr>
          <w:rFonts w:ascii="Inter" w:hAnsi="Inter" w:cs="Inter"/>
          <w:b w:val="0"/>
          <w:i w:val="0"/>
          <w:color w:val="1C1E2E"/>
          <w:sz w:val="22"/>
        </w:rPr>
        <w:t>.</w:t>
      </w:r>
    </w:p>
    <w:p>
      <w:pPr>
        <w:pStyle w:val="ListBullet"/>
        <w:spacing w:after="60"/>
        <w:ind w:left="403"/>
      </w:pPr>
      <w:r>
        <w:rPr>
          <w:rFonts w:ascii="Inter" w:hAnsi="Inter" w:cs="Inter"/>
          <w:b/>
          <w:i w:val="0"/>
          <w:color w:val="1C1E2E"/>
          <w:sz w:val="22"/>
        </w:rPr>
        <w:t>10/10</w:t>
      </w:r>
      <w:r>
        <w:rPr>
          <w:rFonts w:ascii="Inter" w:hAnsi="Inter" w:cs="Inter"/>
          <w:b w:val="0"/>
          <w:i w:val="0"/>
          <w:color w:val="1C1E2E"/>
          <w:sz w:val="22"/>
        </w:rPr>
        <w:t xml:space="preserve"> for the </w:t>
      </w:r>
      <w:r>
        <w:rPr>
          <w:rFonts w:ascii="Inter" w:hAnsi="Inter" w:cs="Inter"/>
          <w:b w:val="0"/>
          <w:i/>
          <w:color w:val="1C1E2E"/>
          <w:sz w:val="22"/>
        </w:rPr>
        <w:t>Academic Writing Journey</w:t>
      </w:r>
      <w:r>
        <w:rPr>
          <w:rFonts w:ascii="Inter" w:hAnsi="Inter" w:cs="Inter"/>
          <w:b w:val="0"/>
          <w:i w:val="0"/>
          <w:color w:val="1C1E2E"/>
          <w:sz w:val="22"/>
        </w:rPr>
        <w:t xml:space="preserve"> project.</w:t>
      </w:r>
    </w:p>
    <w:p>
      <w:pPr>
        <w:pBdr>
          <w:left w:val="single" w:sz="18" w:space="8" w:color="9A5B00"/>
        </w:pBdr>
        <w:spacing w:before="120" w:after="200"/>
        <w:ind w:left="317"/>
      </w:pPr>
      <w:r>
        <w:rPr>
          <w:rFonts w:ascii="Inter" w:hAnsi="Inter" w:cs="Inter"/>
          <w:b/>
          <w:i w:val="0"/>
          <w:color w:val="5B5F77"/>
          <w:sz w:val="21"/>
        </w:rPr>
        <w:t>Why leaving this at zero is the right call.</w:t>
      </w:r>
      <w:r>
        <w:rPr>
          <w:rFonts w:ascii="Inter" w:hAnsi="Inter" w:cs="Inter"/>
          <w:b w:val="0"/>
          <w:i w:val="0"/>
          <w:color w:val="5B5F77"/>
          <w:sz w:val="21"/>
        </w:rPr>
        <w:t xml:space="preserve"> A </w:t>
      </w:r>
      <w:r>
        <w:rPr>
          <w:rFonts w:ascii="Inter" w:hAnsi="Inter" w:cs="Inter"/>
          <w:b w:val="0"/>
          <w:i/>
          <w:color w:val="5B5F77"/>
          <w:sz w:val="21"/>
        </w:rPr>
        <w:t>Matrícula de Honor</w:t>
      </w:r>
      <w:r>
        <w:rPr>
          <w:rFonts w:ascii="Inter" w:hAnsi="Inter" w:cs="Inter"/>
          <w:b w:val="0"/>
          <w:i w:val="0"/>
          <w:color w:val="5B5F77"/>
          <w:sz w:val="21"/>
        </w:rPr>
        <w:t xml:space="preserve"> is a course-level grade; the </w:t>
      </w:r>
      <w:r>
        <w:rPr>
          <w:rFonts w:ascii="Inter" w:hAnsi="Inter" w:cs="Inter"/>
          <w:b w:val="0"/>
          <w:i/>
          <w:color w:val="5B5F77"/>
          <w:sz w:val="21"/>
        </w:rPr>
        <w:t>Extraordinary Master's Award</w:t>
      </w:r>
      <w:r>
        <w:rPr>
          <w:rFonts w:ascii="Inter" w:hAnsi="Inter" w:cs="Inter"/>
          <w:b w:val="0"/>
          <w:i w:val="0"/>
          <w:color w:val="5B5F77"/>
          <w:sz w:val="21"/>
        </w:rPr>
        <w:t xml:space="preserve"> is a university resolution recognising the best record of the cohort. Declaring one as the other would void the merit and undercut the credibility of the rest of the CV — precisely when §B.1 does supply a real award, certified and apostilled. Should UPV later resolve the Extraordinary Award in your favour, add the resolution as </w:t>
      </w:r>
      <w:r>
        <w:rPr>
          <w:rFonts w:ascii="Inter" w:hAnsi="Inter" w:cs="Inter"/>
          <w:b/>
          <w:i w:val="0"/>
          <w:color w:val="5B5F77"/>
          <w:sz w:val="21"/>
        </w:rPr>
        <w:t>[DOC-08]</w:t>
      </w:r>
      <w:r>
        <w:rPr>
          <w:rFonts w:ascii="Inter" w:hAnsi="Inter" w:cs="Inter"/>
          <w:b w:val="0"/>
          <w:i w:val="0"/>
          <w:color w:val="5B5F77"/>
          <w:sz w:val="21"/>
        </w:rPr>
        <w:t xml:space="preserve"> and this item begins to score.</w:t>
      </w:r>
    </w:p>
    <w:p>
      <w:r>
        <w:rPr>
          <w:rFonts w:ascii="Inter" w:hAnsi="Inter" w:cs="Inter"/>
          <w:b/>
          <w:i w:val="0"/>
          <w:color w:val="1C1E2E"/>
          <w:sz w:val="22"/>
        </w:rPr>
        <w:t>Evidence:</w:t>
      </w:r>
      <w:r>
        <w:rPr>
          <w:rFonts w:ascii="Inter" w:hAnsi="Inter" w:cs="Inter"/>
          <w:b w:val="0"/>
          <w:i w:val="0"/>
          <w:color w:val="1C1E2E"/>
          <w:sz w:val="22"/>
        </w:rPr>
        <w:t xml:space="preserve"> academic transcript showing the 2 Matrículas de Honor, included in </w:t>
      </w:r>
      <w:r>
        <w:rPr>
          <w:rFonts w:ascii="Inter" w:hAnsi="Inter" w:cs="Inter"/>
          <w:b/>
          <w:i w:val="0"/>
          <w:color w:val="1C1E2E"/>
          <w:sz w:val="22"/>
        </w:rPr>
        <w:t>[DOC-01]</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B.3 · A second master's degree — </w:t>
      </w:r>
      <w:r>
        <w:rPr>
          <w:rFonts w:ascii="Fraunces" w:hAnsi="Fraunces" w:cs="Fraunces"/>
          <w:b/>
          <w:i w:val="0"/>
          <w:color w:val="22307C"/>
          <w:sz w:val="32"/>
        </w:rPr>
        <w:t>5 %</w:t>
      </w:r>
      <w:r>
        <w:rPr>
          <w:rFonts w:ascii="Fraunces" w:hAnsi="Fraunces" w:cs="Fraunces"/>
          <w:b/>
          <w:i w:val="0"/>
          <w:color w:val="22307C"/>
          <w:sz w:val="32"/>
        </w:rPr>
        <w:t xml:space="preserve"> ❌ NOT HELD AT PRESENT</w:t>
      </w:r>
    </w:p>
    <w:p>
      <w:r>
        <w:rPr>
          <w:rFonts w:ascii="Inter" w:hAnsi="Inter" w:cs="Inter"/>
          <w:b w:val="0"/>
          <w:i w:val="0"/>
          <w:color w:val="1C1E2E"/>
          <w:sz w:val="22"/>
        </w:rPr>
        <w:t>As of this application, no second official master's degree is held besides the Master's in Languages and Technology (UPV).</w:t>
      </w:r>
    </w:p>
    <w:p>
      <w:r>
        <w:rPr>
          <w:rFonts w:ascii="Inter" w:hAnsi="Inter" w:cs="Inter"/>
          <w:b/>
          <w:i w:val="0"/>
          <w:color w:val="1C1E2E"/>
          <w:sz w:val="22"/>
        </w:rPr>
        <w:t>What can be offered as complementary postgraduate training</w:t>
      </w:r>
      <w:r>
        <w:rPr>
          <w:rFonts w:ascii="Inter" w:hAnsi="Inter" w:cs="Inter"/>
          <w:b w:val="0"/>
          <w:i w:val="0"/>
          <w:color w:val="1C1E2E"/>
          <w:sz w:val="22"/>
        </w:rPr>
        <w:t xml:space="preserve"> (it does not score in this item, but strengthens the file as a whole and is declared in §6):</w:t>
      </w:r>
    </w:p>
    <w:p>
      <w:pPr>
        <w:pStyle w:val="ListBullet"/>
        <w:spacing w:after="60"/>
        <w:ind w:left="403"/>
      </w:pPr>
      <w:r>
        <w:rPr>
          <w:rFonts w:ascii="Inter" w:hAnsi="Inter" w:cs="Inter"/>
          <w:b w:val="0"/>
          <w:i/>
          <w:color w:val="1C1E2E"/>
          <w:sz w:val="22"/>
        </w:rPr>
        <w:t>Instructional Design: Course Planning and Pedagogy</w:t>
      </w:r>
      <w:r>
        <w:rPr>
          <w:rFonts w:ascii="Inter" w:hAnsi="Inter" w:cs="Inter"/>
          <w:b w:val="0"/>
          <w:i w:val="0"/>
          <w:color w:val="1C1E2E"/>
          <w:sz w:val="22"/>
        </w:rPr>
        <w:t xml:space="preserve"> — University of California, Irvine (Division of Continuing Education), January 2025.</w:t>
      </w:r>
    </w:p>
    <w:p>
      <w:pPr>
        <w:pStyle w:val="ListBullet"/>
        <w:spacing w:after="60"/>
        <w:ind w:left="403"/>
      </w:pPr>
      <w:r>
        <w:rPr>
          <w:rFonts w:ascii="Inter" w:hAnsi="Inter" w:cs="Inter"/>
          <w:b w:val="0"/>
          <w:i/>
          <w:color w:val="1C1E2E"/>
          <w:sz w:val="22"/>
        </w:rPr>
        <w:t>Instructional Design Fundamentals</w:t>
      </w:r>
      <w:r>
        <w:rPr>
          <w:rFonts w:ascii="Inter" w:hAnsi="Inter" w:cs="Inter"/>
          <w:b w:val="0"/>
          <w:i w:val="0"/>
          <w:color w:val="1C1E2E"/>
          <w:sz w:val="22"/>
        </w:rPr>
        <w:t xml:space="preserve"> — University of Cambridge (Professional and Continuing Education), March 2025.</w:t>
      </w:r>
    </w:p>
    <w:p>
      <w:pPr>
        <w:pStyle w:val="ListBullet"/>
        <w:spacing w:after="60"/>
        <w:ind w:left="403"/>
      </w:pPr>
      <w:r>
        <w:rPr>
          <w:rFonts w:ascii="Inter" w:hAnsi="Inter" w:cs="Inter"/>
          <w:b w:val="0"/>
          <w:i/>
          <w:color w:val="1C1E2E"/>
          <w:sz w:val="22"/>
        </w:rPr>
        <w:t>AP Stylebook Workshop Certificate</w:t>
      </w:r>
      <w:r>
        <w:rPr>
          <w:rFonts w:ascii="Inter" w:hAnsi="Inter" w:cs="Inter"/>
          <w:b w:val="0"/>
          <w:i w:val="0"/>
          <w:color w:val="1C1E2E"/>
          <w:sz w:val="22"/>
        </w:rPr>
        <w:t xml:space="preserve"> — The Associated Press, May 2024 (valid to December 2034).</w:t>
      </w:r>
    </w:p>
    <w:p>
      <w:pPr>
        <w:pStyle w:val="ListBullet"/>
        <w:spacing w:after="60"/>
        <w:ind w:left="403"/>
      </w:pPr>
      <w:r>
        <w:rPr>
          <w:rFonts w:ascii="Inter" w:hAnsi="Inter" w:cs="Inter"/>
          <w:b w:val="0"/>
          <w:i/>
          <w:color w:val="1C1E2E"/>
          <w:sz w:val="22"/>
        </w:rPr>
        <w:t>Digital Content Creation, Mobile Learning and Gamification</w:t>
      </w:r>
      <w:r>
        <w:rPr>
          <w:rFonts w:ascii="Inter" w:hAnsi="Inter" w:cs="Inter"/>
          <w:b w:val="0"/>
          <w:i w:val="0"/>
          <w:color w:val="1C1E2E"/>
          <w:sz w:val="22"/>
        </w:rPr>
        <w:t xml:space="preserve"> — SEPE, 2024.</w:t>
      </w:r>
    </w:p>
    <w:p>
      <w:pPr>
        <w:pBdr>
          <w:left w:val="single" w:sz="18" w:space="8" w:color="9A5B00"/>
        </w:pBdr>
        <w:spacing w:before="120" w:after="200"/>
        <w:ind w:left="317"/>
      </w:pPr>
      <w:r>
        <w:rPr>
          <w:rFonts w:ascii="Inter" w:hAnsi="Inter" w:cs="Inter"/>
          <w:b/>
          <w:i w:val="0"/>
          <w:color w:val="5B5F77"/>
          <w:sz w:val="21"/>
        </w:rPr>
        <w:t>Strategic note.</w:t>
      </w:r>
      <w:r>
        <w:rPr>
          <w:rFonts w:ascii="Inter" w:hAnsi="Inter" w:cs="Inter"/>
          <w:b w:val="0"/>
          <w:i w:val="0"/>
          <w:color w:val="5B5F77"/>
          <w:sz w:val="21"/>
        </w:rPr>
        <w:t xml:space="preserve"> This is the only one of the six merits currently at zero. Leaving it honestly at zero is the right call: the committee values a coherent file, and the other five items are covered. Passing off specialist short courses as an official master's degree is not worth the risk.</w:t>
      </w:r>
    </w:p>
    <w:p>
      <w:pPr>
        <w:pBdr>
          <w:bottom w:val="single" w:sz="6" w:space="1" w:color="E6E8F2"/>
        </w:pBdr>
      </w:pPr>
    </w:p>
    <w:p>
      <w:pPr>
        <w:spacing w:before="320" w:after="120"/>
      </w:pPr>
      <w:r>
        <w:rPr>
          <w:rFonts w:ascii="Fraunces" w:hAnsi="Fraunces" w:cs="Fraunces"/>
          <w:b/>
          <w:i w:val="0"/>
          <w:color w:val="22307C"/>
          <w:sz w:val="32"/>
        </w:rPr>
        <w:t xml:space="preserve">B.4 · Knowledge of languages other than those of the previous degrees — </w:t>
      </w:r>
      <w:r>
        <w:rPr>
          <w:rFonts w:ascii="Fraunces" w:hAnsi="Fraunces" w:cs="Fraunces"/>
          <w:b/>
          <w:i w:val="0"/>
          <w:color w:val="22307C"/>
          <w:sz w:val="32"/>
        </w:rPr>
        <w:t>5 %</w:t>
      </w:r>
      <w:r>
        <w:rPr>
          <w:rFonts w:ascii="Fraunces" w:hAnsi="Fraunces" w:cs="Fraunces"/>
          <w:b/>
          <w:i w:val="0"/>
          <w:color w:val="22307C"/>
          <w:sz w:val="32"/>
        </w:rPr>
        <w:t xml:space="preserve"> ⚠️ INTERPRETATION</w:t>
      </w:r>
    </w:p>
    <w:p>
      <w:r>
        <w:rPr>
          <w:rFonts w:ascii="Inter" w:hAnsi="Inter" w:cs="Inter"/>
          <w:b/>
          <w:i w:val="0"/>
          <w:color w:val="1C1E2E"/>
          <w:sz w:val="22"/>
        </w:rPr>
        <w:t>Credentials supplied:</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Credential</w:t>
            </w:r>
          </w:p>
        </w:tc>
        <w:tc>
          <w:tcPr>
            <w:tcW w:type="dxa" w:w="3216"/>
            <w:shd w:val="clear" w:color="auto" w:fill="EEF2FD"/>
          </w:tcPr>
          <w:p>
            <w:pPr>
              <w:spacing w:after="40"/>
            </w:pPr>
            <w:r/>
            <w:r>
              <w:rPr>
                <w:rFonts w:ascii="Inter" w:hAnsi="Inter" w:cs="Inter"/>
                <w:b/>
                <w:i w:val="0"/>
                <w:color w:val="22307C"/>
                <w:sz w:val="19"/>
              </w:rPr>
              <w:t>Awarding body</w:t>
            </w:r>
          </w:p>
        </w:tc>
        <w:tc>
          <w:tcPr>
            <w:tcW w:type="dxa" w:w="3216"/>
            <w:shd w:val="clear" w:color="auto" w:fill="EEF2FD"/>
          </w:tcPr>
          <w:p>
            <w:pPr>
              <w:spacing w:after="40"/>
            </w:pPr>
            <w:r/>
            <w:r>
              <w:rPr>
                <w:rFonts w:ascii="Inter" w:hAnsi="Inter" w:cs="Inter"/>
                <w:b/>
                <w:i w:val="0"/>
                <w:color w:val="22307C"/>
                <w:sz w:val="19"/>
              </w:rPr>
              <w:t>Level / status</w:t>
            </w:r>
          </w:p>
        </w:tc>
      </w:tr>
      <w:tr>
        <w:tc>
          <w:tcPr>
            <w:tcW w:type="dxa" w:w="3216"/>
          </w:tcPr>
          <w:p>
            <w:pPr>
              <w:spacing w:after="40"/>
            </w:pPr>
            <w:r/>
            <w:r>
              <w:rPr>
                <w:rFonts w:ascii="Inter" w:hAnsi="Inter" w:cs="Inter"/>
                <w:b/>
                <w:i w:val="0"/>
                <w:color w:val="1C1E2E"/>
                <w:sz w:val="19"/>
              </w:rPr>
              <w:t>C1 Advanced (CAE)</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i w:val="0"/>
                <w:color w:val="1C1E2E"/>
                <w:sz w:val="19"/>
              </w:rPr>
              <w:t>C1</w:t>
            </w:r>
            <w:r>
              <w:rPr>
                <w:rFonts w:ascii="Inter" w:hAnsi="Inter" w:cs="Inter"/>
                <w:b w:val="0"/>
                <w:i w:val="0"/>
                <w:color w:val="1C1E2E"/>
                <w:sz w:val="19"/>
              </w:rPr>
              <w:t xml:space="preserve"> — official certificate </w:t>
            </w:r>
            <w:r>
              <w:rPr>
                <w:rFonts w:ascii="Inter" w:hAnsi="Inter" w:cs="Inter"/>
                <w:b/>
                <w:i w:val="0"/>
                <w:color w:val="1C1E2E"/>
                <w:sz w:val="19"/>
              </w:rPr>
              <w:t>[DOC-09]</w:t>
            </w:r>
          </w:p>
        </w:tc>
      </w:tr>
      <w:tr>
        <w:tc>
          <w:tcPr>
            <w:tcW w:type="dxa" w:w="3216"/>
          </w:tcPr>
          <w:p>
            <w:pPr>
              <w:spacing w:after="40"/>
            </w:pPr>
            <w:r/>
            <w:r>
              <w:rPr>
                <w:rFonts w:ascii="Inter" w:hAnsi="Inter" w:cs="Inter"/>
                <w:b/>
                <w:i w:val="0"/>
                <w:color w:val="1C1E2E"/>
                <w:sz w:val="19"/>
              </w:rPr>
              <w:t>CELTA</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val="0"/>
                <w:i w:val="0"/>
                <w:color w:val="1C1E2E"/>
                <w:sz w:val="19"/>
              </w:rPr>
              <w:t xml:space="preserve">English teaching qualification </w:t>
            </w:r>
            <w:r>
              <w:rPr>
                <w:rFonts w:ascii="Inter" w:hAnsi="Inter" w:cs="Inter"/>
                <w:b/>
                <w:i w:val="0"/>
                <w:color w:val="1C1E2E"/>
                <w:sz w:val="19"/>
              </w:rPr>
              <w:t>[DOC-10]</w:t>
            </w:r>
          </w:p>
        </w:tc>
      </w:tr>
      <w:tr>
        <w:tc>
          <w:tcPr>
            <w:tcW w:type="dxa" w:w="3216"/>
          </w:tcPr>
          <w:p>
            <w:pPr>
              <w:spacing w:after="40"/>
            </w:pPr>
            <w:r/>
            <w:r>
              <w:rPr>
                <w:rFonts w:ascii="Inter" w:hAnsi="Inter" w:cs="Inter"/>
                <w:b/>
                <w:i w:val="0"/>
                <w:color w:val="1C1E2E"/>
                <w:sz w:val="19"/>
              </w:rPr>
              <w:t>Accredited DELE examiner</w:t>
            </w:r>
          </w:p>
        </w:tc>
        <w:tc>
          <w:tcPr>
            <w:tcW w:type="dxa" w:w="3216"/>
          </w:tcPr>
          <w:p>
            <w:pPr>
              <w:spacing w:after="40"/>
            </w:pPr>
            <w:r/>
            <w:r>
              <w:rPr>
                <w:rFonts w:ascii="Inter" w:hAnsi="Inter" w:cs="Inter"/>
                <w:b w:val="0"/>
                <w:i w:val="0"/>
                <w:color w:val="1C1E2E"/>
                <w:sz w:val="19"/>
              </w:rPr>
              <w:t>Instituto Cervantes</w:t>
            </w:r>
          </w:p>
        </w:tc>
        <w:tc>
          <w:tcPr>
            <w:tcW w:type="dxa" w:w="3216"/>
          </w:tcPr>
          <w:p>
            <w:pPr>
              <w:spacing w:after="40"/>
            </w:pPr>
            <w:r/>
            <w:r>
              <w:rPr>
                <w:rFonts w:ascii="Inter" w:hAnsi="Inter" w:cs="Inter"/>
                <w:b w:val="0"/>
                <w:i w:val="0"/>
                <w:color w:val="1C1E2E"/>
                <w:sz w:val="19"/>
              </w:rPr>
              <w:t xml:space="preserve">Current accreditation </w:t>
            </w:r>
            <w:r>
              <w:rPr>
                <w:rFonts w:ascii="Inter" w:hAnsi="Inter" w:cs="Inter"/>
                <w:b/>
                <w:i w:val="0"/>
                <w:color w:val="1C1E2E"/>
                <w:sz w:val="19"/>
              </w:rPr>
              <w:t>[DOC-11]</w:t>
            </w:r>
          </w:p>
        </w:tc>
      </w:tr>
    </w:tbl>
    <w:p/>
    <w:p>
      <w:pPr>
        <w:pBdr>
          <w:left w:val="single" w:sz="18" w:space="8" w:color="9A5B00"/>
        </w:pBdr>
        <w:spacing w:before="120" w:after="200"/>
        <w:ind w:left="317"/>
      </w:pPr>
      <w:r>
        <w:rPr>
          <w:rFonts w:ascii="Inter" w:hAnsi="Inter" w:cs="Inter"/>
          <w:b/>
          <w:i w:val="0"/>
          <w:color w:val="5B5F77"/>
          <w:sz w:val="21"/>
        </w:rPr>
        <w:t>Honest warning.</w:t>
      </w:r>
      <w:r>
        <w:rPr>
          <w:rFonts w:ascii="Inter" w:hAnsi="Inter" w:cs="Inter"/>
          <w:b w:val="0"/>
          <w:i w:val="0"/>
          <w:color w:val="5B5F77"/>
          <w:sz w:val="21"/>
        </w:rPr>
        <w:t xml:space="preserve"> The call scores languages </w:t>
      </w:r>
      <w:r>
        <w:rPr>
          <w:rFonts w:ascii="Inter" w:hAnsi="Inter" w:cs="Inter"/>
          <w:b/>
          <w:i w:val="0"/>
          <w:color w:val="5B5F77"/>
          <w:sz w:val="21"/>
        </w:rPr>
        <w:t>other than those of the previous degrees</w:t>
      </w:r>
      <w:r>
        <w:rPr>
          <w:rFonts w:ascii="Inter" w:hAnsi="Inter" w:cs="Inter"/>
          <w:b w:val="0"/>
          <w:i w:val="0"/>
          <w:color w:val="5B5F77"/>
          <w:sz w:val="21"/>
        </w:rPr>
        <w:t xml:space="preserve">. Since the undergraduate degree is an </w:t>
      </w:r>
      <w:r>
        <w:rPr>
          <w:rFonts w:ascii="Inter" w:hAnsi="Inter" w:cs="Inter"/>
          <w:b w:val="0"/>
          <w:i/>
          <w:color w:val="5B5F77"/>
          <w:sz w:val="21"/>
        </w:rPr>
        <w:t>English major</w:t>
      </w:r>
      <w:r>
        <w:rPr>
          <w:rFonts w:ascii="Inter" w:hAnsi="Inter" w:cs="Inter"/>
          <w:b w:val="0"/>
          <w:i w:val="0"/>
          <w:color w:val="5B5F77"/>
          <w:sz w:val="21"/>
        </w:rPr>
        <w:t xml:space="preserve"> and the master's is in </w:t>
      </w:r>
      <w:r>
        <w:rPr>
          <w:rFonts w:ascii="Inter" w:hAnsi="Inter" w:cs="Inter"/>
          <w:b w:val="0"/>
          <w:i/>
          <w:color w:val="5B5F77"/>
          <w:sz w:val="21"/>
        </w:rPr>
        <w:t>Languages and Technology</w:t>
      </w:r>
      <w:r>
        <w:rPr>
          <w:rFonts w:ascii="Inter" w:hAnsi="Inter" w:cs="Inter"/>
          <w:b w:val="0"/>
          <w:i w:val="0"/>
          <w:color w:val="5B5F77"/>
          <w:sz w:val="21"/>
        </w:rPr>
        <w:t xml:space="preserve">, the committee may consider English </w:t>
      </w:r>
      <w:r>
        <w:rPr>
          <w:rFonts w:ascii="Inter" w:hAnsi="Inter" w:cs="Inter"/>
          <w:b/>
          <w:i w:val="0"/>
          <w:color w:val="5B5F77"/>
          <w:sz w:val="21"/>
        </w:rPr>
        <w:t>already contained</w:t>
      </w:r>
      <w:r>
        <w:rPr>
          <w:rFonts w:ascii="Inter" w:hAnsi="Inter" w:cs="Inter"/>
          <w:b w:val="0"/>
          <w:i w:val="0"/>
          <w:color w:val="5B5F77"/>
          <w:sz w:val="21"/>
        </w:rPr>
        <w:t xml:space="preserve"> in the degrees and not count it here. Recommended strategy: 1. </w:t>
      </w:r>
      <w:r>
        <w:rPr>
          <w:rFonts w:ascii="Inter" w:hAnsi="Inter" w:cs="Inter"/>
          <w:b/>
          <w:i w:val="0"/>
          <w:color w:val="5B5F77"/>
          <w:sz w:val="21"/>
        </w:rPr>
        <w:t>Submit them anyway</w:t>
      </w:r>
      <w:r>
        <w:rPr>
          <w:rFonts w:ascii="Inter" w:hAnsi="Inter" w:cs="Inter"/>
          <w:b w:val="0"/>
          <w:i w:val="0"/>
          <w:color w:val="5B5F77"/>
          <w:sz w:val="21"/>
        </w:rPr>
        <w:t xml:space="preserve"> — the C1 Advanced, the CELTA and the DELE accreditation strengthen Block A and merit B.6 even if they do not score here. 2. </w:t>
      </w:r>
      <w:r>
        <w:rPr>
          <w:rFonts w:ascii="Inter" w:hAnsi="Inter" w:cs="Inter"/>
          <w:b/>
          <w:i w:val="0"/>
          <w:color w:val="5B5F77"/>
          <w:sz w:val="21"/>
        </w:rPr>
        <w:t>Argue</w:t>
      </w:r>
      <w:r>
        <w:rPr>
          <w:rFonts w:ascii="Inter" w:hAnsi="Inter" w:cs="Inter"/>
          <w:b w:val="0"/>
          <w:i w:val="0"/>
          <w:color w:val="5B5F77"/>
          <w:sz w:val="21"/>
        </w:rPr>
        <w:t xml:space="preserve"> in the application that the Instituto Cervantes DELE accreditation and the Cambridge CELTA are </w:t>
      </w:r>
      <w:r>
        <w:rPr>
          <w:rFonts w:ascii="Inter" w:hAnsi="Inter" w:cs="Inter"/>
          <w:b/>
          <w:i w:val="0"/>
          <w:color w:val="5B5F77"/>
          <w:sz w:val="21"/>
        </w:rPr>
        <w:t>external professional qualifications</w:t>
      </w:r>
      <w:r>
        <w:rPr>
          <w:rFonts w:ascii="Inter" w:hAnsi="Inter" w:cs="Inter"/>
          <w:b w:val="0"/>
          <w:i w:val="0"/>
          <w:color w:val="5B5F77"/>
          <w:sz w:val="21"/>
        </w:rPr>
        <w:t xml:space="preserve">, not competences derived from the degree syllabi. 3. </w:t>
      </w:r>
      <w:r>
        <w:rPr>
          <w:rFonts w:ascii="Inter" w:hAnsi="Inter" w:cs="Inter"/>
          <w:b/>
          <w:i w:val="0"/>
          <w:color w:val="5B5F77"/>
          <w:sz w:val="21"/>
        </w:rPr>
        <w:t>Genuine improvement route (recommended for the next call):</w:t>
      </w:r>
      <w:r>
        <w:rPr>
          <w:rFonts w:ascii="Inter" w:hAnsi="Inter" w:cs="Inter"/>
          <w:b w:val="0"/>
          <w:i w:val="0"/>
          <w:color w:val="5B5F77"/>
          <w:sz w:val="21"/>
        </w:rPr>
        <w:t xml:space="preserve"> obtain an official certificate in a </w:t>
      </w:r>
      <w:r>
        <w:rPr>
          <w:rFonts w:ascii="Inter" w:hAnsi="Inter" w:cs="Inter"/>
          <w:b/>
          <w:i w:val="0"/>
          <w:color w:val="5B5F77"/>
          <w:sz w:val="21"/>
        </w:rPr>
        <w:t>third language</w:t>
      </w:r>
      <w:r>
        <w:rPr>
          <w:rFonts w:ascii="Inter" w:hAnsi="Inter" w:cs="Inter"/>
          <w:b w:val="0"/>
          <w:i w:val="0"/>
          <w:color w:val="5B5F77"/>
          <w:sz w:val="21"/>
        </w:rPr>
        <w:t xml:space="preserve">. In the Valencian context the most cost-effective is </w:t>
      </w:r>
      <w:r>
        <w:rPr>
          <w:rFonts w:ascii="Inter" w:hAnsi="Inter" w:cs="Inter"/>
          <w:b/>
          <w:i w:val="0"/>
          <w:color w:val="5B5F77"/>
          <w:sz w:val="21"/>
        </w:rPr>
        <w:t>Valencian</w:t>
      </w:r>
      <w:r>
        <w:rPr>
          <w:rFonts w:ascii="Inter" w:hAnsi="Inter" w:cs="Inter"/>
          <w:b w:val="0"/>
          <w:i w:val="0"/>
          <w:color w:val="5B5F77"/>
          <w:sz w:val="21"/>
        </w:rPr>
        <w:t xml:space="preserve"> (JQCV / CIEACOVA, levels A2–B2, regular sittings, low cost), followed by </w:t>
      </w:r>
      <w:r>
        <w:rPr>
          <w:rFonts w:ascii="Inter" w:hAnsi="Inter" w:cs="Inter"/>
          <w:b/>
          <w:i w:val="0"/>
          <w:color w:val="5B5F77"/>
          <w:sz w:val="21"/>
        </w:rPr>
        <w:t>French</w:t>
      </w:r>
      <w:r>
        <w:rPr>
          <w:rFonts w:ascii="Inter" w:hAnsi="Inter" w:cs="Inter"/>
          <w:b w:val="0"/>
          <w:i w:val="0"/>
          <w:color w:val="5B5F77"/>
          <w:sz w:val="21"/>
        </w:rPr>
        <w:t xml:space="preserve"> or </w:t>
      </w:r>
      <w:r>
        <w:rPr>
          <w:rFonts w:ascii="Inter" w:hAnsi="Inter" w:cs="Inter"/>
          <w:b/>
          <w:i w:val="0"/>
          <w:color w:val="5B5F77"/>
          <w:sz w:val="21"/>
        </w:rPr>
        <w:t>Italian</w:t>
      </w:r>
      <w:r>
        <w:rPr>
          <w:rFonts w:ascii="Inter" w:hAnsi="Inter" w:cs="Inter"/>
          <w:b w:val="0"/>
          <w:i w:val="0"/>
          <w:color w:val="5B5F77"/>
          <w:sz w:val="21"/>
        </w:rPr>
        <w:t xml:space="preserve"> through the official language schools (EOI). A certified A2–B1 would be enough to activate this 5%.</w:t>
      </w:r>
    </w:p>
    <w:p>
      <w:r>
        <w:rPr>
          <w:rFonts w:ascii="Inter" w:hAnsi="Inter" w:cs="Inter"/>
          <w:b/>
          <w:i w:val="0"/>
          <w:color w:val="1C1E2E"/>
          <w:sz w:val="22"/>
        </w:rPr>
        <w:t>Action:</w:t>
      </w:r>
      <w:r>
        <w:rPr>
          <w:rFonts w:ascii="Inter" w:hAnsi="Inter" w:cs="Inter"/>
          <w:b w:val="0"/>
          <w:i w:val="0"/>
          <w:color w:val="1C1E2E"/>
          <w:sz w:val="22"/>
        </w:rPr>
        <w:t xml:space="preserve"> confirm with the committee, before the deadline, whether English counts in this item. If not, treat it like B.3.</w:t>
      </w:r>
    </w:p>
    <w:p>
      <w:pPr>
        <w:pBdr>
          <w:bottom w:val="single" w:sz="6" w:space="1" w:color="E6E8F2"/>
        </w:pBdr>
      </w:pPr>
    </w:p>
    <w:p>
      <w:pPr>
        <w:spacing w:before="320" w:after="120"/>
      </w:pPr>
      <w:r>
        <w:rPr>
          <w:rFonts w:ascii="Fraunces" w:hAnsi="Fraunces" w:cs="Fraunces"/>
          <w:b/>
          <w:i w:val="0"/>
          <w:color w:val="22307C"/>
          <w:sz w:val="32"/>
        </w:rPr>
        <w:t xml:space="preserve">B.5 · Scholarships and grants obtained — </w:t>
      </w:r>
      <w:r>
        <w:rPr>
          <w:rFonts w:ascii="Fraunces" w:hAnsi="Fraunces" w:cs="Fraunces"/>
          <w:b/>
          <w:i w:val="0"/>
          <w:color w:val="22307C"/>
          <w:sz w:val="32"/>
        </w:rPr>
        <w:t>5 %</w:t>
      </w:r>
      <w:r>
        <w:rPr>
          <w:rFonts w:ascii="Fraunces" w:hAnsi="Fraunces" w:cs="Fraunces"/>
          <w:b/>
          <w:i w:val="0"/>
          <w:color w:val="22307C"/>
          <w:sz w:val="32"/>
        </w:rPr>
        <w:t xml:space="preserve"> ✅ EVIDENCED</w:t>
      </w:r>
    </w:p>
    <w:p>
      <w:r>
        <w:rPr>
          <w:rFonts w:ascii="Inter" w:hAnsi="Inter" w:cs="Inter"/>
          <w:b/>
          <w:i w:val="0"/>
          <w:color w:val="1C1E2E"/>
          <w:sz w:val="22"/>
        </w:rPr>
        <w:t>Two scholarships, one per degree — one merit-based, one awarded through a ministerial call:</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1608"/>
        <w:gridCol w:w="1608"/>
        <w:gridCol w:w="1608"/>
        <w:gridCol w:w="1608"/>
        <w:gridCol w:w="1608"/>
        <w:gridCol w:w="1608"/>
      </w:tblGrid>
      <w:tr>
        <w:tc>
          <w:tcPr>
            <w:tcW w:type="dxa" w:w="1608"/>
            <w:shd w:val="clear" w:color="auto" w:fill="EEF2FD"/>
          </w:tcPr>
          <w:p>
            <w:pPr>
              <w:spacing w:after="40"/>
            </w:pPr>
            <w:r/>
            <w:r>
              <w:rPr>
                <w:rFonts w:ascii="Inter" w:hAnsi="Inter" w:cs="Inter"/>
                <w:b/>
                <w:i w:val="0"/>
                <w:color w:val="22307C"/>
                <w:sz w:val="19"/>
              </w:rPr>
              <w:t>#</w:t>
            </w:r>
          </w:p>
        </w:tc>
        <w:tc>
          <w:tcPr>
            <w:tcW w:type="dxa" w:w="1608"/>
            <w:shd w:val="clear" w:color="auto" w:fill="EEF2FD"/>
          </w:tcPr>
          <w:p>
            <w:pPr>
              <w:spacing w:after="40"/>
            </w:pPr>
            <w:r/>
            <w:r>
              <w:rPr>
                <w:rFonts w:ascii="Inter" w:hAnsi="Inter" w:cs="Inter"/>
                <w:b/>
                <w:i w:val="0"/>
                <w:color w:val="22307C"/>
                <w:sz w:val="19"/>
              </w:rPr>
              <w:t>Scholarship</w:t>
            </w:r>
          </w:p>
        </w:tc>
        <w:tc>
          <w:tcPr>
            <w:tcW w:type="dxa" w:w="1608"/>
            <w:shd w:val="clear" w:color="auto" w:fill="EEF2FD"/>
          </w:tcPr>
          <w:p>
            <w:pPr>
              <w:spacing w:after="40"/>
            </w:pPr>
            <w:r/>
            <w:r>
              <w:rPr>
                <w:rFonts w:ascii="Inter" w:hAnsi="Inter" w:cs="Inter"/>
                <w:b/>
                <w:i w:val="0"/>
                <w:color w:val="22307C"/>
                <w:sz w:val="19"/>
              </w:rPr>
              <w:t>Awarding body</w:t>
            </w:r>
          </w:p>
        </w:tc>
        <w:tc>
          <w:tcPr>
            <w:tcW w:type="dxa" w:w="1608"/>
            <w:shd w:val="clear" w:color="auto" w:fill="EEF2FD"/>
          </w:tcPr>
          <w:p>
            <w:pPr>
              <w:spacing w:after="40"/>
            </w:pPr>
            <w:r/>
            <w:r>
              <w:rPr>
                <w:rFonts w:ascii="Inter" w:hAnsi="Inter" w:cs="Inter"/>
                <w:b/>
                <w:i w:val="0"/>
                <w:color w:val="22307C"/>
                <w:sz w:val="19"/>
              </w:rPr>
              <w:t>Degree / period</w:t>
            </w:r>
          </w:p>
        </w:tc>
        <w:tc>
          <w:tcPr>
            <w:tcW w:type="dxa" w:w="1608"/>
            <w:shd w:val="clear" w:color="auto" w:fill="EEF2FD"/>
          </w:tcPr>
          <w:p>
            <w:pPr>
              <w:spacing w:after="40"/>
            </w:pPr>
            <w:r/>
            <w:r>
              <w:rPr>
                <w:rFonts w:ascii="Inter" w:hAnsi="Inter" w:cs="Inter"/>
                <w:b/>
                <w:i w:val="0"/>
                <w:color w:val="22307C"/>
                <w:sz w:val="19"/>
              </w:rPr>
              <w:t>Type</w:t>
            </w:r>
          </w:p>
        </w:tc>
        <w:tc>
          <w:tcPr>
            <w:tcW w:type="dxa" w:w="1608"/>
            <w:shd w:val="clear" w:color="auto" w:fill="EEF2FD"/>
          </w:tcPr>
          <w:p>
            <w:pPr>
              <w:spacing w:after="40"/>
            </w:pPr>
            <w:r/>
            <w:r>
              <w:rPr>
                <w:rFonts w:ascii="Inter" w:hAnsi="Inter" w:cs="Inter"/>
                <w:b/>
                <w:i w:val="0"/>
                <w:color w:val="22307C"/>
                <w:sz w:val="19"/>
              </w:rPr>
              <w:t>Document</w:t>
            </w:r>
          </w:p>
        </w:tc>
      </w:tr>
      <w:tr>
        <w:tc>
          <w:tcPr>
            <w:tcW w:type="dxa" w:w="1608"/>
          </w:tcPr>
          <w:p>
            <w:pPr>
              <w:spacing w:after="40"/>
            </w:pPr>
            <w:r/>
            <w:r>
              <w:rPr>
                <w:rFonts w:ascii="Inter" w:hAnsi="Inter" w:cs="Inter"/>
                <w:b w:val="0"/>
                <w:i w:val="0"/>
                <w:color w:val="1C1E2E"/>
                <w:sz w:val="19"/>
              </w:rPr>
              <w:t>1</w:t>
            </w:r>
          </w:p>
        </w:tc>
        <w:tc>
          <w:tcPr>
            <w:tcW w:type="dxa" w:w="1608"/>
          </w:tcPr>
          <w:p>
            <w:pPr>
              <w:spacing w:after="40"/>
            </w:pPr>
            <w:r/>
            <w:r>
              <w:rPr>
                <w:rFonts w:ascii="Inter" w:hAnsi="Inter" w:cs="Inter"/>
                <w:b/>
                <w:i w:val="0"/>
                <w:color w:val="1C1E2E"/>
                <w:sz w:val="19"/>
              </w:rPr>
              <w:t>Academic Excellence Scholarship</w:t>
            </w:r>
          </w:p>
        </w:tc>
        <w:tc>
          <w:tcPr>
            <w:tcW w:type="dxa" w:w="1608"/>
          </w:tcPr>
          <w:p>
            <w:pPr>
              <w:spacing w:after="40"/>
            </w:pPr>
            <w:r/>
            <w:r>
              <w:rPr>
                <w:rFonts w:ascii="Inter" w:hAnsi="Inter" w:cs="Inter"/>
                <w:b w:val="0"/>
                <w:i w:val="0"/>
                <w:color w:val="1C1E2E"/>
                <w:sz w:val="19"/>
              </w:rPr>
              <w:t>Universidad de Los Andes (ULA), Táchira, Venezuela</w:t>
            </w:r>
          </w:p>
        </w:tc>
        <w:tc>
          <w:tcPr>
            <w:tcW w:type="dxa" w:w="1608"/>
          </w:tcPr>
          <w:p>
            <w:pPr>
              <w:spacing w:after="40"/>
            </w:pPr>
            <w:r/>
            <w:r>
              <w:rPr>
                <w:rFonts w:ascii="Inter" w:hAnsi="Inter" w:cs="Inter"/>
                <w:b w:val="0"/>
                <w:i w:val="0"/>
                <w:color w:val="1C1E2E"/>
                <w:sz w:val="19"/>
              </w:rPr>
              <w:t xml:space="preserve">Degree in Education, English major · </w:t>
            </w:r>
            <w:r>
              <w:rPr>
                <w:rFonts w:ascii="Inter" w:hAnsi="Inter" w:cs="Inter"/>
                <w:b w:val="0"/>
                <w:i/>
                <w:color w:val="1C1E2E"/>
                <w:sz w:val="19"/>
              </w:rPr>
              <w:t>[year to complete]</w:t>
            </w:r>
          </w:p>
        </w:tc>
        <w:tc>
          <w:tcPr>
            <w:tcW w:type="dxa" w:w="1608"/>
          </w:tcPr>
          <w:p>
            <w:pPr>
              <w:spacing w:after="40"/>
            </w:pPr>
            <w:r/>
            <w:r>
              <w:rPr>
                <w:rFonts w:ascii="Inter" w:hAnsi="Inter" w:cs="Inter"/>
                <w:b/>
                <w:i w:val="0"/>
                <w:color w:val="1C1E2E"/>
                <w:sz w:val="19"/>
              </w:rPr>
              <w:t>Academic excellence</w:t>
            </w:r>
            <w:r>
              <w:rPr>
                <w:rFonts w:ascii="Inter" w:hAnsi="Inter" w:cs="Inter"/>
                <w:b w:val="0"/>
                <w:i w:val="0"/>
                <w:color w:val="1C1E2E"/>
                <w:sz w:val="19"/>
              </w:rPr>
              <w:t xml:space="preserve"> (awarded on performance, not on income)</w:t>
            </w:r>
          </w:p>
        </w:tc>
        <w:tc>
          <w:tcPr>
            <w:tcW w:type="dxa" w:w="1608"/>
          </w:tcPr>
          <w:p>
            <w:pPr>
              <w:spacing w:after="40"/>
            </w:pPr>
            <w:r/>
            <w:r>
              <w:rPr>
                <w:rFonts w:ascii="Inter" w:hAnsi="Inter" w:cs="Inter"/>
                <w:b/>
                <w:i w:val="0"/>
                <w:color w:val="1C1E2E"/>
                <w:sz w:val="19"/>
              </w:rPr>
              <w:t>[DOC-12]</w:t>
            </w:r>
          </w:p>
        </w:tc>
      </w:tr>
      <w:tr>
        <w:tc>
          <w:tcPr>
            <w:tcW w:type="dxa" w:w="1608"/>
          </w:tcPr>
          <w:p>
            <w:pPr>
              <w:spacing w:after="40"/>
            </w:pPr>
            <w:r/>
            <w:r>
              <w:rPr>
                <w:rFonts w:ascii="Inter" w:hAnsi="Inter" w:cs="Inter"/>
                <w:b w:val="0"/>
                <w:i w:val="0"/>
                <w:color w:val="1C1E2E"/>
                <w:sz w:val="19"/>
              </w:rPr>
              <w:t>2</w:t>
            </w:r>
          </w:p>
        </w:tc>
        <w:tc>
          <w:tcPr>
            <w:tcW w:type="dxa" w:w="1608"/>
          </w:tcPr>
          <w:p>
            <w:pPr>
              <w:spacing w:after="40"/>
            </w:pPr>
            <w:r/>
            <w:r>
              <w:rPr>
                <w:rFonts w:ascii="Inter" w:hAnsi="Inter" w:cs="Inter"/>
                <w:b/>
                <w:i w:val="0"/>
                <w:color w:val="1C1E2E"/>
                <w:sz w:val="19"/>
              </w:rPr>
              <w:t>Ministry scholarship</w:t>
            </w:r>
            <w:r>
              <w:rPr>
                <w:rFonts w:ascii="Inter" w:hAnsi="Inter" w:cs="Inter"/>
                <w:b w:val="0"/>
                <w:i w:val="0"/>
                <w:color w:val="1C1E2E"/>
                <w:sz w:val="19"/>
              </w:rPr>
              <w:t xml:space="preserve"> (general higher-education grant)</w:t>
            </w:r>
          </w:p>
        </w:tc>
        <w:tc>
          <w:tcPr>
            <w:tcW w:type="dxa" w:w="1608"/>
          </w:tcPr>
          <w:p>
            <w:pPr>
              <w:spacing w:after="40"/>
            </w:pPr>
            <w:r/>
            <w:r>
              <w:rPr>
                <w:rFonts w:ascii="Inter" w:hAnsi="Inter" w:cs="Inter"/>
                <w:b w:val="0"/>
                <w:i w:val="0"/>
                <w:color w:val="1C1E2E"/>
                <w:sz w:val="19"/>
              </w:rPr>
              <w:t xml:space="preserve">Ministry of Education </w:t>
            </w:r>
            <w:r>
              <w:rPr>
                <w:rFonts w:ascii="Inter" w:hAnsi="Inter" w:cs="Inter"/>
                <w:b w:val="0"/>
                <w:i/>
                <w:color w:val="1C1E2E"/>
                <w:sz w:val="19"/>
              </w:rPr>
              <w:t>[confirm the exact name of the call]</w:t>
            </w:r>
          </w:p>
        </w:tc>
        <w:tc>
          <w:tcPr>
            <w:tcW w:type="dxa" w:w="1608"/>
          </w:tcPr>
          <w:p>
            <w:pPr>
              <w:spacing w:after="40"/>
            </w:pPr>
            <w:r/>
            <w:r>
              <w:rPr>
                <w:rFonts w:ascii="Inter" w:hAnsi="Inter" w:cs="Inter"/>
                <w:b w:val="0"/>
                <w:i w:val="0"/>
                <w:color w:val="1C1E2E"/>
                <w:sz w:val="19"/>
              </w:rPr>
              <w:t xml:space="preserve">Master's in Languages and Technology, UPV · </w:t>
            </w:r>
            <w:r>
              <w:rPr>
                <w:rFonts w:ascii="Inter" w:hAnsi="Inter" w:cs="Inter"/>
                <w:b w:val="0"/>
                <w:i/>
                <w:color w:val="1C1E2E"/>
                <w:sz w:val="19"/>
              </w:rPr>
              <w:t>[year to complete]</w:t>
            </w:r>
          </w:p>
        </w:tc>
        <w:tc>
          <w:tcPr>
            <w:tcW w:type="dxa" w:w="1608"/>
          </w:tcPr>
          <w:p>
            <w:pPr>
              <w:spacing w:after="40"/>
            </w:pPr>
            <w:r/>
            <w:r>
              <w:rPr>
                <w:rFonts w:ascii="Inter" w:hAnsi="Inter" w:cs="Inter"/>
                <w:b w:val="0"/>
                <w:i w:val="0"/>
                <w:color w:val="1C1E2E"/>
                <w:sz w:val="19"/>
              </w:rPr>
              <w:t>General master's-level study grant</w:t>
            </w:r>
          </w:p>
        </w:tc>
        <w:tc>
          <w:tcPr>
            <w:tcW w:type="dxa" w:w="1608"/>
          </w:tcPr>
          <w:p>
            <w:pPr>
              <w:spacing w:after="40"/>
            </w:pPr>
            <w:r/>
            <w:r>
              <w:rPr>
                <w:rFonts w:ascii="Inter" w:hAnsi="Inter" w:cs="Inter"/>
                <w:b/>
                <w:i w:val="0"/>
                <w:color w:val="1C1E2E"/>
                <w:sz w:val="19"/>
              </w:rPr>
              <w:t>[DOC-13]</w:t>
            </w:r>
          </w:p>
        </w:tc>
      </w:tr>
    </w:tbl>
    <w:p/>
    <w:p>
      <w:r>
        <w:rPr>
          <w:rFonts w:ascii="Inter" w:hAnsi="Inter" w:cs="Inter"/>
          <w:b/>
          <w:i w:val="0"/>
          <w:color w:val="1C1E2E"/>
          <w:sz w:val="22"/>
        </w:rPr>
        <w:t>Why this merit reinforces Block A.</w:t>
      </w:r>
      <w:r>
        <w:rPr>
          <w:rFonts w:ascii="Inter" w:hAnsi="Inter" w:cs="Inter"/>
          <w:b w:val="0"/>
          <w:i w:val="0"/>
          <w:color w:val="1C1E2E"/>
          <w:sz w:val="22"/>
        </w:rPr>
        <w:t xml:space="preserve"> The </w:t>
      </w:r>
      <w:r>
        <w:rPr>
          <w:rFonts w:ascii="Inter" w:hAnsi="Inter" w:cs="Inter"/>
          <w:b/>
          <w:i w:val="0"/>
          <w:color w:val="1C1E2E"/>
          <w:sz w:val="22"/>
        </w:rPr>
        <w:t>academic excellence scholarship</w:t>
      </w:r>
      <w:r>
        <w:rPr>
          <w:rFonts w:ascii="Inter" w:hAnsi="Inter" w:cs="Inter"/>
          <w:b w:val="0"/>
          <w:i w:val="0"/>
          <w:color w:val="1C1E2E"/>
          <w:sz w:val="22"/>
        </w:rPr>
        <w:t xml:space="preserve"> is not need-based aid: it is awarded on performance, so it </w:t>
      </w:r>
      <w:r>
        <w:rPr>
          <w:rFonts w:ascii="Inter" w:hAnsi="Inter" w:cs="Inter"/>
          <w:b/>
          <w:i w:val="0"/>
          <w:color w:val="1C1E2E"/>
          <w:sz w:val="22"/>
        </w:rPr>
        <w:t>independently corroborates the very fact the undergraduate record states</w:t>
      </w:r>
      <w:r>
        <w:rPr>
          <w:rFonts w:ascii="Inter" w:hAnsi="Inter" w:cs="Inter"/>
          <w:b w:val="0"/>
          <w:i w:val="0"/>
          <w:color w:val="1C1E2E"/>
          <w:sz w:val="22"/>
        </w:rPr>
        <w:t xml:space="preserve"> (Summa Cum Laude, first in class). Say so explicitly in the application — it turns the 5% scholarship item into additional evidence for the 70% academic record.</w:t>
      </w:r>
    </w:p>
    <w:p>
      <w:pPr>
        <w:pBdr>
          <w:left w:val="single" w:sz="18" w:space="8" w:color="9A5B00"/>
        </w:pBdr>
        <w:spacing w:before="120" w:after="200"/>
        <w:ind w:left="317"/>
      </w:pPr>
      <w:r>
        <w:rPr>
          <w:rFonts w:ascii="Inter" w:hAnsi="Inter" w:cs="Inter"/>
          <w:b/>
          <w:i w:val="0"/>
          <w:color w:val="5B5F77"/>
          <w:sz w:val="21"/>
        </w:rPr>
        <w:t>Action before submission:</w:t>
      </w:r>
      <w:r>
        <w:rPr>
          <w:rFonts w:ascii="Inter" w:hAnsi="Inter" w:cs="Inter"/>
          <w:b w:val="0"/>
          <w:i w:val="0"/>
          <w:color w:val="5B5F77"/>
          <w:sz w:val="21"/>
        </w:rPr>
        <w:t xml:space="preserve"> - Locate the </w:t>
      </w:r>
      <w:r>
        <w:rPr>
          <w:rFonts w:ascii="Inter" w:hAnsi="Inter" w:cs="Inter"/>
          <w:b/>
          <w:i w:val="0"/>
          <w:color w:val="5B5F77"/>
          <w:sz w:val="21"/>
        </w:rPr>
        <w:t>award letter or resolution</w:t>
      </w:r>
      <w:r>
        <w:rPr>
          <w:rFonts w:ascii="Inter" w:hAnsi="Inter" w:cs="Inter"/>
          <w:b w:val="0"/>
          <w:i w:val="0"/>
          <w:color w:val="5B5F77"/>
          <w:sz w:val="21"/>
        </w:rPr>
        <w:t xml:space="preserve"> for each scholarship (a payment receipt does not evidence the merit). - Complete the </w:t>
      </w:r>
      <w:r>
        <w:rPr>
          <w:rFonts w:ascii="Inter" w:hAnsi="Inter" w:cs="Inter"/>
          <w:b/>
          <w:i w:val="0"/>
          <w:color w:val="5B5F77"/>
          <w:sz w:val="21"/>
        </w:rPr>
        <w:t>academic year</w:t>
      </w:r>
      <w:r>
        <w:rPr>
          <w:rFonts w:ascii="Inter" w:hAnsi="Inter" w:cs="Inter"/>
          <w:b w:val="0"/>
          <w:i w:val="0"/>
          <w:color w:val="5B5F77"/>
          <w:sz w:val="21"/>
        </w:rPr>
        <w:t xml:space="preserve"> for each and the </w:t>
      </w:r>
      <w:r>
        <w:rPr>
          <w:rFonts w:ascii="Inter" w:hAnsi="Inter" w:cs="Inter"/>
          <w:b/>
          <w:i w:val="0"/>
          <w:color w:val="5B5F77"/>
          <w:sz w:val="21"/>
        </w:rPr>
        <w:t>exact official name</w:t>
      </w:r>
      <w:r>
        <w:rPr>
          <w:rFonts w:ascii="Inter" w:hAnsi="Inter" w:cs="Inter"/>
          <w:b w:val="0"/>
          <w:i w:val="0"/>
          <w:color w:val="5B5F77"/>
          <w:sz w:val="21"/>
        </w:rPr>
        <w:t xml:space="preserve"> of the ministerial call. - If the ULA resolution uses local Venezuelan terminology, attach a </w:t>
      </w:r>
      <w:r>
        <w:rPr>
          <w:rFonts w:ascii="Inter" w:hAnsi="Inter" w:cs="Inter"/>
          <w:b/>
          <w:i w:val="0"/>
          <w:color w:val="5B5F77"/>
          <w:sz w:val="21"/>
        </w:rPr>
        <w:t>short explanatory note</w:t>
      </w:r>
      <w:r>
        <w:rPr>
          <w:rFonts w:ascii="Inter" w:hAnsi="Inter" w:cs="Inter"/>
          <w:b w:val="0"/>
          <w:i w:val="0"/>
          <w:color w:val="5B5F77"/>
          <w:sz w:val="21"/>
        </w:rPr>
        <w:t xml:space="preserve"> confirming the competitive nature of the call.</w:t>
      </w:r>
    </w:p>
    <w:p>
      <w:pPr>
        <w:pBdr>
          <w:bottom w:val="single" w:sz="6" w:space="1" w:color="E6E8F2"/>
        </w:pBdr>
      </w:pPr>
    </w:p>
    <w:p>
      <w:pPr>
        <w:spacing w:before="320" w:after="120"/>
      </w:pPr>
      <w:r>
        <w:rPr>
          <w:rFonts w:ascii="Fraunces" w:hAnsi="Fraunces" w:cs="Fraunces"/>
          <w:b/>
          <w:i w:val="0"/>
          <w:color w:val="22307C"/>
          <w:sz w:val="32"/>
        </w:rPr>
        <w:t xml:space="preserve">B.6 · Professional experience in the field of the doctorate — </w:t>
      </w:r>
      <w:r>
        <w:rPr>
          <w:rFonts w:ascii="Fraunces" w:hAnsi="Fraunces" w:cs="Fraunces"/>
          <w:b/>
          <w:i w:val="0"/>
          <w:color w:val="22307C"/>
          <w:sz w:val="32"/>
        </w:rPr>
        <w:t>5 %</w:t>
      </w:r>
      <w:r>
        <w:rPr>
          <w:rFonts w:ascii="Fraunces" w:hAnsi="Fraunces" w:cs="Fraunces"/>
          <w:b/>
          <w:i w:val="0"/>
          <w:color w:val="22307C"/>
          <w:sz w:val="32"/>
        </w:rPr>
        <w:t xml:space="preserve"> ✅ EVIDENCED — STRONGEST MERIT</w:t>
      </w:r>
    </w:p>
    <w:p>
      <w:r>
        <w:rPr>
          <w:rFonts w:ascii="Inter" w:hAnsi="Inter" w:cs="Inter"/>
          <w:b/>
          <w:i w:val="0"/>
          <w:color w:val="1C1E2E"/>
          <w:sz w:val="22"/>
        </w:rPr>
        <w:t>More than 20 years of continuous experience in the exact field of the thesis, including 1,568 accredited university teaching hours:</w:t>
      </w:r>
      <w:r>
        <w:rPr>
          <w:rFonts w:ascii="Inter" w:hAnsi="Inter" w:cs="Inter"/>
          <w:b w:val="0"/>
          <w:i w:val="0"/>
          <w:color w:val="1C1E2E"/>
          <w:sz w:val="22"/>
        </w:rPr>
        <w:t xml:space="preserve"> CEFR-aligned language teaching, curriculum and instructional design, and educational technology for language learning.</w:t>
      </w:r>
    </w:p>
    <w:p>
      <w:pPr>
        <w:spacing w:before="240" w:after="120"/>
      </w:pPr>
      <w:r>
        <w:rPr>
          <w:rFonts w:ascii="Inter" w:hAnsi="Inter" w:cs="Inter"/>
          <w:b/>
          <w:i w:val="0"/>
          <w:color w:val="1C1E2E"/>
          <w:sz w:val="26"/>
        </w:rPr>
        <w:t>B.6.1 · University teaching and research</w:t>
      </w:r>
    </w:p>
    <w:p>
      <w:r>
        <w:rPr>
          <w:rFonts w:ascii="Inter" w:hAnsi="Inter" w:cs="Inter"/>
          <w:b/>
          <w:i w:val="0"/>
          <w:color w:val="1C1E2E"/>
          <w:sz w:val="22"/>
        </w:rPr>
        <w:t>Scientific English Lecturer &amp; Scientific Content Writer</w:t>
      </w:r>
      <w:r>
        <w:rPr>
          <w:rFonts w:ascii="Inter" w:hAnsi="Inter" w:cs="Inter"/>
          <w:b w:val="0"/>
          <w:i w:val="0"/>
          <w:color w:val="1C1E2E"/>
          <w:sz w:val="22"/>
        </w:rPr>
        <w:t xml:space="preserve"> — Universidad de Oriente (UDO), Núcleo Nueva Esparta, Venezuela · </w:t>
      </w:r>
      <w:r>
        <w:rPr>
          <w:rFonts w:ascii="Inter" w:hAnsi="Inter" w:cs="Inter"/>
          <w:b/>
          <w:i w:val="0"/>
          <w:color w:val="1C1E2E"/>
          <w:sz w:val="22"/>
        </w:rPr>
        <w:t>2005 – 2015</w:t>
      </w:r>
    </w:p>
    <w:p>
      <w:pPr>
        <w:pStyle w:val="ListBullet"/>
        <w:spacing w:after="60"/>
        <w:ind w:left="403"/>
      </w:pPr>
      <w:r>
        <w:rPr>
          <w:rFonts w:ascii="Inter" w:hAnsi="Inter" w:cs="Inter"/>
          <w:b/>
          <w:i w:val="0"/>
          <w:color w:val="1C1E2E"/>
          <w:sz w:val="22"/>
        </w:rPr>
        <w:t>1,568 accredited university teaching hours</w:t>
      </w:r>
      <w:r>
        <w:rPr>
          <w:rFonts w:ascii="Inter" w:hAnsi="Inter" w:cs="Inter"/>
          <w:b w:val="0"/>
          <w:i w:val="0"/>
          <w:color w:val="1C1E2E"/>
          <w:sz w:val="22"/>
        </w:rPr>
        <w:t xml:space="preserve"> (service certificate, </w:t>
      </w:r>
      <w:r>
        <w:rPr>
          <w:rFonts w:ascii="Inter" w:hAnsi="Inter" w:cs="Inter"/>
          <w:b/>
          <w:i w:val="0"/>
          <w:color w:val="1C1E2E"/>
          <w:sz w:val="22"/>
        </w:rPr>
        <w:t>[DOC-16]</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Taught scientific English within science degree programmes.</w:t>
      </w:r>
    </w:p>
    <w:p>
      <w:pPr>
        <w:pStyle w:val="ListBullet"/>
        <w:spacing w:after="60"/>
        <w:ind w:left="403"/>
      </w:pPr>
      <w:r>
        <w:rPr>
          <w:rFonts w:ascii="Inter" w:hAnsi="Inter" w:cs="Inter"/>
          <w:b w:val="0"/>
          <w:i w:val="0"/>
          <w:color w:val="1C1E2E"/>
          <w:sz w:val="22"/>
        </w:rPr>
        <w:t>Wrote and reviewed scientific content in English (dentistry, marine biology) for high-impact peer-reviewed journals.</w:t>
      </w:r>
    </w:p>
    <w:p>
      <w:pPr>
        <w:pStyle w:val="ListBullet"/>
        <w:spacing w:after="60"/>
        <w:ind w:left="403"/>
      </w:pPr>
      <w:r>
        <w:rPr>
          <w:rFonts w:ascii="Inter" w:hAnsi="Inter" w:cs="Inter"/>
          <w:b/>
          <w:i w:val="0"/>
          <w:color w:val="1C1E2E"/>
          <w:sz w:val="22"/>
        </w:rPr>
        <w:t>Named in the acknowledgements</w:t>
      </w:r>
      <w:r>
        <w:rPr>
          <w:rFonts w:ascii="Inter" w:hAnsi="Inter" w:cs="Inter"/>
          <w:b w:val="0"/>
          <w:i w:val="0"/>
          <w:color w:val="1C1E2E"/>
          <w:sz w:val="22"/>
        </w:rPr>
        <w:t xml:space="preserve"> of Sotelo-Casas et al. (2019), </w:t>
      </w:r>
      <w:r>
        <w:rPr>
          <w:rFonts w:ascii="Inter" w:hAnsi="Inter" w:cs="Inter"/>
          <w:b w:val="0"/>
          <w:i/>
          <w:color w:val="1C1E2E"/>
          <w:sz w:val="22"/>
        </w:rPr>
        <w:t>Estuarine, Coastal and Shelf Science</w:t>
      </w:r>
      <w:r>
        <w:rPr>
          <w:rFonts w:ascii="Inter" w:hAnsi="Inter" w:cs="Inter"/>
          <w:b w:val="0"/>
          <w:i w:val="0"/>
          <w:color w:val="1C1E2E"/>
          <w:sz w:val="22"/>
        </w:rPr>
        <w:t xml:space="preserve"> (Elsevier), p. 8, for the manuscript's English and scientific content. </w:t>
      </w:r>
      <w:r>
        <w:rPr>
          <w:rFonts w:ascii="Inter" w:hAnsi="Inter" w:cs="Inter"/>
          <w:b/>
          <w:i w:val="0"/>
          <w:color w:val="1C1E2E"/>
          <w:sz w:val="22"/>
        </w:rPr>
        <w:t>[DOC-14]</w:t>
      </w:r>
    </w:p>
    <w:p>
      <w:pPr>
        <w:spacing w:before="240" w:after="120"/>
      </w:pPr>
      <w:r>
        <w:rPr>
          <w:rFonts w:ascii="Inter" w:hAnsi="Inter" w:cs="Inter"/>
          <w:b/>
          <w:i w:val="0"/>
          <w:color w:val="1C1E2E"/>
          <w:sz w:val="26"/>
        </w:rPr>
        <w:t>B.6.2 · Instructional design and eLearning architecture</w:t>
      </w:r>
    </w:p>
    <w:p>
      <w:r>
        <w:rPr>
          <w:rFonts w:ascii="Inter" w:hAnsi="Inter" w:cs="Inter"/>
          <w:b/>
          <w:i w:val="0"/>
          <w:color w:val="1C1E2E"/>
          <w:sz w:val="22"/>
        </w:rPr>
        <w:t>Instructional Designer &amp; eLearning Architect</w:t>
      </w:r>
      <w:r>
        <w:rPr>
          <w:rFonts w:ascii="Inter" w:hAnsi="Inter" w:cs="Inter"/>
          <w:b w:val="0"/>
          <w:i w:val="0"/>
          <w:color w:val="1C1E2E"/>
          <w:sz w:val="22"/>
        </w:rPr>
        <w:t xml:space="preserve"> — self-employed (Spain) · </w:t>
      </w:r>
      <w:r>
        <w:rPr>
          <w:rFonts w:ascii="Inter" w:hAnsi="Inter" w:cs="Inter"/>
          <w:b/>
          <w:i w:val="0"/>
          <w:color w:val="1C1E2E"/>
          <w:sz w:val="22"/>
        </w:rPr>
        <w:t>October 2019 – present</w:t>
      </w:r>
      <w:r>
        <w:rPr>
          <w:rFonts w:ascii="Inter" w:hAnsi="Inter" w:cs="Inter"/>
          <w:b w:val="0"/>
          <w:i w:val="0"/>
          <w:color w:val="1C1E2E"/>
          <w:sz w:val="22"/>
        </w:rPr>
        <w:t xml:space="preserve"> · remote</w:t>
      </w:r>
    </w:p>
    <w:p>
      <w:pPr>
        <w:pStyle w:val="ListBullet"/>
        <w:spacing w:after="60"/>
        <w:ind w:left="403"/>
      </w:pPr>
      <w:r>
        <w:rPr>
          <w:rFonts w:ascii="Inter" w:hAnsi="Inter" w:cs="Inter"/>
          <w:b/>
          <w:i w:val="0"/>
          <w:color w:val="1C1E2E"/>
          <w:sz w:val="22"/>
        </w:rPr>
        <w:t>Academic Writing Journey (AWJ):</w:t>
      </w:r>
      <w:r>
        <w:rPr>
          <w:rFonts w:ascii="Inter" w:hAnsi="Inter" w:cs="Inter"/>
          <w:b w:val="0"/>
          <w:i w:val="0"/>
          <w:color w:val="1C1E2E"/>
          <w:sz w:val="22"/>
        </w:rPr>
        <w:t xml:space="preserve"> 6-level gamified course in academic English B2→C1, </w:t>
      </w:r>
      <w:r>
        <w:rPr>
          <w:rFonts w:ascii="Inter" w:hAnsi="Inter" w:cs="Inter"/>
          <w:b/>
          <w:i w:val="0"/>
          <w:color w:val="1C1E2E"/>
          <w:sz w:val="22"/>
        </w:rPr>
        <w:t>rated 10/10 for inclusive design (UPV, 2026)</w:t>
      </w:r>
      <w:r>
        <w:rPr>
          <w:rFonts w:ascii="Inter" w:hAnsi="Inter" w:cs="Inter"/>
          <w:b w:val="0"/>
          <w:i w:val="0"/>
          <w:color w:val="1C1E2E"/>
          <w:sz w:val="22"/>
        </w:rPr>
        <w:t xml:space="preserve">. </w:t>
      </w:r>
      <w:r>
        <w:rPr>
          <w:rFonts w:ascii="Inter" w:hAnsi="Inter" w:cs="Inter"/>
          <w:b/>
          <w:i w:val="0"/>
          <w:color w:val="1C1E2E"/>
          <w:sz w:val="22"/>
        </w:rPr>
        <w:t>[DOC-15]</w:t>
      </w:r>
    </w:p>
    <w:p>
      <w:pPr>
        <w:pStyle w:val="ListBullet"/>
        <w:spacing w:after="60"/>
        <w:ind w:left="403"/>
      </w:pPr>
      <w:r>
        <w:rPr>
          <w:rFonts w:ascii="Inter" w:hAnsi="Inter" w:cs="Inter"/>
          <w:b w:val="0"/>
          <w:i w:val="0"/>
          <w:color w:val="1C1E2E"/>
          <w:sz w:val="22"/>
        </w:rPr>
        <w:t>Full module scripting and a professional High-Level Design Document (HDD).</w:t>
      </w:r>
    </w:p>
    <w:p>
      <w:pPr>
        <w:pStyle w:val="ListBullet"/>
        <w:spacing w:after="60"/>
        <w:ind w:left="403"/>
      </w:pPr>
      <w:r>
        <w:rPr>
          <w:rFonts w:ascii="Inter" w:hAnsi="Inter" w:cs="Inter"/>
          <w:b/>
          <w:i w:val="0"/>
          <w:color w:val="1C1E2E"/>
          <w:sz w:val="22"/>
        </w:rPr>
        <w:t>Documented human–AI governance model</w:t>
      </w:r>
      <w:r>
        <w:rPr>
          <w:rFonts w:ascii="Inter" w:hAnsi="Inter" w:cs="Inter"/>
          <w:b w:val="0"/>
          <w:i w:val="0"/>
          <w:color w:val="1C1E2E"/>
          <w:sz w:val="22"/>
        </w:rPr>
        <w:t xml:space="preserve"> for content and code generation — the direct antecedent of the thesis's </w:t>
      </w:r>
      <w:r>
        <w:rPr>
          <w:rFonts w:ascii="Inter" w:hAnsi="Inter" w:cs="Inter"/>
          <w:b w:val="0"/>
          <w:i/>
          <w:color w:val="1C1E2E"/>
          <w:sz w:val="22"/>
        </w:rPr>
        <w:t>AI literacy</w:t>
      </w:r>
      <w:r>
        <w:rPr>
          <w:rFonts w:ascii="Inter" w:hAnsi="Inter" w:cs="Inter"/>
          <w:b w:val="0"/>
          <w:i w:val="0"/>
          <w:color w:val="1C1E2E"/>
          <w:sz w:val="22"/>
        </w:rPr>
        <w:t xml:space="preserve"> component.</w:t>
      </w:r>
    </w:p>
    <w:p>
      <w:pPr>
        <w:pStyle w:val="ListBullet"/>
        <w:spacing w:after="60"/>
        <w:ind w:left="403"/>
      </w:pPr>
      <w:r>
        <w:rPr>
          <w:rFonts w:ascii="Inter" w:hAnsi="Inter" w:cs="Inter"/>
          <w:b w:val="0"/>
          <w:i w:val="0"/>
          <w:color w:val="1C1E2E"/>
          <w:sz w:val="22"/>
        </w:rPr>
        <w:t xml:space="preserve">Native accessibility layer (voice dictation, high contrast, audio read-back) compliant with </w:t>
      </w:r>
      <w:r>
        <w:rPr>
          <w:rFonts w:ascii="Inter" w:hAnsi="Inter" w:cs="Inter"/>
          <w:b/>
          <w:i w:val="0"/>
          <w:color w:val="1C1E2E"/>
          <w:sz w:val="22"/>
        </w:rPr>
        <w:t>WCAG</w:t>
      </w:r>
      <w:r>
        <w:rPr>
          <w:rFonts w:ascii="Inter" w:hAnsi="Inter" w:cs="Inter"/>
          <w:b w:val="0"/>
          <w:i w:val="0"/>
          <w:color w:val="1C1E2E"/>
          <w:sz w:val="22"/>
        </w:rPr>
        <w:t xml:space="preserve"> and the </w:t>
      </w:r>
      <w:r>
        <w:rPr>
          <w:rFonts w:ascii="Inter" w:hAnsi="Inter" w:cs="Inter"/>
          <w:b/>
          <w:i w:val="0"/>
          <w:color w:val="1C1E2E"/>
          <w:sz w:val="22"/>
        </w:rPr>
        <w:t>European Accessibility Act</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Migrated AWJ from Canva to </w:t>
      </w:r>
      <w:r>
        <w:rPr>
          <w:rFonts w:ascii="Inter" w:hAnsi="Inter" w:cs="Inter"/>
          <w:b/>
          <w:i w:val="0"/>
          <w:color w:val="1C1E2E"/>
          <w:sz w:val="22"/>
        </w:rPr>
        <w:t>Articulate 360 (Rise)</w:t>
      </w:r>
      <w:r>
        <w:rPr>
          <w:rFonts w:ascii="Inter" w:hAnsi="Inter" w:cs="Inter"/>
          <w:b w:val="0"/>
          <w:i w:val="0"/>
          <w:color w:val="1C1E2E"/>
          <w:sz w:val="22"/>
        </w:rPr>
        <w:t xml:space="preserve"> with </w:t>
      </w:r>
      <w:r>
        <w:rPr>
          <w:rFonts w:ascii="Inter" w:hAnsi="Inter" w:cs="Inter"/>
          <w:b/>
          <w:i w:val="0"/>
          <w:color w:val="1C1E2E"/>
          <w:sz w:val="22"/>
        </w:rPr>
        <w:t>SCORM / xAPI</w:t>
      </w:r>
      <w:r>
        <w:rPr>
          <w:rFonts w:ascii="Inter" w:hAnsi="Inter" w:cs="Inter"/>
          <w:b w:val="0"/>
          <w:i w:val="0"/>
          <w:color w:val="1C1E2E"/>
          <w:sz w:val="22"/>
        </w:rPr>
        <w:t xml:space="preserve"> packaging — technical competence directly reusable in the thesis's measurement module.</w:t>
      </w:r>
    </w:p>
    <w:p>
      <w:pPr>
        <w:spacing w:before="240" w:after="120"/>
      </w:pPr>
      <w:r>
        <w:rPr>
          <w:rFonts w:ascii="Inter" w:hAnsi="Inter" w:cs="Inter"/>
          <w:b/>
          <w:i w:val="0"/>
          <w:color w:val="1C1E2E"/>
          <w:sz w:val="26"/>
        </w:rPr>
        <w:t>B.6.3 · Own venture and LMS administration</w:t>
      </w:r>
    </w:p>
    <w:p>
      <w:r>
        <w:rPr>
          <w:rFonts w:ascii="Inter" w:hAnsi="Inter" w:cs="Inter"/>
          <w:b/>
          <w:i w:val="0"/>
          <w:color w:val="1C1E2E"/>
          <w:sz w:val="22"/>
        </w:rPr>
        <w:t>Founder &amp; eLearning Content Designer — Talkétika</w:t>
      </w:r>
      <w:r>
        <w:rPr>
          <w:rFonts w:ascii="Inter" w:hAnsi="Inter" w:cs="Inter"/>
          <w:b w:val="0"/>
          <w:i w:val="0"/>
          <w:color w:val="1C1E2E"/>
          <w:sz w:val="22"/>
        </w:rPr>
        <w:t xml:space="preserve"> · </w:t>
      </w:r>
      <w:r>
        <w:rPr>
          <w:rFonts w:ascii="Inter" w:hAnsi="Inter" w:cs="Inter"/>
          <w:b/>
          <w:i w:val="0"/>
          <w:color w:val="1C1E2E"/>
          <w:sz w:val="22"/>
        </w:rPr>
        <w:t>2019 – present</w:t>
      </w:r>
      <w:r>
        <w:rPr>
          <w:rFonts w:ascii="Inter" w:hAnsi="Inter" w:cs="Inter"/>
          <w:b w:val="0"/>
          <w:i w:val="0"/>
          <w:color w:val="1C1E2E"/>
          <w:sz w:val="22"/>
        </w:rPr>
        <w:t xml:space="preserve"> · remote</w:t>
      </w:r>
    </w:p>
    <w:p>
      <w:pPr>
        <w:pStyle w:val="ListBullet"/>
        <w:spacing w:after="60"/>
        <w:ind w:left="403"/>
      </w:pPr>
      <w:r>
        <w:rPr>
          <w:rFonts w:ascii="Inter" w:hAnsi="Inter" w:cs="Inter"/>
          <w:b/>
          <w:i w:val="0"/>
          <w:color w:val="1C1E2E"/>
          <w:sz w:val="22"/>
        </w:rPr>
        <w:t>Chamilo (LMS) administrator since 2019</w:t>
      </w:r>
      <w:r>
        <w:rPr>
          <w:rFonts w:ascii="Inter" w:hAnsi="Inter" w:cs="Inter"/>
          <w:b w:val="0"/>
          <w:i w:val="0"/>
          <w:color w:val="1C1E2E"/>
          <w:sz w:val="22"/>
        </w:rPr>
        <w:t xml:space="preserve">; gamified content on </w:t>
      </w:r>
      <w:r>
        <w:rPr>
          <w:rFonts w:ascii="Inter" w:hAnsi="Inter" w:cs="Inter"/>
          <w:b/>
          <w:i w:val="0"/>
          <w:color w:val="1C1E2E"/>
          <w:sz w:val="22"/>
        </w:rPr>
        <w:t>Moodle, Canvas LMS and Chamilo</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Audiobook production in </w:t>
      </w:r>
      <w:r>
        <w:rPr>
          <w:rFonts w:ascii="Inter" w:hAnsi="Inter" w:cs="Inter"/>
          <w:b/>
          <w:i w:val="0"/>
          <w:color w:val="1C1E2E"/>
          <w:sz w:val="22"/>
        </w:rPr>
        <w:t>Adobe Podcast</w:t>
      </w:r>
      <w:r>
        <w:rPr>
          <w:rFonts w:ascii="Inter" w:hAnsi="Inter" w:cs="Inter"/>
          <w:b w:val="0"/>
          <w:i w:val="0"/>
          <w:color w:val="1C1E2E"/>
          <w:sz w:val="22"/>
        </w:rPr>
        <w:t xml:space="preserve"> (scripting, editing, publishing).</w:t>
      </w:r>
    </w:p>
    <w:p>
      <w:pPr>
        <w:pStyle w:val="ListBullet"/>
        <w:spacing w:after="60"/>
        <w:ind w:left="403"/>
      </w:pPr>
      <w:r>
        <w:rPr>
          <w:rFonts w:ascii="Inter" w:hAnsi="Inter" w:cs="Inter"/>
          <w:b w:val="0"/>
          <w:i/>
          <w:color w:val="1C1E2E"/>
          <w:sz w:val="22"/>
        </w:rPr>
        <w:t>TK Coach Review</w:t>
      </w:r>
      <w:r>
        <w:rPr>
          <w:rFonts w:ascii="Inter" w:hAnsi="Inter" w:cs="Inter"/>
          <w:b w:val="0"/>
          <w:i w:val="0"/>
          <w:color w:val="1C1E2E"/>
          <w:sz w:val="22"/>
        </w:rPr>
        <w:t xml:space="preserve"> — EdTech product evaluation site (mobile responsiveness and technology): https://profeanaeslava.my.canva.site/tkcoachreview</w:t>
      </w:r>
    </w:p>
    <w:p>
      <w:pPr>
        <w:spacing w:before="240" w:after="120"/>
      </w:pPr>
      <w:r>
        <w:rPr>
          <w:rFonts w:ascii="Inter" w:hAnsi="Inter" w:cs="Inter"/>
          <w:b/>
          <w:i w:val="0"/>
          <w:color w:val="1C1E2E"/>
          <w:sz w:val="26"/>
        </w:rPr>
        <w:t>B.6.4 · CEFR-aligned language teaching</w:t>
      </w:r>
    </w:p>
    <w:p>
      <w:r>
        <w:rPr>
          <w:rFonts w:ascii="Inter" w:hAnsi="Inter" w:cs="Inter"/>
          <w:b/>
          <w:i w:val="0"/>
          <w:color w:val="1C1E2E"/>
          <w:sz w:val="22"/>
        </w:rPr>
        <w:t>Language Teacher — ESL, Cambridge and DELE</w:t>
      </w:r>
      <w:r>
        <w:rPr>
          <w:rFonts w:ascii="Inter" w:hAnsi="Inter" w:cs="Inter"/>
          <w:b w:val="0"/>
          <w:i w:val="0"/>
          <w:color w:val="1C1E2E"/>
          <w:sz w:val="22"/>
        </w:rPr>
        <w:t xml:space="preserve"> — various institutions · </w:t>
      </w:r>
      <w:r>
        <w:rPr>
          <w:rFonts w:ascii="Inter" w:hAnsi="Inter" w:cs="Inter"/>
          <w:b/>
          <w:i w:val="0"/>
          <w:color w:val="1C1E2E"/>
          <w:sz w:val="22"/>
        </w:rPr>
        <w:t>July 2004 – present</w:t>
      </w:r>
    </w:p>
    <w:p>
      <w:pPr>
        <w:pStyle w:val="ListBullet"/>
        <w:spacing w:after="60"/>
        <w:ind w:left="403"/>
      </w:pPr>
      <w:r>
        <w:rPr>
          <w:rFonts w:ascii="Inter" w:hAnsi="Inter" w:cs="Inter"/>
          <w:b w:val="0"/>
          <w:i w:val="0"/>
          <w:color w:val="1C1E2E"/>
          <w:sz w:val="22"/>
        </w:rPr>
        <w:t>20+ years teaching English and Spanish to adults, in person and online.</w:t>
      </w:r>
    </w:p>
    <w:p>
      <w:pPr>
        <w:pStyle w:val="ListBullet"/>
        <w:spacing w:after="60"/>
        <w:ind w:left="403"/>
      </w:pPr>
      <w:r>
        <w:rPr>
          <w:rFonts w:ascii="Inter" w:hAnsi="Inter" w:cs="Inter"/>
          <w:b/>
          <w:i w:val="0"/>
          <w:color w:val="1C1E2E"/>
          <w:sz w:val="22"/>
        </w:rPr>
        <w:t>Tutor on AVE Global</w:t>
      </w:r>
      <w:r>
        <w:rPr>
          <w:rFonts w:ascii="Inter" w:hAnsi="Inter" w:cs="Inter"/>
          <w:b w:val="0"/>
          <w:i w:val="0"/>
          <w:color w:val="1C1E2E"/>
          <w:sz w:val="22"/>
        </w:rPr>
        <w:t xml:space="preserve"> (Instituto Cervantes online Spanish classroom / LMS).</w:t>
      </w:r>
    </w:p>
    <w:p>
      <w:pPr>
        <w:pStyle w:val="ListBullet"/>
        <w:spacing w:after="60"/>
        <w:ind w:left="403"/>
      </w:pPr>
      <w:r>
        <w:rPr>
          <w:rFonts w:ascii="Inter" w:hAnsi="Inter" w:cs="Inter"/>
          <w:b/>
          <w:i w:val="0"/>
          <w:color w:val="1C1E2E"/>
          <w:sz w:val="22"/>
        </w:rPr>
        <w:t>CEFR-aligned learning paths and rubrics</w:t>
      </w:r>
      <w:r>
        <w:rPr>
          <w:rFonts w:ascii="Inter" w:hAnsi="Inter" w:cs="Inter"/>
          <w:b w:val="0"/>
          <w:i w:val="0"/>
          <w:color w:val="1C1E2E"/>
          <w:sz w:val="22"/>
        </w:rPr>
        <w:t xml:space="preserve">; </w:t>
      </w:r>
      <w:r>
        <w:rPr>
          <w:rFonts w:ascii="Inter" w:hAnsi="Inter" w:cs="Inter"/>
          <w:b/>
          <w:i w:val="0"/>
          <w:color w:val="1C1E2E"/>
          <w:sz w:val="22"/>
        </w:rPr>
        <w:t>Cambridge (B2 First, C1 Advanced)</w:t>
      </w:r>
      <w:r>
        <w:rPr>
          <w:rFonts w:ascii="Inter" w:hAnsi="Inter" w:cs="Inter"/>
          <w:b w:val="0"/>
          <w:i w:val="0"/>
          <w:color w:val="1C1E2E"/>
          <w:sz w:val="22"/>
        </w:rPr>
        <w:t xml:space="preserve"> and </w:t>
      </w:r>
      <w:r>
        <w:rPr>
          <w:rFonts w:ascii="Inter" w:hAnsi="Inter" w:cs="Inter"/>
          <w:b/>
          <w:i w:val="0"/>
          <w:color w:val="1C1E2E"/>
          <w:sz w:val="22"/>
        </w:rPr>
        <w:t>DELE</w:t>
      </w:r>
      <w:r>
        <w:rPr>
          <w:rFonts w:ascii="Inter" w:hAnsi="Inter" w:cs="Inter"/>
          <w:b w:val="0"/>
          <w:i w:val="0"/>
          <w:color w:val="1C1E2E"/>
          <w:sz w:val="22"/>
        </w:rPr>
        <w:t xml:space="preserve"> exam preparation.</w:t>
      </w:r>
    </w:p>
    <w:p>
      <w:r>
        <w:rPr>
          <w:rFonts w:ascii="Inter" w:hAnsi="Inter" w:cs="Inter"/>
          <w:b/>
          <w:i w:val="0"/>
          <w:color w:val="1C1E2E"/>
          <w:sz w:val="22"/>
        </w:rPr>
        <w:t>Evidence:</w:t>
      </w:r>
      <w:r>
        <w:rPr>
          <w:rFonts w:ascii="Inter" w:hAnsi="Inter" w:cs="Inter"/>
          <w:b w:val="0"/>
          <w:i w:val="0"/>
          <w:color w:val="1C1E2E"/>
          <w:sz w:val="22"/>
        </w:rPr>
        <w:t xml:space="preserve"> UDO service certificates </w:t>
      </w:r>
      <w:r>
        <w:rPr>
          <w:rFonts w:ascii="Inter" w:hAnsi="Inter" w:cs="Inter"/>
          <w:b/>
          <w:i w:val="0"/>
          <w:color w:val="1C1E2E"/>
          <w:sz w:val="22"/>
        </w:rPr>
        <w:t>[DOC-16]</w:t>
      </w:r>
      <w:r>
        <w:rPr>
          <w:rFonts w:ascii="Inter" w:hAnsi="Inter" w:cs="Inter"/>
          <w:b w:val="0"/>
          <w:i w:val="0"/>
          <w:color w:val="1C1E2E"/>
          <w:sz w:val="22"/>
        </w:rPr>
        <w:t xml:space="preserve"> · Spanish employment history / self-employment certificate </w:t>
      </w:r>
      <w:r>
        <w:rPr>
          <w:rFonts w:ascii="Inter" w:hAnsi="Inter" w:cs="Inter"/>
          <w:b/>
          <w:i w:val="0"/>
          <w:color w:val="1C1E2E"/>
          <w:sz w:val="22"/>
        </w:rPr>
        <w:t>[DOC-17]</w:t>
      </w:r>
      <w:r>
        <w:rPr>
          <w:rFonts w:ascii="Inter" w:hAnsi="Inter" w:cs="Inter"/>
          <w:b w:val="0"/>
          <w:i w:val="0"/>
          <w:color w:val="1C1E2E"/>
          <w:sz w:val="22"/>
        </w:rPr>
        <w:t xml:space="preserve"> · AVE Global tutoring accreditation </w:t>
      </w:r>
      <w:r>
        <w:rPr>
          <w:rFonts w:ascii="Inter" w:hAnsi="Inter" w:cs="Inter"/>
          <w:b/>
          <w:i w:val="0"/>
          <w:color w:val="1C1E2E"/>
          <w:sz w:val="22"/>
        </w:rPr>
        <w:t>[DOC-18]</w:t>
      </w:r>
      <w:r>
        <w:rPr>
          <w:rFonts w:ascii="Inter" w:hAnsi="Inter" w:cs="Inter"/>
          <w:b w:val="0"/>
          <w:i w:val="0"/>
          <w:color w:val="1C1E2E"/>
          <w:sz w:val="22"/>
        </w:rPr>
        <w:t xml:space="preserve"> · online portfolio (link in §0).</w:t>
      </w:r>
    </w:p>
    <w:p>
      <w:pPr>
        <w:pBdr>
          <w:left w:val="single" w:sz="18" w:space="8" w:color="9A5B00"/>
        </w:pBdr>
        <w:spacing w:before="120" w:after="200"/>
        <w:ind w:left="317"/>
      </w:pPr>
      <w:r>
        <w:rPr>
          <w:rFonts w:ascii="Inter" w:hAnsi="Inter" w:cs="Inter"/>
          <w:b/>
          <w:i w:val="0"/>
          <w:color w:val="5B5F77"/>
          <w:sz w:val="21"/>
        </w:rPr>
        <w:t>Fit with the thesis.</w:t>
      </w:r>
      <w:r>
        <w:rPr>
          <w:rFonts w:ascii="Inter" w:hAnsi="Inter" w:cs="Inter"/>
          <w:b w:val="0"/>
          <w:i w:val="0"/>
          <w:color w:val="5B5F77"/>
          <w:sz w:val="21"/>
        </w:rPr>
        <w:t xml:space="preserve"> The four experience blocks map one-to-one onto the components of the MLLDE proposal: CEFR teaching → CEFR anchoring; instructional design → the MLLDE method; human–AI governance → AI literacy; SCORM/xAPI and LMS administration → the measurement module and learning-data architecture.</w:t>
      </w:r>
    </w:p>
    <w:p>
      <w:pPr>
        <w:pBdr>
          <w:bottom w:val="single" w:sz="6" w:space="1" w:color="E6E8F2"/>
        </w:pBdr>
      </w:pPr>
    </w:p>
    <w:p>
      <w:pPr>
        <w:spacing w:before="320" w:after="120"/>
      </w:pPr>
      <w:r>
        <w:rPr>
          <w:rFonts w:ascii="Fraunces" w:hAnsi="Fraunces" w:cs="Fraunces"/>
          <w:b/>
          <w:i w:val="0"/>
          <w:color w:val="22307C"/>
          <w:sz w:val="32"/>
        </w:rPr>
        <w:t>RUBRIC SUMMARY — SELF-ASSESSMENT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Item</w:t>
            </w:r>
          </w:p>
        </w:tc>
        <w:tc>
          <w:tcPr>
            <w:tcW w:type="dxa" w:w="2412"/>
            <w:shd w:val="clear" w:color="auto" w:fill="EEF2FD"/>
          </w:tcPr>
          <w:p>
            <w:pPr>
              <w:spacing w:after="40"/>
            </w:pPr>
            <w:r/>
            <w:r>
              <w:rPr>
                <w:rFonts w:ascii="Inter" w:hAnsi="Inter" w:cs="Inter"/>
                <w:b/>
                <w:i w:val="0"/>
                <w:color w:val="22307C"/>
                <w:sz w:val="19"/>
              </w:rPr>
              <w:t>Weight</w:t>
            </w:r>
          </w:p>
        </w:tc>
        <w:tc>
          <w:tcPr>
            <w:tcW w:type="dxa" w:w="2412"/>
            <w:shd w:val="clear" w:color="auto" w:fill="EEF2FD"/>
          </w:tcPr>
          <w:p>
            <w:pPr>
              <w:spacing w:after="40"/>
            </w:pPr>
            <w:r/>
            <w:r>
              <w:rPr>
                <w:rFonts w:ascii="Inter" w:hAnsi="Inter" w:cs="Inter"/>
                <w:b/>
                <w:i w:val="0"/>
                <w:color w:val="22307C"/>
                <w:sz w:val="19"/>
              </w:rPr>
              <w:t>Status</w:t>
            </w:r>
          </w:p>
        </w:tc>
        <w:tc>
          <w:tcPr>
            <w:tcW w:type="dxa" w:w="2412"/>
            <w:shd w:val="clear" w:color="auto" w:fill="EEF2FD"/>
          </w:tcPr>
          <w:p>
            <w:pPr>
              <w:spacing w:after="40"/>
            </w:pPr>
            <w:r/>
            <w:r>
              <w:rPr>
                <w:rFonts w:ascii="Inter" w:hAnsi="Inter" w:cs="Inter"/>
                <w:b/>
                <w:i w:val="0"/>
                <w:color w:val="22307C"/>
                <w:sz w:val="19"/>
              </w:rPr>
              <w:t>Main evidence</w:t>
            </w:r>
          </w:p>
        </w:tc>
      </w:tr>
      <w:tr>
        <w:tc>
          <w:tcPr>
            <w:tcW w:type="dxa" w:w="2412"/>
          </w:tcPr>
          <w:p>
            <w:pPr>
              <w:spacing w:after="40"/>
            </w:pPr>
            <w:r/>
            <w:r>
              <w:rPr>
                <w:rFonts w:ascii="Inter" w:hAnsi="Inter" w:cs="Inter"/>
                <w:b/>
                <w:i w:val="0"/>
                <w:color w:val="1C1E2E"/>
                <w:sz w:val="19"/>
              </w:rPr>
              <w:t>Academic record</w:t>
            </w:r>
          </w:p>
        </w:tc>
        <w:tc>
          <w:tcPr>
            <w:tcW w:type="dxa" w:w="2412"/>
          </w:tcPr>
          <w:p>
            <w:pPr>
              <w:spacing w:after="40"/>
            </w:pPr>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 xml:space="preserve">UPV master's </w:t>
            </w:r>
            <w:r>
              <w:rPr>
                <w:rFonts w:ascii="Inter" w:hAnsi="Inter" w:cs="Inter"/>
                <w:b/>
                <w:i w:val="0"/>
                <w:color w:val="1C1E2E"/>
                <w:sz w:val="19"/>
              </w:rPr>
              <w:t>9.4/10</w:t>
            </w:r>
            <w:r>
              <w:rPr>
                <w:rFonts w:ascii="Inter" w:hAnsi="Inter" w:cs="Inter"/>
                <w:b w:val="0"/>
                <w:i w:val="0"/>
                <w:color w:val="1C1E2E"/>
                <w:sz w:val="19"/>
              </w:rPr>
              <w:t xml:space="preserve"> with 2 distinctions · Undergraduate </w:t>
            </w:r>
            <w:r>
              <w:rPr>
                <w:rFonts w:ascii="Inter" w:hAnsi="Inter" w:cs="Inter"/>
                <w:b/>
                <w:i w:val="0"/>
                <w:color w:val="1C1E2E"/>
                <w:sz w:val="19"/>
              </w:rPr>
              <w:t>9.07/10</w:t>
            </w:r>
            <w:r>
              <w:rPr>
                <w:rFonts w:ascii="Inter" w:hAnsi="Inter" w:cs="Inter"/>
                <w:b w:val="0"/>
                <w:i w:val="0"/>
                <w:color w:val="1C1E2E"/>
                <w:sz w:val="19"/>
              </w:rPr>
              <w:t xml:space="preserve"> (official equivalence), 1st of 56</w:t>
            </w:r>
          </w:p>
        </w:tc>
      </w:tr>
      <w:tr>
        <w:tc>
          <w:tcPr>
            <w:tcW w:type="dxa" w:w="2412"/>
          </w:tcPr>
          <w:p>
            <w:pPr>
              <w:spacing w:after="40"/>
            </w:pPr>
            <w:r/>
            <w:r>
              <w:rPr>
                <w:rFonts w:ascii="Inter" w:hAnsi="Inter" w:cs="Inter"/>
                <w:b w:val="0"/>
                <w:i w:val="0"/>
                <w:color w:val="1C1E2E"/>
                <w:sz w:val="19"/>
              </w:rPr>
              <w:t>B.1 Extraordinary undergraduate award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1st of 56 graduates</w:t>
            </w:r>
            <w:r>
              <w:rPr>
                <w:rFonts w:ascii="Inter" w:hAnsi="Inter" w:cs="Inter"/>
                <w:b w:val="0"/>
                <w:i w:val="0"/>
                <w:color w:val="1C1E2E"/>
                <w:sz w:val="19"/>
              </w:rPr>
              <w:t xml:space="preserve"> — apostilled certificate</w:t>
            </w:r>
          </w:p>
        </w:tc>
      </w:tr>
      <w:tr>
        <w:tc>
          <w:tcPr>
            <w:tcW w:type="dxa" w:w="2412"/>
          </w:tcPr>
          <w:p>
            <w:pPr>
              <w:spacing w:after="40"/>
            </w:pPr>
            <w:r/>
            <w:r>
              <w:rPr>
                <w:rFonts w:ascii="Inter" w:hAnsi="Inter" w:cs="Inter"/>
                <w:b w:val="0"/>
                <w:i w:val="0"/>
                <w:color w:val="1C1E2E"/>
                <w:sz w:val="19"/>
              </w:rPr>
              <w:t>B.2 Extraordinary master's award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Not applicable — the award is the undergraduate one</w:t>
            </w:r>
          </w:p>
        </w:tc>
      </w:tr>
      <w:tr>
        <w:tc>
          <w:tcPr>
            <w:tcW w:type="dxa" w:w="2412"/>
          </w:tcPr>
          <w:p>
            <w:pPr>
              <w:spacing w:after="40"/>
            </w:pPr>
            <w:r/>
            <w:r>
              <w:rPr>
                <w:rFonts w:ascii="Inter" w:hAnsi="Inter" w:cs="Inter"/>
                <w:b w:val="0"/>
                <w:i w:val="0"/>
                <w:color w:val="1C1E2E"/>
                <w:sz w:val="19"/>
              </w:rPr>
              <w:t>B.3 Second master's degree</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Not applicable</w:t>
            </w:r>
          </w:p>
        </w:tc>
      </w:tr>
      <w:tr>
        <w:tc>
          <w:tcPr>
            <w:tcW w:type="dxa" w:w="2412"/>
          </w:tcPr>
          <w:p>
            <w:pPr>
              <w:spacing w:after="40"/>
            </w:pPr>
            <w:r/>
            <w:r>
              <w:rPr>
                <w:rFonts w:ascii="Inter" w:hAnsi="Inter" w:cs="Inter"/>
                <w:b w:val="0"/>
                <w:i w:val="0"/>
                <w:color w:val="1C1E2E"/>
                <w:sz w:val="19"/>
              </w:rPr>
              <w:t>B.4 Languages beyond the degrees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C1 CAE · CELTA · DELE examiner — eligibility to confirm</w:t>
            </w:r>
          </w:p>
        </w:tc>
      </w:tr>
      <w:tr>
        <w:tc>
          <w:tcPr>
            <w:tcW w:type="dxa" w:w="2412"/>
          </w:tcPr>
          <w:p>
            <w:pPr>
              <w:spacing w:after="40"/>
            </w:pPr>
            <w:r/>
            <w:r>
              <w:rPr>
                <w:rFonts w:ascii="Inter" w:hAnsi="Inter" w:cs="Inter"/>
                <w:b w:val="0"/>
                <w:i w:val="0"/>
                <w:color w:val="1C1E2E"/>
                <w:sz w:val="19"/>
              </w:rPr>
              <w:t>B.5 Scholarships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Academic excellence scholarship (undergraduate) · Ministry scholarship (master's)</w:t>
            </w:r>
          </w:p>
        </w:tc>
      </w:tr>
      <w:tr>
        <w:tc>
          <w:tcPr>
            <w:tcW w:type="dxa" w:w="2412"/>
          </w:tcPr>
          <w:p>
            <w:pPr>
              <w:spacing w:after="40"/>
            </w:pPr>
            <w:r/>
            <w:r>
              <w:rPr>
                <w:rFonts w:ascii="Inter" w:hAnsi="Inter" w:cs="Inter"/>
                <w:b w:val="0"/>
                <w:i w:val="0"/>
                <w:color w:val="1C1E2E"/>
                <w:sz w:val="19"/>
              </w:rPr>
              <w:t>B.6 Professional experience in the field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1,568 accredited university teaching hours</w:t>
            </w:r>
            <w:r>
              <w:rPr>
                <w:rFonts w:ascii="Inter" w:hAnsi="Inter" w:cs="Inter"/>
                <w:b w:val="0"/>
                <w:i w:val="0"/>
                <w:color w:val="1C1E2E"/>
                <w:sz w:val="19"/>
              </w:rPr>
              <w:t xml:space="preserve"> · 20+ years · ID 2019–present</w:t>
            </w:r>
          </w:p>
        </w:tc>
      </w:tr>
    </w:tbl>
    <w:p/>
    <w:p>
      <w:r>
        <w:rPr>
          <w:rFonts w:ascii="Inter" w:hAnsi="Inter" w:cs="Inter"/>
          <w:b/>
          <w:i w:val="0"/>
          <w:color w:val="1C1E2E"/>
          <w:sz w:val="22"/>
        </w:rPr>
        <w:t>Honest reading.</w:t>
      </w:r>
      <w:r>
        <w:rPr>
          <w:rFonts w:ascii="Inter" w:hAnsi="Inter" w:cs="Inter"/>
          <w:b w:val="0"/>
          <w:i w:val="0"/>
          <w:color w:val="1C1E2E"/>
          <w:sz w:val="22"/>
        </w:rPr>
        <w:t xml:space="preserve"> Three merits are fully evidenced (B.1, B.5, B.6), one depends on the committee's interpretation (B.4) and two do not apply (B.2, B.3). That is </w:t>
      </w:r>
      <w:r>
        <w:rPr>
          <w:rFonts w:ascii="Inter" w:hAnsi="Inter" w:cs="Inter"/>
          <w:b/>
          <w:i w:val="0"/>
          <w:color w:val="1C1E2E"/>
          <w:sz w:val="22"/>
        </w:rPr>
        <w:t>roughly 15–20 of the 30 points</w:t>
      </w:r>
      <w:r>
        <w:rPr>
          <w:rFonts w:ascii="Inter" w:hAnsi="Inter" w:cs="Inter"/>
          <w:b w:val="0"/>
          <w:i w:val="0"/>
          <w:color w:val="1C1E2E"/>
          <w:sz w:val="22"/>
        </w:rPr>
        <w:t xml:space="preserve">, with the 70% academic record in the upper band (9.4 and 9.07 out of 10). The strength here is not the number of boxes ticked but the </w:t>
      </w:r>
      <w:r>
        <w:rPr>
          <w:rFonts w:ascii="Inter" w:hAnsi="Inter" w:cs="Inter"/>
          <w:b/>
          <w:i w:val="0"/>
          <w:color w:val="1C1E2E"/>
          <w:sz w:val="22"/>
        </w:rPr>
        <w:t>quality of the proof</w:t>
      </w:r>
      <w:r>
        <w:rPr>
          <w:rFonts w:ascii="Inter" w:hAnsi="Inter" w:cs="Inter"/>
          <w:b w:val="0"/>
          <w:i w:val="0"/>
          <w:color w:val="1C1E2E"/>
          <w:sz w:val="22"/>
        </w:rPr>
        <w:t>: the B.1 merit arrives apostilled with an online validation code, and the undergraduate record comes with its grade average already computed by the Spanish administration.</w:t>
      </w:r>
    </w:p>
    <w:p>
      <w:r>
        <w:rPr>
          <w:rFonts w:ascii="Inter" w:hAnsi="Inter" w:cs="Inter"/>
          <w:b/>
          <w:i w:val="0"/>
          <w:color w:val="1C1E2E"/>
          <w:sz w:val="22"/>
        </w:rPr>
        <w:t>Where the remaining margin is.</w:t>
      </w:r>
      <w:r>
        <w:rPr>
          <w:rFonts w:ascii="Inter" w:hAnsi="Inter" w:cs="Inter"/>
          <w:b w:val="0"/>
          <w:i w:val="0"/>
          <w:color w:val="1C1E2E"/>
          <w:sz w:val="22"/>
        </w:rPr>
        <w:t xml:space="preserve"> The only item improvable in the short term is B.4: an official certificate in a third language (Valencian A2–B1 through JQCV/CIEACOVA is the fastest and cheapest route) would activate that 5% without depending on anyone's interpretation.</w:t>
      </w:r>
    </w:p>
    <w:p>
      <w:pPr>
        <w:pBdr>
          <w:bottom w:val="single" w:sz="6" w:space="1" w:color="E6E8F2"/>
        </w:pBdr>
      </w:pPr>
    </w:p>
    <w:p>
      <w:pPr>
        <w:spacing w:before="320" w:after="120"/>
      </w:pPr>
      <w:r>
        <w:rPr>
          <w:rFonts w:ascii="Fraunces" w:hAnsi="Fraunces" w:cs="Fraunces"/>
          <w:b/>
          <w:i w:val="0"/>
          <w:color w:val="22307C"/>
          <w:sz w:val="42"/>
        </w:rPr>
        <w:t>5. Research output and dissemination</w:t>
      </w:r>
    </w:p>
    <w:p>
      <w:pPr>
        <w:spacing w:before="320" w:after="120"/>
      </w:pPr>
      <w:r>
        <w:rPr>
          <w:rFonts w:ascii="Fraunces" w:hAnsi="Fraunces" w:cs="Fraunces"/>
          <w:b/>
          <w:i w:val="0"/>
          <w:color w:val="22307C"/>
          <w:sz w:val="32"/>
        </w:rPr>
        <w:t>5.1 · A research trajectory that began with the final-year dissertation</w:t>
      </w:r>
    </w:p>
    <w:p>
      <w:r>
        <w:rPr>
          <w:rFonts w:ascii="Inter" w:hAnsi="Inter" w:cs="Inter"/>
          <w:b w:val="0"/>
          <w:i w:val="0"/>
          <w:color w:val="1C1E2E"/>
          <w:sz w:val="22"/>
        </w:rPr>
        <w:t xml:space="preserve">The dissertation did not stay in the file: it ran the full research cycle — </w:t>
      </w:r>
      <w:r>
        <w:rPr>
          <w:rFonts w:ascii="Inter" w:hAnsi="Inter" w:cs="Inter"/>
          <w:b/>
          <w:i w:val="0"/>
          <w:color w:val="1C1E2E"/>
          <w:sz w:val="22"/>
        </w:rPr>
        <w:t>defence with the top grade → peer review and publication in an indexed journal → refereed paper at an international conference</w:t>
      </w:r>
      <w:r>
        <w:rPr>
          <w:rFonts w:ascii="Inter" w:hAnsi="Inter" w:cs="Inter"/>
          <w:b w:val="0"/>
          <w:i w:val="0"/>
          <w:color w:val="1C1E2E"/>
          <w:sz w:val="22"/>
        </w:rPr>
        <w:t>. It is the most direct evidence of independent research capacity that a doctoral application can carry.</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Stage</w:t>
            </w:r>
          </w:p>
        </w:tc>
        <w:tc>
          <w:tcPr>
            <w:tcW w:type="dxa" w:w="2412"/>
            <w:shd w:val="clear" w:color="auto" w:fill="EEF2FD"/>
          </w:tcPr>
          <w:p>
            <w:pPr>
              <w:spacing w:after="40"/>
            </w:pPr>
            <w:r/>
            <w:r>
              <w:rPr>
                <w:rFonts w:ascii="Inter" w:hAnsi="Inter" w:cs="Inter"/>
                <w:b/>
                <w:i w:val="0"/>
                <w:color w:val="22307C"/>
                <w:sz w:val="19"/>
              </w:rPr>
              <w:t>Milestone</w:t>
            </w:r>
          </w:p>
        </w:tc>
        <w:tc>
          <w:tcPr>
            <w:tcW w:type="dxa" w:w="2412"/>
            <w:shd w:val="clear" w:color="auto" w:fill="EEF2FD"/>
          </w:tcPr>
          <w:p>
            <w:pPr>
              <w:spacing w:after="40"/>
            </w:pPr>
            <w:r/>
            <w:r>
              <w:rPr>
                <w:rFonts w:ascii="Inter" w:hAnsi="Inter" w:cs="Inter"/>
                <w:b/>
                <w:i w:val="0"/>
                <w:color w:val="22307C"/>
                <w:sz w:val="19"/>
              </w:rPr>
              <w:t>Date</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1 · Defence</w:t>
            </w:r>
          </w:p>
        </w:tc>
        <w:tc>
          <w:tcPr>
            <w:tcW w:type="dxa" w:w="2412"/>
          </w:tcPr>
          <w:p>
            <w:pPr>
              <w:spacing w:after="40"/>
            </w:pPr>
            <w:r/>
            <w:r>
              <w:rPr>
                <w:rFonts w:ascii="Inter" w:hAnsi="Inter" w:cs="Inter"/>
                <w:b w:val="0"/>
                <w:i w:val="0"/>
                <w:color w:val="1C1E2E"/>
                <w:sz w:val="19"/>
              </w:rPr>
              <w:t xml:space="preserve">Final-year dissertation graded </w:t>
            </w:r>
            <w:r>
              <w:rPr>
                <w:rFonts w:ascii="Inter" w:hAnsi="Inter" w:cs="Inter"/>
                <w:b/>
                <w:i w:val="0"/>
                <w:color w:val="1C1E2E"/>
                <w:sz w:val="19"/>
              </w:rPr>
              <w:t>20/20 — Sobresaliente</w:t>
            </w:r>
            <w:r>
              <w:rPr>
                <w:rFonts w:ascii="Inter" w:hAnsi="Inter" w:cs="Inter"/>
                <w:b w:val="0"/>
                <w:i w:val="0"/>
                <w:color w:val="1C1E2E"/>
                <w:sz w:val="19"/>
              </w:rPr>
              <w:t xml:space="preserve">; </w:t>
            </w:r>
            <w:r>
              <w:rPr>
                <w:rFonts w:ascii="Inter" w:hAnsi="Inter" w:cs="Inter"/>
                <w:b/>
                <w:i w:val="0"/>
                <w:color w:val="1C1E2E"/>
                <w:sz w:val="19"/>
              </w:rPr>
              <w:t>Diploma of Honour</w:t>
            </w:r>
            <w:r>
              <w:rPr>
                <w:rFonts w:ascii="Inter" w:hAnsi="Inter" w:cs="Inter"/>
                <w:b w:val="0"/>
                <w:i w:val="0"/>
                <w:color w:val="1C1E2E"/>
                <w:sz w:val="19"/>
              </w:rPr>
              <w:t xml:space="preserve"> awarded by the Rector of Universidad de Los Andes</w:t>
            </w:r>
          </w:p>
        </w:tc>
        <w:tc>
          <w:tcPr>
            <w:tcW w:type="dxa" w:w="2412"/>
          </w:tcPr>
          <w:p>
            <w:pPr>
              <w:spacing w:after="40"/>
            </w:pPr>
            <w:r/>
            <w:r>
              <w:rPr>
                <w:rFonts w:ascii="Inter" w:hAnsi="Inter" w:cs="Inter"/>
                <w:b w:val="0"/>
                <w:i w:val="0"/>
                <w:color w:val="1C1E2E"/>
                <w:sz w:val="19"/>
              </w:rPr>
              <w:t>15 Nov 2004</w:t>
            </w:r>
          </w:p>
        </w:tc>
        <w:tc>
          <w:tcPr>
            <w:tcW w:type="dxa" w:w="2412"/>
          </w:tcPr>
          <w:p>
            <w:pPr>
              <w:spacing w:after="40"/>
            </w:pPr>
            <w:r/>
            <w:r>
              <w:rPr>
                <w:rFonts w:ascii="Inter" w:hAnsi="Inter" w:cs="Inter"/>
                <w:b/>
                <w:i w:val="0"/>
                <w:color w:val="1C1E2E"/>
                <w:sz w:val="19"/>
              </w:rPr>
              <w:t>[DOC-07]</w:t>
            </w:r>
          </w:p>
        </w:tc>
      </w:tr>
      <w:tr>
        <w:tc>
          <w:tcPr>
            <w:tcW w:type="dxa" w:w="2412"/>
          </w:tcPr>
          <w:p>
            <w:pPr>
              <w:spacing w:after="40"/>
            </w:pPr>
            <w:r/>
            <w:r>
              <w:rPr>
                <w:rFonts w:ascii="Inter" w:hAnsi="Inter" w:cs="Inter"/>
                <w:b/>
                <w:i w:val="0"/>
                <w:color w:val="1C1E2E"/>
                <w:sz w:val="19"/>
              </w:rPr>
              <w:t>2 · Peer review</w:t>
            </w:r>
          </w:p>
        </w:tc>
        <w:tc>
          <w:tcPr>
            <w:tcW w:type="dxa" w:w="2412"/>
          </w:tcPr>
          <w:p>
            <w:pPr>
              <w:spacing w:after="40"/>
            </w:pPr>
            <w:r/>
            <w:r>
              <w:rPr>
                <w:rFonts w:ascii="Inter" w:hAnsi="Inter" w:cs="Inter"/>
                <w:b w:val="0"/>
                <w:i w:val="0"/>
                <w:color w:val="1C1E2E"/>
                <w:sz w:val="19"/>
              </w:rPr>
              <w:t xml:space="preserve">Article received (13-06-2004) and </w:t>
            </w:r>
            <w:r>
              <w:rPr>
                <w:rFonts w:ascii="Inter" w:hAnsi="Inter" w:cs="Inter"/>
                <w:b/>
                <w:i w:val="0"/>
                <w:color w:val="1C1E2E"/>
                <w:sz w:val="19"/>
              </w:rPr>
              <w:t>accepted after peer review</w:t>
            </w:r>
            <w:r>
              <w:rPr>
                <w:rFonts w:ascii="Inter" w:hAnsi="Inter" w:cs="Inter"/>
                <w:b w:val="0"/>
                <w:i w:val="0"/>
                <w:color w:val="1C1E2E"/>
                <w:sz w:val="19"/>
              </w:rPr>
              <w:t xml:space="preserve"> (19-07-2004) by </w:t>
            </w:r>
            <w:r>
              <w:rPr>
                <w:rFonts w:ascii="Inter" w:hAnsi="Inter" w:cs="Inter"/>
                <w:b w:val="0"/>
                <w:i/>
                <w:color w:val="1C1E2E"/>
                <w:sz w:val="19"/>
              </w:rPr>
              <w:t>Kaleidoscopio</w:t>
            </w:r>
            <w:r>
              <w:rPr>
                <w:rFonts w:ascii="Inter" w:hAnsi="Inter" w:cs="Inter"/>
                <w:b w:val="0"/>
                <w:i w:val="0"/>
                <w:color w:val="1C1E2E"/>
                <w:sz w:val="19"/>
              </w:rPr>
              <w:t xml:space="preserve">, refereed journal of Education, Humanities and Arts of </w:t>
            </w:r>
            <w:r>
              <w:rPr>
                <w:rFonts w:ascii="Inter" w:hAnsi="Inter" w:cs="Inter"/>
                <w:b/>
                <w:i w:val="0"/>
                <w:color w:val="1C1E2E"/>
                <w:sz w:val="19"/>
              </w:rPr>
              <w:t>Universidad Nacional Experimental de Guayana (UNEG)</w:t>
            </w:r>
          </w:p>
        </w:tc>
        <w:tc>
          <w:tcPr>
            <w:tcW w:type="dxa" w:w="2412"/>
          </w:tcPr>
          <w:p>
            <w:pPr>
              <w:spacing w:after="40"/>
            </w:pPr>
            <w:r/>
            <w:r>
              <w:rPr>
                <w:rFonts w:ascii="Inter" w:hAnsi="Inter" w:cs="Inter"/>
                <w:b w:val="0"/>
                <w:i w:val="0"/>
                <w:color w:val="1C1E2E"/>
                <w:sz w:val="19"/>
              </w:rPr>
              <w:t>2004–2005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3 · Publication</w:t>
            </w:r>
          </w:p>
        </w:tc>
        <w:tc>
          <w:tcPr>
            <w:tcW w:type="dxa" w:w="2412"/>
          </w:tcPr>
          <w:p>
            <w:pPr>
              <w:spacing w:after="40"/>
            </w:pPr>
            <w:r/>
            <w:r>
              <w:rPr>
                <w:rFonts w:ascii="Inter" w:hAnsi="Inter" w:cs="Inter"/>
                <w:b w:val="0"/>
                <w:i w:val="0"/>
                <w:color w:val="1C1E2E"/>
                <w:sz w:val="19"/>
              </w:rPr>
              <w:t xml:space="preserve">Published in </w:t>
            </w:r>
            <w:r>
              <w:rPr>
                <w:rFonts w:ascii="Inter" w:hAnsi="Inter" w:cs="Inter"/>
                <w:b/>
                <w:i w:val="0"/>
                <w:color w:val="1C1E2E"/>
                <w:sz w:val="19"/>
              </w:rPr>
              <w:t>Kaleidoscopio, vol. 2, no. 3 (Jan–Jun 2005), pp. 51–56</w:t>
            </w:r>
            <w:r>
              <w:rPr>
                <w:rFonts w:ascii="Inter" w:hAnsi="Inter" w:cs="Inter"/>
                <w:b w:val="0"/>
                <w:i w:val="0"/>
                <w:color w:val="1C1E2E"/>
                <w:sz w:val="19"/>
              </w:rPr>
              <w:t xml:space="preserve">, with a bilingual Spanish/English abstract. ISSN 1690-6054. </w:t>
            </w:r>
            <w:r>
              <w:rPr>
                <w:rFonts w:ascii="Inter" w:hAnsi="Inter" w:cs="Inter"/>
                <w:b/>
                <w:i w:val="0"/>
                <w:color w:val="1C1E2E"/>
                <w:sz w:val="19"/>
              </w:rPr>
              <w:t>Indexed in CLASE (UNAM)</w:t>
            </w:r>
          </w:p>
        </w:tc>
        <w:tc>
          <w:tcPr>
            <w:tcW w:type="dxa" w:w="2412"/>
          </w:tcPr>
          <w:p>
            <w:pPr>
              <w:spacing w:after="40"/>
            </w:pPr>
            <w:r/>
            <w:r>
              <w:rPr>
                <w:rFonts w:ascii="Inter" w:hAnsi="Inter" w:cs="Inter"/>
                <w:b w:val="0"/>
                <w:i w:val="0"/>
                <w:color w:val="1C1E2E"/>
                <w:sz w:val="19"/>
              </w:rPr>
              <w:t>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4 · International conference</w:t>
            </w:r>
          </w:p>
        </w:tc>
        <w:tc>
          <w:tcPr>
            <w:tcW w:type="dxa" w:w="2412"/>
          </w:tcPr>
          <w:p>
            <w:pPr>
              <w:spacing w:after="40"/>
            </w:pPr>
            <w:r/>
            <w:r>
              <w:rPr>
                <w:rFonts w:ascii="Inter" w:hAnsi="Inter" w:cs="Inter"/>
                <w:b w:val="0"/>
                <w:i w:val="0"/>
                <w:color w:val="1C1E2E"/>
                <w:sz w:val="19"/>
              </w:rPr>
              <w:t xml:space="preserve">Abstract </w:t>
            </w:r>
            <w:r>
              <w:rPr>
                <w:rFonts w:ascii="Inter" w:hAnsi="Inter" w:cs="Inter"/>
                <w:b/>
                <w:i w:val="0"/>
                <w:color w:val="1C1E2E"/>
                <w:sz w:val="19"/>
              </w:rPr>
              <w:t>accepted by the refereeing committee</w:t>
            </w:r>
            <w:r>
              <w:rPr>
                <w:rFonts w:ascii="Inter" w:hAnsi="Inter" w:cs="Inter"/>
                <w:b w:val="0"/>
                <w:i w:val="0"/>
                <w:color w:val="1C1E2E"/>
                <w:sz w:val="19"/>
              </w:rPr>
              <w:t xml:space="preserve"> and paper presented at the </w:t>
            </w:r>
            <w:r>
              <w:rPr>
                <w:rFonts w:ascii="Inter" w:hAnsi="Inter" w:cs="Inter"/>
                <w:b/>
                <w:i w:val="0"/>
                <w:color w:val="1C1E2E"/>
                <w:sz w:val="19"/>
              </w:rPr>
              <w:t>2nd International Conference on Higher Education, "Trends and Perspectives of Higher Education in Latin America / in the 21st Century"</w:t>
            </w:r>
            <w:r>
              <w:rPr>
                <w:rFonts w:ascii="Inter" w:hAnsi="Inter" w:cs="Inter"/>
                <w:b w:val="0"/>
                <w:i w:val="0"/>
                <w:color w:val="1C1E2E"/>
                <w:sz w:val="19"/>
              </w:rPr>
              <w:t xml:space="preserve">, Association of Educators of Latin America and the Caribbean + Universidad de Oriente, </w:t>
            </w:r>
            <w:r>
              <w:rPr>
                <w:rFonts w:ascii="Inter" w:hAnsi="Inter" w:cs="Inter"/>
                <w:b/>
                <w:i w:val="0"/>
                <w:color w:val="1C1E2E"/>
                <w:sz w:val="19"/>
              </w:rPr>
              <w:t>Cumaná, 31 Jul – 2 Aug 2008</w:t>
            </w:r>
            <w:r>
              <w:rPr>
                <w:rFonts w:ascii="Inter" w:hAnsi="Inter" w:cs="Inter"/>
                <w:b w:val="0"/>
                <w:i w:val="0"/>
                <w:color w:val="1C1E2E"/>
                <w:sz w:val="19"/>
              </w:rPr>
              <w:t xml:space="preserve"> (ref. CIES/P 048)</w:t>
            </w:r>
          </w:p>
        </w:tc>
        <w:tc>
          <w:tcPr>
            <w:tcW w:type="dxa" w:w="2412"/>
          </w:tcPr>
          <w:p>
            <w:pPr>
              <w:spacing w:after="40"/>
            </w:pPr>
            <w:r/>
            <w:r>
              <w:rPr>
                <w:rFonts w:ascii="Inter" w:hAnsi="Inter" w:cs="Inter"/>
                <w:b w:val="0"/>
                <w:i w:val="0"/>
                <w:color w:val="1C1E2E"/>
                <w:sz w:val="19"/>
              </w:rPr>
              <w:t>2008</w:t>
            </w:r>
          </w:p>
        </w:tc>
        <w:tc>
          <w:tcPr>
            <w:tcW w:type="dxa" w:w="2412"/>
          </w:tcPr>
          <w:p>
            <w:pPr>
              <w:spacing w:after="40"/>
            </w:pPr>
            <w:r/>
            <w:r>
              <w:rPr>
                <w:rFonts w:ascii="Inter" w:hAnsi="Inter" w:cs="Inter"/>
                <w:b/>
                <w:i w:val="0"/>
                <w:color w:val="1C1E2E"/>
                <w:sz w:val="19"/>
              </w:rPr>
              <w:t>[DOC-24]</w:t>
            </w:r>
          </w:p>
        </w:tc>
      </w:tr>
    </w:tbl>
    <w:p/>
    <w:p>
      <w:r>
        <w:rPr>
          <w:rFonts w:ascii="Inter" w:hAnsi="Inter" w:cs="Inter"/>
          <w:b/>
          <w:i w:val="0"/>
          <w:color w:val="1C1E2E"/>
          <w:sz w:val="22"/>
        </w:rPr>
        <w:t>Full citation:</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(3), 51–56. Universidad Nacional Experimental de Guayana. ISSN 1690-6054. Indexed in CLASE (UNAM). https://hdl.handle.net/20.500.14330/CLA01000260594</w:t>
      </w:r>
    </w:p>
    <w:p>
      <w:r>
        <w:rPr>
          <w:rFonts w:ascii="Inter" w:hAnsi="Inter" w:cs="Inter"/>
          <w:b/>
          <w:i w:val="0"/>
          <w:color w:val="1C1E2E"/>
          <w:sz w:val="22"/>
        </w:rPr>
        <w:t>Relevance to the thesis proposal.</w:t>
      </w:r>
      <w:r>
        <w:rPr>
          <w:rFonts w:ascii="Inter" w:hAnsi="Inter" w:cs="Inter"/>
          <w:b w:val="0"/>
          <w:i w:val="0"/>
          <w:color w:val="1C1E2E"/>
          <w:sz w:val="22"/>
        </w:rPr>
        <w:t xml:space="preserve"> The object of that study — the graduate's profile measured against the teaching functions and linguistic competences set out in the curriculum reform — is, at bottom, the same problem MLLDE addresses twenty years later: </w:t>
      </w:r>
      <w:r>
        <w:rPr>
          <w:rFonts w:ascii="Inter" w:hAnsi="Inter" w:cs="Inter"/>
          <w:b/>
          <w:i w:val="0"/>
          <w:color w:val="1C1E2E"/>
          <w:sz w:val="22"/>
        </w:rPr>
        <w:t>how to align a curriculum design with a verifiable competence framework</w:t>
      </w:r>
      <w:r>
        <w:rPr>
          <w:rFonts w:ascii="Inter" w:hAnsi="Inter" w:cs="Inter"/>
          <w:b w:val="0"/>
          <w:i w:val="0"/>
          <w:color w:val="1C1E2E"/>
          <w:sz w:val="22"/>
        </w:rPr>
        <w:t>. The continuity of the research line is real, not rhetorical.</w:t>
      </w:r>
    </w:p>
    <w:p>
      <w:pPr>
        <w:spacing w:before="320" w:after="120"/>
      </w:pPr>
      <w:r>
        <w:rPr>
          <w:rFonts w:ascii="Fraunces" w:hAnsi="Fraunces" w:cs="Fraunces"/>
          <w:b/>
          <w:i w:val="0"/>
          <w:color w:val="22307C"/>
          <w:sz w:val="32"/>
        </w:rPr>
        <w:t>5.2 · Acknowledgement</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for the manuscript's English and scientific content. </w:t>
      </w:r>
      <w:r>
        <w:rPr>
          <w:rFonts w:ascii="Inter" w:hAnsi="Inter" w:cs="Inter"/>
          <w:b/>
          <w:i w:val="0"/>
          <w:color w:val="5B5F77"/>
          <w:sz w:val="21"/>
        </w:rPr>
        <w:t>[DOC-14]</w:t>
      </w:r>
    </w:p>
    <w:p>
      <w:pPr>
        <w:spacing w:before="320" w:after="120"/>
      </w:pPr>
      <w:r>
        <w:rPr>
          <w:rFonts w:ascii="Fraunces" w:hAnsi="Fraunces" w:cs="Fraunces"/>
          <w:b/>
          <w:i w:val="0"/>
          <w:color w:val="22307C"/>
          <w:sz w:val="32"/>
        </w:rPr>
        <w:t>5.3 · Professional dissemination</w:t>
      </w:r>
    </w:p>
    <w:p>
      <w:pPr>
        <w:pStyle w:val="ListBullet"/>
        <w:spacing w:after="60"/>
        <w:ind w:left="403"/>
      </w:pPr>
      <w:r>
        <w:rPr>
          <w:rFonts w:ascii="Inter" w:hAnsi="Inter" w:cs="Inter"/>
          <w:b w:val="0"/>
          <w:i w:val="0"/>
          <w:color w:val="1C1E2E"/>
          <w:sz w:val="22"/>
        </w:rPr>
        <w:t>Six-area EdTech portfolio (video, gamification, course design, interactive tools, virtual training, research).</w:t>
      </w:r>
    </w:p>
    <w:p>
      <w:pPr>
        <w:pStyle w:val="ListBullet"/>
        <w:spacing w:after="60"/>
        <w:ind w:left="403"/>
      </w:pPr>
      <w:r>
        <w:rPr>
          <w:rFonts w:ascii="Inter" w:hAnsi="Inter" w:cs="Inter"/>
          <w:b w:val="0"/>
          <w:i w:val="0"/>
          <w:color w:val="1C1E2E"/>
          <w:sz w:val="22"/>
        </w:rPr>
        <w:t>Interactive corpus data book on metadiscourse (research-results visualisation in applied linguistics), published in the research portfolio.</w:t>
      </w:r>
    </w:p>
    <w:p>
      <w:pPr>
        <w:pStyle w:val="ListBullet"/>
        <w:spacing w:after="60"/>
        <w:ind w:left="403"/>
      </w:pPr>
      <w:r>
        <w:rPr>
          <w:rFonts w:ascii="Inter" w:hAnsi="Inter" w:cs="Inter"/>
          <w:b w:val="0"/>
          <w:i w:val="0"/>
          <w:color w:val="1C1E2E"/>
          <w:sz w:val="22"/>
        </w:rPr>
        <w:t>Professional podcast on Spotify and a YouTube channel on learning design and academic writing.</w:t>
      </w:r>
    </w:p>
    <w:p>
      <w:pPr>
        <w:pBdr>
          <w:bottom w:val="single" w:sz="6" w:space="1" w:color="E6E8F2"/>
        </w:pBdr>
      </w:pPr>
    </w:p>
    <w:p>
      <w:pPr>
        <w:spacing w:before="320" w:after="120"/>
      </w:pPr>
      <w:r>
        <w:rPr>
          <w:rFonts w:ascii="Fraunces" w:hAnsi="Fraunces" w:cs="Fraunces"/>
          <w:b/>
          <w:i w:val="0"/>
          <w:color w:val="22307C"/>
          <w:sz w:val="42"/>
        </w:rPr>
        <w:t>6. Complementary training and certifications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Certification</w:t>
            </w:r>
          </w:p>
        </w:tc>
        <w:tc>
          <w:tcPr>
            <w:tcW w:type="dxa" w:w="2412"/>
            <w:shd w:val="clear" w:color="auto" w:fill="EEF2FD"/>
          </w:tcPr>
          <w:p>
            <w:pPr>
              <w:spacing w:after="40"/>
            </w:pPr>
            <w:r/>
            <w:r>
              <w:rPr>
                <w:rFonts w:ascii="Inter" w:hAnsi="Inter" w:cs="Inter"/>
                <w:b/>
                <w:i w:val="0"/>
                <w:color w:val="22307C"/>
                <w:sz w:val="19"/>
              </w:rPr>
              <w:t>Body</w:t>
            </w:r>
          </w:p>
        </w:tc>
        <w:tc>
          <w:tcPr>
            <w:tcW w:type="dxa" w:w="2412"/>
            <w:shd w:val="clear" w:color="auto" w:fill="EEF2FD"/>
          </w:tcPr>
          <w:p>
            <w:pPr>
              <w:spacing w:after="40"/>
            </w:pPr>
            <w:r/>
            <w:r>
              <w:rPr>
                <w:rFonts w:ascii="Inter" w:hAnsi="Inter" w:cs="Inter"/>
                <w:b/>
                <w:i w:val="0"/>
                <w:color w:val="22307C"/>
                <w:sz w:val="19"/>
              </w:rPr>
              <w:t>Date</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val="0"/>
                <w:i w:val="0"/>
                <w:color w:val="1C1E2E"/>
                <w:sz w:val="19"/>
              </w:rPr>
              <w:t>Instructional Design: Course Planning and Pedagogy</w:t>
            </w:r>
          </w:p>
        </w:tc>
        <w:tc>
          <w:tcPr>
            <w:tcW w:type="dxa" w:w="2412"/>
          </w:tcPr>
          <w:p>
            <w:pPr>
              <w:spacing w:after="40"/>
            </w:pPr>
            <w:r/>
            <w:r>
              <w:rPr>
                <w:rFonts w:ascii="Inter" w:hAnsi="Inter" w:cs="Inter"/>
                <w:b w:val="0"/>
                <w:i w:val="0"/>
                <w:color w:val="1C1E2E"/>
                <w:sz w:val="19"/>
              </w:rPr>
              <w:t>University of California, Irvine (DCE)</w:t>
            </w:r>
          </w:p>
        </w:tc>
        <w:tc>
          <w:tcPr>
            <w:tcW w:type="dxa" w:w="2412"/>
          </w:tcPr>
          <w:p>
            <w:pPr>
              <w:spacing w:after="40"/>
            </w:pPr>
            <w:r/>
            <w:r>
              <w:rPr>
                <w:rFonts w:ascii="Inter" w:hAnsi="Inter" w:cs="Inter"/>
                <w:b w:val="0"/>
                <w:i w:val="0"/>
                <w:color w:val="1C1E2E"/>
                <w:sz w:val="19"/>
              </w:rPr>
              <w:t>Jan 2025</w:t>
            </w:r>
          </w:p>
        </w:tc>
        <w:tc>
          <w:tcPr>
            <w:tcW w:type="dxa" w:w="2412"/>
          </w:tcPr>
          <w:p>
            <w:pPr>
              <w:spacing w:after="40"/>
            </w:pPr>
            <w:r/>
            <w:r>
              <w:rPr>
                <w:rFonts w:ascii="Inter" w:hAnsi="Inter" w:cs="Inter"/>
                <w:b w:val="0"/>
                <w:i w:val="0"/>
                <w:color w:val="1C1E2E"/>
                <w:sz w:val="19"/>
              </w:rPr>
              <w:t>[DOC-20]</w:t>
            </w:r>
          </w:p>
        </w:tc>
      </w:tr>
      <w:tr>
        <w:tc>
          <w:tcPr>
            <w:tcW w:type="dxa" w:w="2412"/>
          </w:tcPr>
          <w:p>
            <w:pPr>
              <w:spacing w:after="40"/>
            </w:pPr>
            <w:r/>
            <w:r>
              <w:rPr>
                <w:rFonts w:ascii="Inter" w:hAnsi="Inter" w:cs="Inter"/>
                <w:b w:val="0"/>
                <w:i w:val="0"/>
                <w:color w:val="1C1E2E"/>
                <w:sz w:val="19"/>
              </w:rPr>
              <w:t>Instructional Design Fundamentals</w:t>
            </w:r>
          </w:p>
        </w:tc>
        <w:tc>
          <w:tcPr>
            <w:tcW w:type="dxa" w:w="2412"/>
          </w:tcPr>
          <w:p>
            <w:pPr>
              <w:spacing w:after="40"/>
            </w:pPr>
            <w:r/>
            <w:r>
              <w:rPr>
                <w:rFonts w:ascii="Inter" w:hAnsi="Inter" w:cs="Inter"/>
                <w:b w:val="0"/>
                <w:i w:val="0"/>
                <w:color w:val="1C1E2E"/>
                <w:sz w:val="19"/>
              </w:rPr>
              <w:t>University of Cambridge (PCE)</w:t>
            </w:r>
          </w:p>
        </w:tc>
        <w:tc>
          <w:tcPr>
            <w:tcW w:type="dxa" w:w="2412"/>
          </w:tcPr>
          <w:p>
            <w:pPr>
              <w:spacing w:after="40"/>
            </w:pPr>
            <w:r/>
            <w:r>
              <w:rPr>
                <w:rFonts w:ascii="Inter" w:hAnsi="Inter" w:cs="Inter"/>
                <w:b w:val="0"/>
                <w:i w:val="0"/>
                <w:color w:val="1C1E2E"/>
                <w:sz w:val="19"/>
              </w:rPr>
              <w:t>Mar 2025</w:t>
            </w:r>
          </w:p>
        </w:tc>
        <w:tc>
          <w:tcPr>
            <w:tcW w:type="dxa" w:w="2412"/>
          </w:tcPr>
          <w:p>
            <w:pPr>
              <w:spacing w:after="40"/>
            </w:pPr>
            <w:r/>
            <w:r>
              <w:rPr>
                <w:rFonts w:ascii="Inter" w:hAnsi="Inter" w:cs="Inter"/>
                <w:b w:val="0"/>
                <w:i w:val="0"/>
                <w:color w:val="1C1E2E"/>
                <w:sz w:val="19"/>
              </w:rPr>
              <w:t>[DOC-21]</w:t>
            </w:r>
          </w:p>
        </w:tc>
      </w:tr>
      <w:tr>
        <w:tc>
          <w:tcPr>
            <w:tcW w:type="dxa" w:w="2412"/>
          </w:tcPr>
          <w:p>
            <w:pPr>
              <w:spacing w:after="40"/>
            </w:pPr>
            <w:r/>
            <w:r>
              <w:rPr>
                <w:rFonts w:ascii="Inter" w:hAnsi="Inter" w:cs="Inter"/>
                <w:b w:val="0"/>
                <w:i w:val="0"/>
                <w:color w:val="1C1E2E"/>
                <w:sz w:val="19"/>
              </w:rPr>
              <w:t>AP Stylebook Workshop Certificate</w:t>
            </w:r>
          </w:p>
        </w:tc>
        <w:tc>
          <w:tcPr>
            <w:tcW w:type="dxa" w:w="2412"/>
          </w:tcPr>
          <w:p>
            <w:pPr>
              <w:spacing w:after="40"/>
            </w:pPr>
            <w:r/>
            <w:r>
              <w:rPr>
                <w:rFonts w:ascii="Inter" w:hAnsi="Inter" w:cs="Inter"/>
                <w:b w:val="0"/>
                <w:i w:val="0"/>
                <w:color w:val="1C1E2E"/>
                <w:sz w:val="19"/>
              </w:rPr>
              <w:t>The Associated Press</w:t>
            </w:r>
          </w:p>
        </w:tc>
        <w:tc>
          <w:tcPr>
            <w:tcW w:type="dxa" w:w="2412"/>
          </w:tcPr>
          <w:p>
            <w:pPr>
              <w:spacing w:after="40"/>
            </w:pPr>
            <w:r/>
            <w:r>
              <w:rPr>
                <w:rFonts w:ascii="Inter" w:hAnsi="Inter" w:cs="Inter"/>
                <w:b w:val="0"/>
                <w:i w:val="0"/>
                <w:color w:val="1C1E2E"/>
                <w:sz w:val="19"/>
              </w:rPr>
              <w:t>May 2024 (valid to Dec 2034)</w:t>
            </w:r>
          </w:p>
        </w:tc>
        <w:tc>
          <w:tcPr>
            <w:tcW w:type="dxa" w:w="2412"/>
          </w:tcPr>
          <w:p>
            <w:pPr>
              <w:spacing w:after="40"/>
            </w:pPr>
            <w:r/>
            <w:r>
              <w:rPr>
                <w:rFonts w:ascii="Inter" w:hAnsi="Inter" w:cs="Inter"/>
                <w:b w:val="0"/>
                <w:i w:val="0"/>
                <w:color w:val="1C1E2E"/>
                <w:sz w:val="19"/>
              </w:rPr>
              <w:t>[DOC-22]</w:t>
            </w:r>
          </w:p>
        </w:tc>
      </w:tr>
      <w:tr>
        <w:tc>
          <w:tcPr>
            <w:tcW w:type="dxa" w:w="2412"/>
          </w:tcPr>
          <w:p>
            <w:pPr>
              <w:spacing w:after="40"/>
            </w:pPr>
            <w:r/>
            <w:r>
              <w:rPr>
                <w:rFonts w:ascii="Inter" w:hAnsi="Inter" w:cs="Inter"/>
                <w:b w:val="0"/>
                <w:i w:val="0"/>
                <w:color w:val="1C1E2E"/>
                <w:sz w:val="19"/>
              </w:rPr>
              <w:t>Digital Content Creation, Mobile Learning and Gamification</w:t>
            </w:r>
          </w:p>
        </w:tc>
        <w:tc>
          <w:tcPr>
            <w:tcW w:type="dxa" w:w="2412"/>
          </w:tcPr>
          <w:p>
            <w:pPr>
              <w:spacing w:after="40"/>
            </w:pPr>
            <w:r/>
            <w:r>
              <w:rPr>
                <w:rFonts w:ascii="Inter" w:hAnsi="Inter" w:cs="Inter"/>
                <w:b w:val="0"/>
                <w:i w:val="0"/>
                <w:color w:val="1C1E2E"/>
                <w:sz w:val="19"/>
              </w:rPr>
              <w:t>SEPE</w:t>
            </w:r>
          </w:p>
        </w:tc>
        <w:tc>
          <w:tcPr>
            <w:tcW w:type="dxa" w:w="2412"/>
          </w:tcPr>
          <w:p>
            <w:pPr>
              <w:spacing w:after="40"/>
            </w:pPr>
            <w:r/>
            <w:r>
              <w:rPr>
                <w:rFonts w:ascii="Inter" w:hAnsi="Inter" w:cs="Inter"/>
                <w:b w:val="0"/>
                <w:i w:val="0"/>
                <w:color w:val="1C1E2E"/>
                <w:sz w:val="19"/>
              </w:rPr>
              <w:t>2024</w:t>
            </w:r>
          </w:p>
        </w:tc>
        <w:tc>
          <w:tcPr>
            <w:tcW w:type="dxa" w:w="2412"/>
          </w:tcPr>
          <w:p>
            <w:pPr>
              <w:spacing w:after="40"/>
            </w:pPr>
            <w:r/>
            <w:r>
              <w:rPr>
                <w:rFonts w:ascii="Inter" w:hAnsi="Inter" w:cs="Inter"/>
                <w:b w:val="0"/>
                <w:i w:val="0"/>
                <w:color w:val="1C1E2E"/>
                <w:sz w:val="19"/>
              </w:rPr>
              <w:t>[DOC-23]</w:t>
            </w:r>
          </w:p>
        </w:tc>
      </w:tr>
      <w:tr>
        <w:tc>
          <w:tcPr>
            <w:tcW w:type="dxa" w:w="2412"/>
          </w:tcPr>
          <w:p>
            <w:pPr>
              <w:spacing w:after="40"/>
            </w:pPr>
            <w:r/>
            <w:r>
              <w:rPr>
                <w:rFonts w:ascii="Inter" w:hAnsi="Inter" w:cs="Inter"/>
                <w:b w:val="0"/>
                <w:i w:val="0"/>
                <w:color w:val="1C1E2E"/>
                <w:sz w:val="19"/>
              </w:rPr>
              <w:t>C1 Advanced (CAE)</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[DOC-09]</w:t>
            </w:r>
          </w:p>
        </w:tc>
      </w:tr>
      <w:tr>
        <w:tc>
          <w:tcPr>
            <w:tcW w:type="dxa" w:w="2412"/>
          </w:tcPr>
          <w:p>
            <w:pPr>
              <w:spacing w:after="40"/>
            </w:pPr>
            <w:r/>
            <w:r>
              <w:rPr>
                <w:rFonts w:ascii="Inter" w:hAnsi="Inter" w:cs="Inter"/>
                <w:b w:val="0"/>
                <w:i w:val="0"/>
                <w:color w:val="1C1E2E"/>
                <w:sz w:val="19"/>
              </w:rPr>
              <w:t>CELTA</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[DOC-10]</w:t>
            </w:r>
          </w:p>
        </w:tc>
      </w:tr>
      <w:tr>
        <w:tc>
          <w:tcPr>
            <w:tcW w:type="dxa" w:w="2412"/>
          </w:tcPr>
          <w:p>
            <w:pPr>
              <w:spacing w:after="40"/>
            </w:pPr>
            <w:r/>
            <w:r>
              <w:rPr>
                <w:rFonts w:ascii="Inter" w:hAnsi="Inter" w:cs="Inter"/>
                <w:b w:val="0"/>
                <w:i w:val="0"/>
                <w:color w:val="1C1E2E"/>
                <w:sz w:val="19"/>
              </w:rPr>
              <w:t>Accredited DELE examiner</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[DOC-11]</w:t>
            </w:r>
          </w:p>
        </w:tc>
      </w:tr>
    </w:tbl>
    <w:p/>
    <w:p>
      <w:pPr>
        <w:pBdr>
          <w:bottom w:val="single" w:sz="6" w:space="1" w:color="E6E8F2"/>
        </w:pBdr>
      </w:pPr>
    </w:p>
    <w:p>
      <w:pPr>
        <w:spacing w:before="320" w:after="120"/>
      </w:pPr>
      <w:r>
        <w:rPr>
          <w:rFonts w:ascii="Fraunces" w:hAnsi="Fraunces" w:cs="Fraunces"/>
          <w:b/>
          <w:i w:val="0"/>
          <w:color w:val="22307C"/>
          <w:sz w:val="42"/>
        </w:rPr>
        <w:t>7. Languages, skills and tools</w:t>
      </w:r>
    </w:p>
    <w:p>
      <w:r>
        <w:rPr>
          <w:rFonts w:ascii="Inter" w:hAnsi="Inter" w:cs="Inter"/>
          <w:b/>
          <w:i w:val="0"/>
          <w:color w:val="1C1E2E"/>
          <w:sz w:val="22"/>
        </w:rPr>
        <w:t>Languages:</w:t>
      </w:r>
      <w:r>
        <w:rPr>
          <w:rFonts w:ascii="Inter" w:hAnsi="Inter" w:cs="Inter"/>
          <w:b w:val="0"/>
          <w:i w:val="0"/>
          <w:color w:val="1C1E2E"/>
          <w:sz w:val="22"/>
        </w:rPr>
        <w:t xml:space="preserve"> Spanish (native) · English </w:t>
      </w:r>
      <w:r>
        <w:rPr>
          <w:rFonts w:ascii="Inter" w:hAnsi="Inter" w:cs="Inter"/>
          <w:b/>
          <w:i w:val="0"/>
          <w:color w:val="1C1E2E"/>
          <w:sz w:val="22"/>
        </w:rPr>
        <w:t>C1</w:t>
      </w:r>
      <w:r>
        <w:rPr>
          <w:rFonts w:ascii="Inter" w:hAnsi="Inter" w:cs="Inter"/>
          <w:b w:val="0"/>
          <w:i w:val="0"/>
          <w:color w:val="1C1E2E"/>
          <w:sz w:val="22"/>
        </w:rPr>
        <w:t xml:space="preserve"> (Cambridge C1 Advanced / CAE) — professional and scientific writing in both.</w:t>
      </w:r>
    </w:p>
    <w:p>
      <w:r>
        <w:rPr>
          <w:rFonts w:ascii="Inter" w:hAnsi="Inter" w:cs="Inter"/>
          <w:b/>
          <w:i w:val="0"/>
          <w:color w:val="1C1E2E"/>
          <w:sz w:val="22"/>
        </w:rPr>
        <w:t>Skills &amp; tools (keyword line):</w:t>
      </w:r>
      <w:r>
        <w:rPr>
          <w:rFonts w:ascii="Inter" w:hAnsi="Inter" w:cs="Inter"/>
          <w:b w:val="0"/>
          <w:i w:val="0"/>
          <w:color w:val="1C1E2E"/>
          <w:sz w:val="22"/>
        </w:rPr>
        <w:t xml:space="preserve"> educational content design, instructional design, eLearning, online training, content adaptation, draft review, scripting, content writing, didactic narrative, audio production, gamification, microlearning, curriculum design, competency-based assessment, accessibility (UDL/WCAG), ADDIE, SAM, scientific writing, CEFR, xAPI, SCORM, cmi5, Moodle, Canvas LMS, Chamilo, Articulate 360 (Rise), AVE Global, Notion, Kajabi, Canva, Microsoft Office, Google Workspace, Adobe Podcast.</w:t>
      </w:r>
    </w:p>
    <w:p>
      <w:pPr>
        <w:pBdr>
          <w:bottom w:val="single" w:sz="6" w:space="1" w:color="E6E8F2"/>
        </w:pBdr>
      </w:pPr>
    </w:p>
    <w:p>
      <w:pPr>
        <w:spacing w:before="320" w:after="120"/>
      </w:pPr>
      <w:r>
        <w:rPr>
          <w:rFonts w:ascii="Fraunces" w:hAnsi="Fraunces" w:cs="Fraunces"/>
          <w:b/>
          <w:i w:val="0"/>
          <w:color w:val="22307C"/>
          <w:sz w:val="42"/>
        </w:rPr>
        <w:t>8. ANNEX — Index of supporting documents</w:t>
      </w:r>
    </w:p>
    <w:p>
      <w:pPr>
        <w:pBdr>
          <w:left w:val="single" w:sz="18" w:space="8" w:color="9A5B00"/>
        </w:pBdr>
        <w:spacing w:before="120" w:after="200"/>
        <w:ind w:left="317"/>
      </w:pPr>
      <w:r>
        <w:rPr>
          <w:rFonts w:ascii="Inter" w:hAnsi="Inter" w:cs="Inter"/>
          <w:b w:val="0"/>
          <w:i w:val="0"/>
          <w:color w:val="5B5F77"/>
          <w:sz w:val="21"/>
        </w:rPr>
        <w:t xml:space="preserve">Submit a single PDF with the documents </w:t>
      </w:r>
      <w:r>
        <w:rPr>
          <w:rFonts w:ascii="Inter" w:hAnsi="Inter" w:cs="Inter"/>
          <w:b/>
          <w:i w:val="0"/>
          <w:color w:val="5B5F77"/>
          <w:sz w:val="21"/>
        </w:rPr>
        <w:t>in this order</w:t>
      </w:r>
      <w:r>
        <w:rPr>
          <w:rFonts w:ascii="Inter" w:hAnsi="Inter" w:cs="Inter"/>
          <w:b w:val="0"/>
          <w:i w:val="0"/>
          <w:color w:val="5B5F77"/>
          <w:sz w:val="21"/>
        </w:rPr>
        <w:t>, opening with a cover page that reproduces this table. The committee must be able to go from merit to document in one jump.</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Code</w:t>
            </w:r>
          </w:p>
        </w:tc>
        <w:tc>
          <w:tcPr>
            <w:tcW w:type="dxa" w:w="2412"/>
            <w:shd w:val="clear" w:color="auto" w:fill="EEF2FD"/>
          </w:tcPr>
          <w:p>
            <w:pPr>
              <w:spacing w:after="40"/>
            </w:pPr>
            <w:r/>
            <w:r>
              <w:rPr>
                <w:rFonts w:ascii="Inter" w:hAnsi="Inter" w:cs="Inter"/>
                <w:b/>
                <w:i w:val="0"/>
                <w:color w:val="22307C"/>
                <w:sz w:val="19"/>
              </w:rPr>
              <w:t>Document</w:t>
            </w:r>
          </w:p>
        </w:tc>
        <w:tc>
          <w:tcPr>
            <w:tcW w:type="dxa" w:w="2412"/>
            <w:shd w:val="clear" w:color="auto" w:fill="EEF2FD"/>
          </w:tcPr>
          <w:p>
            <w:pPr>
              <w:spacing w:after="40"/>
            </w:pPr>
            <w:r/>
            <w:r>
              <w:rPr>
                <w:rFonts w:ascii="Inter" w:hAnsi="Inter" w:cs="Inter"/>
                <w:b/>
                <w:i w:val="0"/>
                <w:color w:val="22307C"/>
                <w:sz w:val="19"/>
              </w:rPr>
              <w:t>Supports</w:t>
            </w:r>
          </w:p>
        </w:tc>
        <w:tc>
          <w:tcPr>
            <w:tcW w:type="dxa" w:w="2412"/>
            <w:shd w:val="clear" w:color="auto" w:fill="EEF2FD"/>
          </w:tcPr>
          <w:p>
            <w:pPr>
              <w:spacing w:after="40"/>
            </w:pPr>
            <w:r/>
            <w:r>
              <w:rPr>
                <w:rFonts w:ascii="Inter" w:hAnsi="Inter" w:cs="Inter"/>
                <w:b/>
                <w:i w:val="0"/>
                <w:color w:val="22307C"/>
                <w:sz w:val="19"/>
              </w:rPr>
              <w:t>Status</w:t>
            </w:r>
          </w:p>
        </w:tc>
      </w:tr>
      <w:tr>
        <w:tc>
          <w:tcPr>
            <w:tcW w:type="dxa" w:w="2412"/>
          </w:tcPr>
          <w:p>
            <w:pPr>
              <w:spacing w:after="40"/>
            </w:pPr>
            <w:r/>
            <w:r>
              <w:rPr>
                <w:rFonts w:ascii="Inter" w:hAnsi="Inter" w:cs="Inter"/>
                <w:b w:val="0"/>
                <w:i w:val="0"/>
                <w:color w:val="1C1E2E"/>
                <w:sz w:val="19"/>
              </w:rPr>
              <w:t>DOC-01</w:t>
            </w:r>
          </w:p>
        </w:tc>
        <w:tc>
          <w:tcPr>
            <w:tcW w:type="dxa" w:w="2412"/>
          </w:tcPr>
          <w:p>
            <w:pPr>
              <w:spacing w:after="40"/>
            </w:pPr>
            <w:r/>
            <w:r>
              <w:rPr>
                <w:rFonts w:ascii="Inter" w:hAnsi="Inter" w:cs="Inter"/>
                <w:b w:val="0"/>
                <w:i w:val="0"/>
                <w:color w:val="1C1E2E"/>
                <w:sz w:val="19"/>
              </w:rPr>
              <w:t>UPV academic transcript (GPA 9.4/10 + 2 distinctions)</w:t>
            </w:r>
          </w:p>
        </w:tc>
        <w:tc>
          <w:tcPr>
            <w:tcW w:type="dxa" w:w="2412"/>
          </w:tcPr>
          <w:p>
            <w:pPr>
              <w:spacing w:after="40"/>
            </w:pPr>
            <w:r/>
            <w:r>
              <w:rPr>
                <w:rFonts w:ascii="Inter" w:hAnsi="Inter" w:cs="Inter"/>
                <w:b w:val="0"/>
                <w:i w:val="0"/>
                <w:color w:val="1C1E2E"/>
                <w:sz w:val="19"/>
              </w:rPr>
              <w:t>A.1 · 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DOC-02</w:t>
            </w:r>
          </w:p>
        </w:tc>
        <w:tc>
          <w:tcPr>
            <w:tcW w:type="dxa" w:w="2412"/>
          </w:tcPr>
          <w:p>
            <w:pPr>
              <w:spacing w:after="40"/>
            </w:pPr>
            <w:r/>
            <w:r>
              <w:rPr>
                <w:rFonts w:ascii="Inter" w:hAnsi="Inter" w:cs="Inter"/>
                <w:b w:val="0"/>
                <w:i w:val="0"/>
                <w:color w:val="1C1E2E"/>
                <w:sz w:val="19"/>
              </w:rPr>
              <w:t>Master's degree certificate (UPV)</w:t>
            </w:r>
          </w:p>
        </w:tc>
        <w:tc>
          <w:tcPr>
            <w:tcW w:type="dxa" w:w="2412"/>
          </w:tcPr>
          <w:p>
            <w:pPr>
              <w:spacing w:after="40"/>
            </w:pPr>
            <w:r/>
            <w:r>
              <w:rPr>
                <w:rFonts w:ascii="Inter" w:hAnsi="Inter" w:cs="Inter"/>
                <w:b w:val="0"/>
                <w:i w:val="0"/>
                <w:color w:val="1C1E2E"/>
                <w:sz w:val="19"/>
              </w:rPr>
              <w:t>A.1</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DOC-03</w:t>
            </w:r>
          </w:p>
        </w:tc>
        <w:tc>
          <w:tcPr>
            <w:tcW w:type="dxa" w:w="2412"/>
          </w:tcPr>
          <w:p>
            <w:pPr>
              <w:spacing w:after="40"/>
            </w:pPr>
            <w:r/>
            <w:r>
              <w:rPr>
                <w:rFonts w:ascii="Inter" w:hAnsi="Inter" w:cs="Inter"/>
                <w:b w:val="0"/>
                <w:i w:val="0"/>
                <w:color w:val="1C1E2E"/>
                <w:sz w:val="19"/>
              </w:rPr>
              <w:t>ULA academic transcript with GPA</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DOC-04</w:t>
            </w:r>
          </w:p>
        </w:tc>
        <w:tc>
          <w:tcPr>
            <w:tcW w:type="dxa" w:w="2412"/>
          </w:tcPr>
          <w:p>
            <w:pPr>
              <w:spacing w:after="40"/>
            </w:pPr>
            <w:r/>
            <w:r>
              <w:rPr>
                <w:rFonts w:ascii="Inter" w:hAnsi="Inter" w:cs="Inter"/>
                <w:b w:val="0"/>
                <w:i w:val="0"/>
                <w:color w:val="1C1E2E"/>
                <w:sz w:val="19"/>
              </w:rPr>
              <w:t xml:space="preserve">Undergraduate degree certificate (ULA) + graduation record showing </w:t>
            </w:r>
            <w:r>
              <w:rPr>
                <w:rFonts w:ascii="Inter" w:hAnsi="Inter" w:cs="Inter"/>
                <w:b w:val="0"/>
                <w:i/>
                <w:color w:val="1C1E2E"/>
                <w:sz w:val="19"/>
              </w:rPr>
              <w:t>Summa Cum Laude</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DOC-05</w:t>
            </w:r>
          </w:p>
        </w:tc>
        <w:tc>
          <w:tcPr>
            <w:tcW w:type="dxa" w:w="2412"/>
          </w:tcPr>
          <w:p>
            <w:pPr>
              <w:spacing w:after="40"/>
            </w:pPr>
            <w:r/>
            <w:r>
              <w:rPr>
                <w:rFonts w:ascii="Inter" w:hAnsi="Inter" w:cs="Inter"/>
                <w:b/>
                <w:i w:val="0"/>
                <w:color w:val="1C1E2E"/>
                <w:sz w:val="19"/>
              </w:rPr>
              <w:t>Grade-average equivalence declaration</w:t>
            </w:r>
            <w:r>
              <w:rPr>
                <w:rFonts w:ascii="Inter" w:hAnsi="Inter" w:cs="Inter"/>
                <w:b w:val="0"/>
                <w:i w:val="0"/>
                <w:color w:val="1C1E2E"/>
                <w:sz w:val="19"/>
              </w:rPr>
              <w:t xml:space="preserve"> — Spanish General Secretariat for Universities · </w:t>
            </w:r>
            <w:r>
              <w:rPr>
                <w:rFonts w:ascii="Inter" w:hAnsi="Inter" w:cs="Inter"/>
                <w:b/>
                <w:i w:val="0"/>
                <w:color w:val="1C1E2E"/>
                <w:sz w:val="19"/>
              </w:rPr>
              <w:t>9.07/10</w:t>
            </w:r>
            <w:r>
              <w:rPr>
                <w:rFonts w:ascii="Inter" w:hAnsi="Inter" w:cs="Inter"/>
                <w:b w:val="0"/>
                <w:i w:val="0"/>
                <w:color w:val="1C1E2E"/>
                <w:sz w:val="19"/>
              </w:rPr>
              <w:t xml:space="preserve"> · CSV ⟨CSV in the copy submitted to the committee⟩</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DOC-06</w:t>
            </w:r>
          </w:p>
        </w:tc>
        <w:tc>
          <w:tcPr>
            <w:tcW w:type="dxa" w:w="2412"/>
          </w:tcPr>
          <w:p>
            <w:pPr>
              <w:spacing w:after="40"/>
            </w:pPr>
            <w:r/>
            <w:r>
              <w:rPr>
                <w:rFonts w:ascii="Inter" w:hAnsi="Inter" w:cs="Inter"/>
                <w:b/>
                <w:i w:val="0"/>
                <w:color w:val="1C1E2E"/>
                <w:sz w:val="19"/>
              </w:rPr>
              <w:t>Academic Rank Certificate</w:t>
            </w:r>
            <w:r>
              <w:rPr>
                <w:rFonts w:ascii="Inter" w:hAnsi="Inter" w:cs="Inter"/>
                <w:b w:val="0"/>
                <w:i w:val="0"/>
                <w:color w:val="1C1E2E"/>
                <w:sz w:val="19"/>
              </w:rPr>
              <w:t xml:space="preserve"> (1st of 56) + rectoral certification no. ⟨no. in the copy submitted to the committee⟩ + </w:t>
            </w:r>
            <w:r>
              <w:rPr>
                <w:rFonts w:ascii="Inter" w:hAnsi="Inter" w:cs="Inter"/>
                <w:b/>
                <w:i w:val="0"/>
                <w:color w:val="1C1E2E"/>
                <w:sz w:val="19"/>
              </w:rPr>
              <w:t>Apostille ⟨no. in the copy submitted to the committee⟩</w:t>
            </w:r>
          </w:p>
        </w:tc>
        <w:tc>
          <w:tcPr>
            <w:tcW w:type="dxa" w:w="2412"/>
          </w:tcPr>
          <w:p>
            <w:pPr>
              <w:spacing w:after="40"/>
            </w:pPr>
            <w:r/>
            <w:r>
              <w:rPr>
                <w:rFonts w:ascii="Inter" w:hAnsi="Inter" w:cs="Inter"/>
                <w:b w:val="0"/>
                <w:i w:val="0"/>
                <w:color w:val="1C1E2E"/>
                <w:sz w:val="19"/>
              </w:rPr>
              <w:t>B.1</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DOC-07</w:t>
            </w:r>
          </w:p>
        </w:tc>
        <w:tc>
          <w:tcPr>
            <w:tcW w:type="dxa" w:w="2412"/>
          </w:tcPr>
          <w:p>
            <w:pPr>
              <w:spacing w:after="40"/>
            </w:pPr>
            <w:r/>
            <w:r>
              <w:rPr>
                <w:rFonts w:ascii="Inter" w:hAnsi="Inter" w:cs="Inter"/>
                <w:b/>
                <w:i w:val="0"/>
                <w:color w:val="1C1E2E"/>
                <w:sz w:val="19"/>
              </w:rPr>
              <w:t>Diploma of Honour</w:t>
            </w:r>
            <w:r>
              <w:rPr>
                <w:rFonts w:ascii="Inter" w:hAnsi="Inter" w:cs="Inter"/>
                <w:b w:val="0"/>
                <w:i w:val="0"/>
                <w:color w:val="1C1E2E"/>
                <w:sz w:val="19"/>
              </w:rPr>
              <w:t xml:space="preserve"> for the final-year dissertation — 20/20 Sobresaliente, Rector of ULA, 15 Nov 2004</w:t>
            </w:r>
          </w:p>
        </w:tc>
        <w:tc>
          <w:tcPr>
            <w:tcW w:type="dxa" w:w="2412"/>
          </w:tcPr>
          <w:p>
            <w:pPr>
              <w:spacing w:after="40"/>
            </w:pPr>
            <w:r/>
            <w:r>
              <w:rPr>
                <w:rFonts w:ascii="Inter" w:hAnsi="Inter" w:cs="Inter"/>
                <w:b w:val="0"/>
                <w:i w:val="0"/>
                <w:color w:val="1C1E2E"/>
                <w:sz w:val="19"/>
              </w:rPr>
              <w:t>B.1 · §5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DOC-08</w:t>
            </w:r>
          </w:p>
        </w:tc>
        <w:tc>
          <w:tcPr>
            <w:tcW w:type="dxa" w:w="2412"/>
          </w:tcPr>
          <w:p>
            <w:pPr>
              <w:spacing w:after="40"/>
            </w:pPr>
            <w:r/>
            <w:r>
              <w:rPr>
                <w:rFonts w:ascii="Inter" w:hAnsi="Inter" w:cs="Inter"/>
                <w:b w:val="0"/>
                <w:i w:val="0"/>
                <w:color w:val="1C1E2E"/>
                <w:sz w:val="19"/>
              </w:rPr>
              <w:t xml:space="preserve">Extraordinary Master's Award resolution </w:t>
            </w:r>
            <w:r>
              <w:rPr>
                <w:rFonts w:ascii="Inter" w:hAnsi="Inter" w:cs="Inter"/>
                <w:b w:val="0"/>
                <w:i/>
                <w:color w:val="1C1E2E"/>
                <w:sz w:val="19"/>
              </w:rPr>
              <w:t>(only if UPV resolves one; not applicable today)</w:t>
            </w:r>
          </w:p>
        </w:tc>
        <w:tc>
          <w:tcPr>
            <w:tcW w:type="dxa" w:w="2412"/>
          </w:tcPr>
          <w:p>
            <w:pPr>
              <w:spacing w:after="40"/>
            </w:pPr>
            <w:r/>
            <w:r>
              <w:rPr>
                <w:rFonts w:ascii="Inter" w:hAnsi="Inter" w:cs="Inter"/>
                <w:b w:val="0"/>
                <w:i w:val="0"/>
                <w:color w:val="1C1E2E"/>
                <w:sz w:val="19"/>
              </w:rPr>
              <w:t>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DOC-09</w:t>
            </w:r>
          </w:p>
        </w:tc>
        <w:tc>
          <w:tcPr>
            <w:tcW w:type="dxa" w:w="2412"/>
          </w:tcPr>
          <w:p>
            <w:pPr>
              <w:spacing w:after="40"/>
            </w:pPr>
            <w:r/>
            <w:r>
              <w:rPr>
                <w:rFonts w:ascii="Inter" w:hAnsi="Inter" w:cs="Inter"/>
                <w:b w:val="0"/>
                <w:i w:val="0"/>
                <w:color w:val="1C1E2E"/>
                <w:sz w:val="19"/>
              </w:rPr>
              <w:t>C1 Advanced (CAE) certificate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DOC-10</w:t>
            </w:r>
          </w:p>
        </w:tc>
        <w:tc>
          <w:tcPr>
            <w:tcW w:type="dxa" w:w="2412"/>
          </w:tcPr>
          <w:p>
            <w:pPr>
              <w:spacing w:after="40"/>
            </w:pPr>
            <w:r/>
            <w:r>
              <w:rPr>
                <w:rFonts w:ascii="Inter" w:hAnsi="Inter" w:cs="Inter"/>
                <w:b w:val="0"/>
                <w:i w:val="0"/>
                <w:color w:val="1C1E2E"/>
                <w:sz w:val="19"/>
              </w:rPr>
              <w:t>CELTA certificate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DOC-11</w:t>
            </w:r>
          </w:p>
        </w:tc>
        <w:tc>
          <w:tcPr>
            <w:tcW w:type="dxa" w:w="2412"/>
          </w:tcPr>
          <w:p>
            <w:pPr>
              <w:spacing w:after="40"/>
            </w:pPr>
            <w:r/>
            <w:r>
              <w:rPr>
                <w:rFonts w:ascii="Inter" w:hAnsi="Inter" w:cs="Inter"/>
                <w:b w:val="0"/>
                <w:i w:val="0"/>
                <w:color w:val="1C1E2E"/>
                <w:sz w:val="19"/>
              </w:rPr>
              <w:t>DELE examiner accreditation — Instituto Cervantes</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DOC-12</w:t>
            </w:r>
          </w:p>
        </w:tc>
        <w:tc>
          <w:tcPr>
            <w:tcW w:type="dxa" w:w="2412"/>
          </w:tcPr>
          <w:p>
            <w:pPr>
              <w:spacing w:after="40"/>
            </w:pPr>
            <w:r/>
            <w:r>
              <w:rPr>
                <w:rFonts w:ascii="Inter" w:hAnsi="Inter" w:cs="Inter"/>
                <w:b w:val="0"/>
                <w:i w:val="0"/>
                <w:color w:val="1C1E2E"/>
                <w:sz w:val="19"/>
              </w:rPr>
              <w:t>Academic Excellence Scholarship credential (ULA, undergraduate)</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DOC-13</w:t>
            </w:r>
          </w:p>
        </w:tc>
        <w:tc>
          <w:tcPr>
            <w:tcW w:type="dxa" w:w="2412"/>
          </w:tcPr>
          <w:p>
            <w:pPr>
              <w:spacing w:after="40"/>
            </w:pPr>
            <w:r/>
            <w:r>
              <w:rPr>
                <w:rFonts w:ascii="Inter" w:hAnsi="Inter" w:cs="Inter"/>
                <w:b w:val="0"/>
                <w:i w:val="0"/>
                <w:color w:val="1C1E2E"/>
                <w:sz w:val="19"/>
              </w:rPr>
              <w:t>Ministry scholarship award resolution (UPV master's)</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DOC-14</w:t>
            </w:r>
          </w:p>
        </w:tc>
        <w:tc>
          <w:tcPr>
            <w:tcW w:type="dxa" w:w="2412"/>
          </w:tcPr>
          <w:p>
            <w:pPr>
              <w:spacing w:after="40"/>
            </w:pPr>
            <w:r/>
            <w:r>
              <w:rPr>
                <w:rFonts w:ascii="Inter" w:hAnsi="Inter" w:cs="Inter"/>
                <w:b w:val="0"/>
                <w:i w:val="0"/>
                <w:color w:val="1C1E2E"/>
                <w:sz w:val="19"/>
              </w:rPr>
              <w:t>Sotelo-Casas et al. (2019) — cover + acknowledgements page (p. 8)</w:t>
            </w:r>
          </w:p>
        </w:tc>
        <w:tc>
          <w:tcPr>
            <w:tcW w:type="dxa" w:w="2412"/>
          </w:tcPr>
          <w:p>
            <w:pPr>
              <w:spacing w:after="40"/>
            </w:pPr>
            <w:r/>
            <w:r>
              <w:rPr>
                <w:rFonts w:ascii="Inter" w:hAnsi="Inter" w:cs="Inter"/>
                <w:b w:val="0"/>
                <w:i w:val="0"/>
                <w:color w:val="1C1E2E"/>
                <w:sz w:val="19"/>
              </w:rPr>
              <w:t>B.6 · §5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DOC-15</w:t>
            </w:r>
          </w:p>
        </w:tc>
        <w:tc>
          <w:tcPr>
            <w:tcW w:type="dxa" w:w="2412"/>
          </w:tcPr>
          <w:p>
            <w:pPr>
              <w:spacing w:after="40"/>
            </w:pPr>
            <w:r/>
            <w:r>
              <w:rPr>
                <w:rFonts w:ascii="Inter" w:hAnsi="Inter" w:cs="Inter"/>
                <w:b w:val="0"/>
                <w:i w:val="0"/>
                <w:color w:val="1C1E2E"/>
                <w:sz w:val="19"/>
              </w:rPr>
              <w:t xml:space="preserve">Evidence of the 10/10 grade for </w:t>
            </w:r>
            <w:r>
              <w:rPr>
                <w:rFonts w:ascii="Inter" w:hAnsi="Inter" w:cs="Inter"/>
                <w:b w:val="0"/>
                <w:i/>
                <w:color w:val="1C1E2E"/>
                <w:sz w:val="19"/>
              </w:rPr>
              <w:t>Academic Writing Journey</w:t>
            </w:r>
            <w:r>
              <w:rPr>
                <w:rFonts w:ascii="Inter" w:hAnsi="Inter" w:cs="Inter"/>
                <w:b w:val="0"/>
                <w:i w:val="0"/>
                <w:color w:val="1C1E2E"/>
                <w:sz w:val="19"/>
              </w:rPr>
              <w:t xml:space="preserve"> (UPV)</w:t>
            </w:r>
          </w:p>
        </w:tc>
        <w:tc>
          <w:tcPr>
            <w:tcW w:type="dxa" w:w="2412"/>
          </w:tcPr>
          <w:p>
            <w:pPr>
              <w:spacing w:after="40"/>
            </w:pPr>
            <w:r/>
            <w:r>
              <w:rPr>
                <w:rFonts w:ascii="Inter" w:hAnsi="Inter" w:cs="Inter"/>
                <w:b w:val="0"/>
                <w:i w:val="0"/>
                <w:color w:val="1C1E2E"/>
                <w:sz w:val="19"/>
              </w:rPr>
              <w:t>A.1 · 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DOC-16</w:t>
            </w:r>
          </w:p>
        </w:tc>
        <w:tc>
          <w:tcPr>
            <w:tcW w:type="dxa" w:w="2412"/>
          </w:tcPr>
          <w:p>
            <w:pPr>
              <w:spacing w:after="40"/>
            </w:pPr>
            <w:r/>
            <w:r>
              <w:rPr>
                <w:rFonts w:ascii="Inter" w:hAnsi="Inter" w:cs="Inter"/>
                <w:b w:val="0"/>
                <w:i w:val="0"/>
                <w:color w:val="1C1E2E"/>
                <w:sz w:val="19"/>
              </w:rPr>
              <w:t xml:space="preserve">UDO Núcleo Nueva Esparta teaching service certificates (2005–2015), </w:t>
            </w:r>
            <w:r>
              <w:rPr>
                <w:rFonts w:ascii="Inter" w:hAnsi="Inter" w:cs="Inter"/>
                <w:b/>
                <w:i w:val="0"/>
                <w:color w:val="1C1E2E"/>
                <w:sz w:val="19"/>
              </w:rPr>
              <w:t>1,568 accredited hours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DOC-17</w:t>
            </w:r>
          </w:p>
        </w:tc>
        <w:tc>
          <w:tcPr>
            <w:tcW w:type="dxa" w:w="2412"/>
          </w:tcPr>
          <w:p>
            <w:pPr>
              <w:spacing w:after="40"/>
            </w:pPr>
            <w:r/>
            <w:r>
              <w:rPr>
                <w:rFonts w:ascii="Inter" w:hAnsi="Inter" w:cs="Inter"/>
                <w:b w:val="0"/>
                <w:i w:val="0"/>
                <w:color w:val="1C1E2E"/>
                <w:sz w:val="19"/>
              </w:rPr>
              <w:t>Spanish employment history / professional activity certificate</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DOC-18</w:t>
            </w:r>
          </w:p>
        </w:tc>
        <w:tc>
          <w:tcPr>
            <w:tcW w:type="dxa" w:w="2412"/>
          </w:tcPr>
          <w:p>
            <w:pPr>
              <w:spacing w:after="40"/>
            </w:pPr>
            <w:r/>
            <w:r>
              <w:rPr>
                <w:rFonts w:ascii="Inter" w:hAnsi="Inter" w:cs="Inter"/>
                <w:b w:val="0"/>
                <w:i w:val="0"/>
                <w:color w:val="1C1E2E"/>
                <w:sz w:val="19"/>
              </w:rPr>
              <w:t>AVE Global tutoring accreditation — Instituto Cervantes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DOC-19</w:t>
            </w:r>
          </w:p>
        </w:tc>
        <w:tc>
          <w:tcPr>
            <w:tcW w:type="dxa" w:w="2412"/>
          </w:tcPr>
          <w:p>
            <w:pPr>
              <w:spacing w:after="40"/>
            </w:pPr>
            <w:r/>
            <w:r>
              <w:rPr>
                <w:rFonts w:ascii="Inter" w:hAnsi="Inter" w:cs="Inter"/>
                <w:b/>
                <w:i w:val="0"/>
                <w:color w:val="1C1E2E"/>
                <w:sz w:val="19"/>
              </w:rPr>
              <w:t>Kaleidoscopio 2(3), 51–56 (2005)</w:t>
            </w:r>
            <w:r>
              <w:rPr>
                <w:rFonts w:ascii="Inter" w:hAnsi="Inter" w:cs="Inter"/>
                <w:b w:val="0"/>
                <w:i w:val="0"/>
                <w:color w:val="1C1E2E"/>
                <w:sz w:val="19"/>
              </w:rPr>
              <w:t xml:space="preserve"> — first and last page + peer-review acceptance letter (UNEG, 09-03-2005)</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DOC-20</w:t>
            </w:r>
          </w:p>
        </w:tc>
        <w:tc>
          <w:tcPr>
            <w:tcW w:type="dxa" w:w="2412"/>
          </w:tcPr>
          <w:p>
            <w:pPr>
              <w:spacing w:after="40"/>
            </w:pPr>
            <w:r/>
            <w:r>
              <w:rPr>
                <w:rFonts w:ascii="Inter" w:hAnsi="Inter" w:cs="Inter"/>
                <w:b w:val="0"/>
                <w:i w:val="0"/>
                <w:color w:val="1C1E2E"/>
                <w:sz w:val="19"/>
              </w:rPr>
              <w:t>UC Irvine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DOC-21</w:t>
            </w:r>
          </w:p>
        </w:tc>
        <w:tc>
          <w:tcPr>
            <w:tcW w:type="dxa" w:w="2412"/>
          </w:tcPr>
          <w:p>
            <w:pPr>
              <w:spacing w:after="40"/>
            </w:pPr>
            <w:r/>
            <w:r>
              <w:rPr>
                <w:rFonts w:ascii="Inter" w:hAnsi="Inter" w:cs="Inter"/>
                <w:b w:val="0"/>
                <w:i w:val="0"/>
                <w:color w:val="1C1E2E"/>
                <w:sz w:val="19"/>
              </w:rPr>
              <w:t>University of Cambridge (PCE)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DOC-22</w:t>
            </w:r>
          </w:p>
        </w:tc>
        <w:tc>
          <w:tcPr>
            <w:tcW w:type="dxa" w:w="2412"/>
          </w:tcPr>
          <w:p>
            <w:pPr>
              <w:spacing w:after="40"/>
            </w:pPr>
            <w:r/>
            <w:r>
              <w:rPr>
                <w:rFonts w:ascii="Inter" w:hAnsi="Inter" w:cs="Inter"/>
                <w:b w:val="0"/>
                <w:i w:val="0"/>
                <w:color w:val="1C1E2E"/>
                <w:sz w:val="19"/>
              </w:rPr>
              <w:t>AP Stylebook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DOC-23</w:t>
            </w:r>
          </w:p>
        </w:tc>
        <w:tc>
          <w:tcPr>
            <w:tcW w:type="dxa" w:w="2412"/>
          </w:tcPr>
          <w:p>
            <w:pPr>
              <w:spacing w:after="40"/>
            </w:pPr>
            <w:r/>
            <w:r>
              <w:rPr>
                <w:rFonts w:ascii="Inter" w:hAnsi="Inter" w:cs="Inter"/>
                <w:b w:val="0"/>
                <w:i w:val="0"/>
                <w:color w:val="1C1E2E"/>
                <w:sz w:val="19"/>
              </w:rPr>
              <w:t>SEPE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DOC-24</w:t>
            </w:r>
          </w:p>
        </w:tc>
        <w:tc>
          <w:tcPr>
            <w:tcW w:type="dxa" w:w="2412"/>
          </w:tcPr>
          <w:p>
            <w:pPr>
              <w:spacing w:after="40"/>
            </w:pPr>
            <w:r/>
            <w:r>
              <w:rPr>
                <w:rFonts w:ascii="Inter" w:hAnsi="Inter" w:cs="Inter"/>
                <w:b/>
                <w:i w:val="0"/>
                <w:color w:val="1C1E2E"/>
                <w:sz w:val="19"/>
              </w:rPr>
              <w:t>2nd International Conference on Higher Education</w:t>
            </w:r>
            <w:r>
              <w:rPr>
                <w:rFonts w:ascii="Inter" w:hAnsi="Inter" w:cs="Inter"/>
                <w:b w:val="0"/>
                <w:i w:val="0"/>
                <w:color w:val="1C1E2E"/>
                <w:sz w:val="19"/>
              </w:rPr>
              <w:t xml:space="preserve"> (Cumaná, 2008) — paper acceptance letter, ref. CIES/P 048</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bl>
    <w:p/>
    <w:p>
      <w:pPr>
        <w:pBdr>
          <w:bottom w:val="single" w:sz="6" w:space="1" w:color="E6E8F2"/>
        </w:pBdr>
      </w:pPr>
    </w:p>
    <w:p>
      <w:pPr>
        <w:spacing w:before="320" w:after="120"/>
      </w:pPr>
      <w:r>
        <w:rPr>
          <w:rFonts w:ascii="Fraunces" w:hAnsi="Fraunces" w:cs="Fraunces"/>
          <w:b/>
          <w:i w:val="0"/>
          <w:color w:val="22307C"/>
          <w:sz w:val="32"/>
        </w:rPr>
        <w:t>Pre-submission checklist</w:t>
      </w:r>
    </w:p>
    <w:p>
      <w:r>
        <w:rPr>
          <w:rFonts w:ascii="Inter" w:hAnsi="Inter" w:cs="Inter"/>
          <w:b/>
          <w:i w:val="0"/>
          <w:color w:val="1C1E2E"/>
          <w:sz w:val="22"/>
        </w:rPr>
        <w:t>Resolved by the documentation already supplied:</w:t>
      </w:r>
    </w:p>
    <w:p>
      <w:pPr>
        <w:pStyle w:val="ListBullet"/>
        <w:spacing w:after="60"/>
        <w:ind w:left="403"/>
      </w:pPr>
      <w:r>
        <w:rPr>
          <w:rFonts w:ascii="Inter" w:hAnsi="Inter" w:cs="Inter"/>
          <w:b w:val="0"/>
          <w:i w:val="0"/>
          <w:color w:val="1C1E2E"/>
          <w:sz w:val="22"/>
        </w:rPr>
        <w:t xml:space="preserve">☑ Undergraduate GPA on the 0–10 Spanish scale → </w:t>
      </w:r>
      <w:r>
        <w:rPr>
          <w:rFonts w:ascii="Inter" w:hAnsi="Inter" w:cs="Inter"/>
          <w:b/>
          <w:i w:val="0"/>
          <w:color w:val="1C1E2E"/>
          <w:sz w:val="22"/>
        </w:rPr>
        <w:t>9.07</w:t>
      </w:r>
      <w:r>
        <w:rPr>
          <w:rFonts w:ascii="Inter" w:hAnsi="Inter" w:cs="Inter"/>
          <w:b w:val="0"/>
          <w:i w:val="0"/>
          <w:color w:val="1C1E2E"/>
          <w:sz w:val="22"/>
        </w:rPr>
        <w:t>, certified by the Spanish administration (DOC-05).</w:t>
      </w:r>
    </w:p>
    <w:p>
      <w:pPr>
        <w:pStyle w:val="ListBullet"/>
        <w:spacing w:after="60"/>
        <w:ind w:left="403"/>
      </w:pPr>
      <w:r>
        <w:rPr>
          <w:rFonts w:ascii="Inter" w:hAnsi="Inter" w:cs="Inter"/>
          <w:b w:val="0"/>
          <w:i w:val="0"/>
          <w:color w:val="1C1E2E"/>
          <w:sz w:val="22"/>
        </w:rPr>
        <w:t xml:space="preserve">☑ Extraordinary undergraduate award → </w:t>
      </w:r>
      <w:r>
        <w:rPr>
          <w:rFonts w:ascii="Inter" w:hAnsi="Inter" w:cs="Inter"/>
          <w:b/>
          <w:i w:val="0"/>
          <w:color w:val="1C1E2E"/>
          <w:sz w:val="22"/>
        </w:rPr>
        <w:t>1st of 56</w:t>
      </w:r>
      <w:r>
        <w:rPr>
          <w:rFonts w:ascii="Inter" w:hAnsi="Inter" w:cs="Inter"/>
          <w:b w:val="0"/>
          <w:i w:val="0"/>
          <w:color w:val="1C1E2E"/>
          <w:sz w:val="22"/>
        </w:rPr>
        <w:t>, apostilled certificate (DOC-06).</w:t>
      </w:r>
    </w:p>
    <w:p>
      <w:pPr>
        <w:pStyle w:val="ListBullet"/>
        <w:spacing w:after="60"/>
        <w:ind w:left="403"/>
      </w:pPr>
      <w:r>
        <w:rPr>
          <w:rFonts w:ascii="Inter" w:hAnsi="Inter" w:cs="Inter"/>
          <w:b w:val="0"/>
          <w:i w:val="0"/>
          <w:color w:val="1C1E2E"/>
          <w:sz w:val="22"/>
        </w:rPr>
        <w:t>☑ Status of the Extraordinary Master's Award → not applicable; the 2 Matrículas de Honor are declared instead.</w:t>
      </w:r>
    </w:p>
    <w:p>
      <w:pPr>
        <w:pStyle w:val="ListBullet"/>
        <w:spacing w:after="60"/>
        <w:ind w:left="403"/>
      </w:pPr>
      <w:r>
        <w:rPr>
          <w:rFonts w:ascii="Inter" w:hAnsi="Inter" w:cs="Inter"/>
          <w:b w:val="0"/>
          <w:i w:val="0"/>
          <w:color w:val="1C1E2E"/>
          <w:sz w:val="22"/>
        </w:rPr>
        <w:t xml:space="preserve">☑ Full publication details → </w:t>
      </w:r>
      <w:r>
        <w:rPr>
          <w:rFonts w:ascii="Inter" w:hAnsi="Inter" w:cs="Inter"/>
          <w:b w:val="0"/>
          <w:i/>
          <w:color w:val="1C1E2E"/>
          <w:sz w:val="22"/>
        </w:rPr>
        <w:t>Kaleidoscopio</w:t>
      </w:r>
      <w:r>
        <w:rPr>
          <w:rFonts w:ascii="Inter" w:hAnsi="Inter" w:cs="Inter"/>
          <w:b w:val="0"/>
          <w:i w:val="0"/>
          <w:color w:val="1C1E2E"/>
          <w:sz w:val="22"/>
        </w:rPr>
        <w:t xml:space="preserve"> 2(3), 51–56, 2005, with the peer-review letter and the international conference paper (DOC-19, DOC-24).</w:t>
      </w:r>
    </w:p>
    <w:p>
      <w:r>
        <w:rPr>
          <w:rFonts w:ascii="Inter" w:hAnsi="Inter" w:cs="Inter"/>
          <w:b/>
          <w:i w:val="0"/>
          <w:color w:val="1C1E2E"/>
          <w:sz w:val="22"/>
        </w:rPr>
        <w:t>Outstanding:</w:t>
      </w:r>
    </w:p>
    <w:p>
      <w:pPr>
        <w:pStyle w:val="ListBullet"/>
        <w:spacing w:after="60"/>
        <w:ind w:left="403"/>
      </w:pPr>
      <w:r>
        <w:rPr>
          <w:rFonts w:ascii="Inter" w:hAnsi="Inter" w:cs="Inter"/>
          <w:b w:val="0"/>
          <w:i w:val="0"/>
          <w:color w:val="1C1E2E"/>
          <w:sz w:val="22"/>
        </w:rPr>
        <w:t xml:space="preserve">☐ 🔴 </w:t>
      </w:r>
      <w:r>
        <w:rPr>
          <w:rFonts w:ascii="Inter" w:hAnsi="Inter" w:cs="Inter"/>
          <w:b/>
          <w:i w:val="0"/>
          <w:color w:val="1C1E2E"/>
          <w:sz w:val="22"/>
        </w:rPr>
        <w:t>Level verification of the foreign degree</w:t>
      </w:r>
      <w:r>
        <w:rPr>
          <w:rFonts w:ascii="Inter" w:hAnsi="Inter" w:cs="Inter"/>
          <w:b w:val="0"/>
          <w:i w:val="0"/>
          <w:color w:val="1C1E2E"/>
          <w:sz w:val="22"/>
        </w:rPr>
        <w:t xml:space="preserve"> with UPV's Doctoral School (Art. 6, RD 99/2011). This is an </w:t>
      </w:r>
      <w:r>
        <w:rPr>
          <w:rFonts w:ascii="Inter" w:hAnsi="Inter" w:cs="Inter"/>
          <w:b w:val="0"/>
          <w:i/>
          <w:color w:val="1C1E2E"/>
          <w:sz w:val="22"/>
        </w:rPr>
        <w:t>admissibility</w:t>
      </w:r>
      <w:r>
        <w:rPr>
          <w:rFonts w:ascii="Inter" w:hAnsi="Inter" w:cs="Inter"/>
          <w:b w:val="0"/>
          <w:i w:val="0"/>
          <w:color w:val="1C1E2E"/>
          <w:sz w:val="22"/>
        </w:rPr>
        <w:t xml:space="preserve"> requirement, not a scoring one, and it is what can block the application however high the score comes out. </w:t>
      </w:r>
      <w:r>
        <w:rPr>
          <w:rFonts w:ascii="Inter" w:hAnsi="Inter" w:cs="Inter"/>
          <w:b/>
          <w:i w:val="0"/>
          <w:color w:val="1C1E2E"/>
          <w:sz w:val="22"/>
        </w:rPr>
        <w:t>Start it now.</w:t>
      </w:r>
    </w:p>
    <w:p>
      <w:pPr>
        <w:pStyle w:val="ListBullet"/>
        <w:spacing w:after="60"/>
        <w:ind w:left="403"/>
      </w:pPr>
      <w:r>
        <w:rPr>
          <w:rFonts w:ascii="Inter" w:hAnsi="Inter" w:cs="Inter"/>
          <w:b w:val="0"/>
          <w:i w:val="0"/>
          <w:color w:val="1C1E2E"/>
          <w:sz w:val="22"/>
        </w:rPr>
        <w:t xml:space="preserve">☐ Ask the committee whether </w:t>
      </w:r>
      <w:r>
        <w:rPr>
          <w:rFonts w:ascii="Inter" w:hAnsi="Inter" w:cs="Inter"/>
          <w:b/>
          <w:i w:val="0"/>
          <w:color w:val="1C1E2E"/>
          <w:sz w:val="22"/>
        </w:rPr>
        <w:t>English counts</w:t>
      </w:r>
      <w:r>
        <w:rPr>
          <w:rFonts w:ascii="Inter" w:hAnsi="Inter" w:cs="Inter"/>
          <w:b w:val="0"/>
          <w:i w:val="0"/>
          <w:color w:val="1C1E2E"/>
          <w:sz w:val="22"/>
        </w:rPr>
        <w:t xml:space="preserve"> in the languages item → §B.4.</w:t>
      </w:r>
    </w:p>
    <w:p>
      <w:pPr>
        <w:pStyle w:val="ListBullet"/>
        <w:spacing w:after="60"/>
        <w:ind w:left="403"/>
      </w:pPr>
      <w:r>
        <w:rPr>
          <w:rFonts w:ascii="Inter" w:hAnsi="Inter" w:cs="Inter"/>
          <w:b w:val="0"/>
          <w:i w:val="0"/>
          <w:color w:val="1C1E2E"/>
          <w:sz w:val="22"/>
        </w:rPr>
        <w:t xml:space="preserve">☐ Complete the </w:t>
      </w:r>
      <w:r>
        <w:rPr>
          <w:rFonts w:ascii="Inter" w:hAnsi="Inter" w:cs="Inter"/>
          <w:b/>
          <w:i w:val="0"/>
          <w:color w:val="1C1E2E"/>
          <w:sz w:val="22"/>
        </w:rPr>
        <w:t>academic year</w:t>
      </w:r>
      <w:r>
        <w:rPr>
          <w:rFonts w:ascii="Inter" w:hAnsi="Inter" w:cs="Inter"/>
          <w:b w:val="0"/>
          <w:i w:val="0"/>
          <w:color w:val="1C1E2E"/>
          <w:sz w:val="22"/>
        </w:rPr>
        <w:t xml:space="preserve"> and </w:t>
      </w:r>
      <w:r>
        <w:rPr>
          <w:rFonts w:ascii="Inter" w:hAnsi="Inter" w:cs="Inter"/>
          <w:b/>
          <w:i w:val="0"/>
          <w:color w:val="1C1E2E"/>
          <w:sz w:val="22"/>
        </w:rPr>
        <w:t>official name</w:t>
      </w:r>
      <w:r>
        <w:rPr>
          <w:rFonts w:ascii="Inter" w:hAnsi="Inter" w:cs="Inter"/>
          <w:b w:val="0"/>
          <w:i w:val="0"/>
          <w:color w:val="1C1E2E"/>
          <w:sz w:val="22"/>
        </w:rPr>
        <w:t xml:space="preserve"> of both scholarships and locate their award letters → §B.5.</w:t>
      </w:r>
    </w:p>
    <w:p>
      <w:pPr>
        <w:pStyle w:val="ListBullet"/>
        <w:spacing w:after="60"/>
        <w:ind w:left="403"/>
      </w:pPr>
      <w:r>
        <w:rPr>
          <w:rFonts w:ascii="Inter" w:hAnsi="Inter" w:cs="Inter"/>
          <w:b w:val="0"/>
          <w:i w:val="0"/>
          <w:color w:val="1C1E2E"/>
          <w:sz w:val="22"/>
        </w:rPr>
        <w:t>☐ Gather the remaining certificates (DOC-01 to DOC-04, DOC-09 to DOC-18, DOC-20 to DOC-23).</w:t>
      </w:r>
    </w:p>
    <w:p>
      <w:pPr>
        <w:pStyle w:val="ListBullet"/>
        <w:spacing w:after="60"/>
        <w:ind w:left="403"/>
      </w:pPr>
      <w:r>
        <w:rPr>
          <w:rFonts w:ascii="Inter" w:hAnsi="Inter" w:cs="Inter"/>
          <w:b w:val="0"/>
          <w:i w:val="0"/>
          <w:color w:val="1C1E2E"/>
          <w:sz w:val="22"/>
        </w:rPr>
        <w:t xml:space="preserve">☐ Scan everything into a </w:t>
      </w:r>
      <w:r>
        <w:rPr>
          <w:rFonts w:ascii="Inter" w:hAnsi="Inter" w:cs="Inter"/>
          <w:b/>
          <w:i w:val="0"/>
          <w:color w:val="1C1E2E"/>
          <w:sz w:val="22"/>
        </w:rPr>
        <w:t>single PDF</w:t>
      </w:r>
      <w:r>
        <w:rPr>
          <w:rFonts w:ascii="Inter" w:hAnsi="Inter" w:cs="Inter"/>
          <w:b w:val="0"/>
          <w:i w:val="0"/>
          <w:color w:val="1C1E2E"/>
          <w:sz w:val="22"/>
        </w:rPr>
        <w:t>, in the Annex §8 order, with a cover index.</w:t>
      </w:r>
    </w:p>
    <w:p>
      <w:pPr>
        <w:pStyle w:val="ListBullet"/>
        <w:spacing w:after="60"/>
        <w:ind w:left="403"/>
      </w:pPr>
      <w:r>
        <w:rPr>
          <w:rFonts w:ascii="Inter" w:hAnsi="Inter" w:cs="Inter"/>
          <w:b w:val="0"/>
          <w:i w:val="0"/>
          <w:color w:val="1C1E2E"/>
          <w:sz w:val="22"/>
        </w:rPr>
        <w:t xml:space="preserve">☐ Attach the </w:t>
      </w:r>
      <w:r>
        <w:rPr>
          <w:rFonts w:ascii="Inter" w:hAnsi="Inter" w:cs="Inter"/>
          <w:b/>
          <w:i w:val="0"/>
          <w:color w:val="1C1E2E"/>
          <w:sz w:val="22"/>
        </w:rPr>
        <w:t>MLLDE thesis proposal</w:t>
      </w:r>
      <w:r>
        <w:rPr>
          <w:rFonts w:ascii="Inter" w:hAnsi="Inter" w:cs="Inter"/>
          <w:b w:val="0"/>
          <w:i w:val="0"/>
          <w:color w:val="1C1E2E"/>
          <w:sz w:val="22"/>
        </w:rPr>
        <w:t xml:space="preserve"> (separate document, </w:t>
      </w:r>
      <w:r>
        <w:rPr>
          <w:rFonts w:ascii="Consolas" w:hAnsi="Consolas" w:cs="Consolas"/>
          <w:b w:val="0"/>
          <w:i w:val="0"/>
          <w:color w:val="5B5F77"/>
          <w:sz w:val="21"/>
        </w:rPr>
        <w:t>01-propuesta/</w:t>
      </w:r>
      <w:r>
        <w:rPr>
          <w:rFonts w:ascii="Inter" w:hAnsi="Inter" w:cs="Inter"/>
          <w:b w:val="0"/>
          <w:i w:val="0"/>
          <w:color w:val="1C1E2E"/>
          <w:sz w:val="22"/>
        </w:rPr>
        <w:t>).</w:t>
      </w:r>
    </w:p>
    <w:p>
      <w:pPr>
        <w:pBdr>
          <w:bottom w:val="single" w:sz="6" w:space="1" w:color="E6E8F2"/>
        </w:pBdr>
      </w:pPr>
    </w:p>
    <w:p>
      <w:r>
        <w:rPr>
          <w:rFonts w:ascii="Inter" w:hAnsi="Inter" w:cs="Inter"/>
          <w:b w:val="0"/>
          <w:i/>
          <w:color w:val="1C1E2E"/>
          <w:sz w:val="22"/>
        </w:rPr>
        <w:t>© 2026 Ana Eslava-Graterol (ProfeAnaEslavaEdTech). Brand &amp; website: profeanaeslava · GitHub: profeanaeslavaedtech · Universitat Politècnica de València. Prepared with AI assistance (Claude Code, Anthropic) under human supervision and verification; all data comes from the author's verified professional profile.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