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Lingüística Aplicada —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Mobile Language Learning Design Environment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ULA con nota media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 with GPA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Credencial de la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Beca de Excelencia Académica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(ULA, grado)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 concesión de la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beca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(máster, UPV)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Certificados de servicio docente — UDO Núcleo Nueva Esparta (2005–2015),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 acreditadas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CLASE–UNAM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70 %; no hay que estimarlo.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🔴 </w:t>
      </w:r>
      <w:r>
        <w:rPr>
          <w:rFonts w:ascii="Inter" w:hAnsi="Inter" w:cs="Inter"/>
          <w:b/>
          <w:i w:val="0"/>
          <w:color w:val="1C1E2E"/>
          <w:sz w:val="22"/>
        </w:rPr>
        <w:t>Comprobación de nivel del título extranjero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ante la Escuela de Doctorado de la UPV (art. 6 RD 99/2011). La declaración de equivalencia dice «Título homologado/equivalente: NO»: acredita la nota media, no el nivel del título. Es requisito de </w:t>
      </w:r>
      <w:r>
        <w:rPr>
          <w:rFonts w:ascii="Inter" w:hAnsi="Inter" w:cs="Inter"/>
          <w:b/>
          <w:i w:val="0"/>
          <w:color w:val="1C1E2E"/>
          <w:sz w:val="22"/>
        </w:rPr>
        <w:t>admisibilidad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tarda — iniciarlo antes que nada.</w:t>
      </w:r>
    </w:p>
    <w:p>
      <w:r>
        <w:rPr>
          <w:rFonts w:ascii="Inter" w:hAnsi="Inter" w:cs="Inter"/>
          <w:b w:val="0"/>
          <w:i/>
          <w:color w:val="1C1E2E"/>
          <w:sz w:val="22"/>
        </w:rPr>
        <w:t>Level verification of the foreign degree with UPV's Doctoral School — an admissibility requirement, not a scoring one. Start it first.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Resoluciones de las dos becas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(excelencia académica ULA y beca del Ministerio) con su curso académico y denominación oficial.</w:t>
      </w:r>
    </w:p>
    <w:p>
      <w:r>
        <w:rPr>
          <w:rFonts w:ascii="Inter" w:hAnsi="Inter" w:cs="Inter"/>
          <w:b w:val="0"/>
          <w:i/>
          <w:color w:val="1C1E2E"/>
          <w:sz w:val="22"/>
        </w:rPr>
        <w:t>Award letters for both scholarships, with academic year and official name.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