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2307C"/>
          <w:sz w:val="40"/>
        </w:rPr>
        <w:t>Plan de Investigación</w:t>
      </w:r>
    </w:p>
    <w:p>
      <w:pPr>
        <w:spacing w:after="120"/>
      </w:pPr>
      <w:r>
        <w:rPr>
          <w:b/>
        </w:rPr>
        <w:t>Programa de Doctorado:</w:t>
      </w:r>
      <w:r>
        <w:t xml:space="preserve"> Lenguas, Literaturas y Culturas, y sus Aplicaciones</w:t>
      </w:r>
    </w:p>
    <w:p>
      <w:pPr>
        <w:spacing w:after="120"/>
      </w:pPr>
      <w:r>
        <w:rPr>
          <w:b/>
        </w:rPr>
        <w:t>Departamento:</w:t>
      </w:r>
      <w:r>
        <w:t xml:space="preserve"> Departamento de Lingüística Aplicada — Universitat Politècnica de València (UPV)</w:t>
      </w:r>
    </w:p>
    <w:p>
      <w:pPr>
        <w:spacing w:after="120"/>
      </w:pPr>
      <w:r>
        <w:rPr>
          <w:b/>
        </w:rPr>
        <w:t>Doctoranda:</w:t>
      </w:r>
      <w:r>
        <w:t xml:space="preserve"> Ana Eslava-Graterol</w:t>
      </w:r>
    </w:p>
    <w:p>
      <w:pPr>
        <w:spacing w:after="120"/>
      </w:pPr>
      <w:r>
        <w:rPr>
          <w:b/>
        </w:rPr>
        <w:t>Directora:</w:t>
      </w:r>
      <w:r>
        <w:t xml:space="preserve"> Prof.ª Mª Luisa Carrió-Pastor (Dept. de Lingüística Aplicada, UPV)</w:t>
      </w:r>
    </w:p>
    <w:p>
      <w:pPr>
        <w:spacing w:after="120"/>
      </w:pPr>
      <w:r>
        <w:rPr>
          <w:b/>
        </w:rPr>
        <w:t>Codirector:</w:t>
      </w:r>
      <w:r>
        <w:t xml:space="preserve"> Prof. Ricardo Casañ-Pitarch (Dept. de Lingüística Aplicada, UPV)</w:t>
      </w:r>
    </w:p>
    <w:p>
      <w:pPr>
        <w:spacing w:after="120"/>
      </w:pPr>
      <w:r>
        <w:rPr>
          <w:b/>
        </w:rPr>
        <w:t>Fecha:</w:t>
      </w:r>
      <w:r>
        <w:t xml:space="preserve"> 08/08/2026 · </w:t>
      </w:r>
      <w:r>
        <w:rPr>
          <w:b/>
        </w:rPr>
        <w:t>Modalidad/duración:</w:t>
      </w:r>
      <w:r>
        <w:t xml:space="preserve"> [tiempo completo 3 años / parcial 5 años — a confirmar]</w:t>
      </w:r>
    </w:p>
    <w:p>
      <w:pPr>
        <w:spacing w:after="120"/>
      </w:pPr>
      <w:r>
        <w:rPr>
          <w:i/>
        </w:rPr>
        <w:t>Guía de lectura.</w:t>
      </w:r>
      <w:r>
        <w:t xml:space="preserve"> Este plan sigue la plantilla de nueve apartados de la UPV. Desarrolla un entorno — </w:t>
      </w:r>
      <w:r>
        <w:rPr>
          <w:b/>
        </w:rPr>
        <w:t>MLLDE (Mobile Language Learning Design Environment):</w:t>
      </w:r>
      <w:r>
        <w:t xml:space="preserve"> un entorno de diseño y medición para aplicaciones de aprendizaje de lenguas mobile-native — apps concebidas primero para el móvil (PWA con soporte sin conexión, lecciones breves, tutoría conversacional con IA), no e-learning de escritorio reducido a una pantalla. MLLDE plantea dos aportaciones: ① </w:t>
      </w:r>
      <w:r>
        <w:rPr>
          <w:b/>
        </w:rPr>
        <w:t>escritura / alfabetización en IA</w:t>
      </w:r>
      <w:r>
        <w:t xml:space="preserve"> (que extiende el Objetivo 4 del TFM de la doctoranda, instanciado en Academic Writing Journey) y ② </w:t>
      </w:r>
      <w:r>
        <w:rPr>
          <w:b/>
        </w:rPr>
        <w:t>habla / pronunciación</w:t>
      </w:r>
      <w:r>
        <w:t xml:space="preserve"> (Architecture Voice Design + un Measurement Module medible acústicamente y alineado al MCER en xAPI). Un prototipo gamificado mobile-native es la primera demo funcional de MLLDE. Los artefactos ya producidos se enlazan en el §3.3.</w:t>
      </w:r>
    </w:p>
    <w:p>
      <w:pPr>
        <w:spacing w:before="40" w:after="120"/>
        <w:pBdr>
          <w:bottom w:val="single" w:sz="6" w:space="1" w:color="D9DCEA"/>
        </w:pBdr>
      </w:pPr>
    </w:p>
    <w:p>
      <w:pPr>
        <w:pStyle w:val="Heading2"/>
      </w:pPr>
      <w:r>
        <w:rPr>
          <w:color w:val="22307C"/>
          <w:sz w:val="26"/>
        </w:rPr>
        <w:t>1. Título</w:t>
      </w:r>
    </w:p>
    <w:p>
      <w:pPr>
        <w:spacing w:after="120"/>
      </w:pPr>
      <w:r>
        <w:t>Enseñar lenguas en la era de los LLM — El Mobile Language Learning Design Environment (MLLDE): un marco ético de diseño y medición, con alfabetización en IA, para apps de lenguas mobile-native, que desarrolla la escritura y el habla.</w:t>
      </w:r>
    </w:p>
    <w:p>
      <w:pPr>
        <w:pStyle w:val="Heading2"/>
      </w:pPr>
      <w:r>
        <w:rPr>
          <w:color w:val="22307C"/>
          <w:sz w:val="26"/>
        </w:rPr>
        <w:t>2. Resumen</w:t>
      </w:r>
    </w:p>
    <w:p>
      <w:pPr>
        <w:spacing w:after="120"/>
      </w:pPr>
      <w:r>
        <w:t>Los grandes modelos de lenguaje (LLM) han cambiado la forma en que las personas escriben, hablan y aprenden lenguas, y el smartphone es hoy el principal medio del estudio informal de idiomas. Sin embargo, las apps de lenguas priorizan las rachas por encima de la capacidad de actuar en la lengua; el texto académico generado por LLM es estructuralmente fluido pero interpersonalmente plano (escasa toma de postura, implicación y automención), de modo que quien se apoya en él acríticamente corre el riesgo de un registro homogeneizado y sin voz; y la evaluación automática del habla, aunque técnicamente madura, produce evidencias que no pueden intercambiarse ni acumularse entre sistemas. El profesorado posee una pedagogía sólida, pero carece de una vía fundamentada, ética y medible para convertirla en aprendizaje motivador, pensado para el móvil, que además construya la alfabetización en IA del alumnado (una competencia para el estudio y el empleo; ODS 4.3–4.4).</w:t>
      </w:r>
    </w:p>
    <w:p>
      <w:pPr>
        <w:spacing w:after="120"/>
      </w:pPr>
      <w:r>
        <w:t xml:space="preserve">Esta tesis propone y valida empíricamente el </w:t>
      </w:r>
      <w:r>
        <w:rPr>
          <w:b/>
        </w:rPr>
        <w:t>Mobile Language Learning Design Environment (MLLDE):</w:t>
      </w:r>
      <w:r>
        <w:t xml:space="preserve"> un entorno de diseño y medición para aplicaciones de lenguas mobile-native, replicable y anclado en el MCER, que integra la tutoría conversacional responsable con LLM y el diseño curricular, y que trata la alfabetización en IA como un resultado de aprendizaje diseñado. MLLDE plantea dos aportaciones: ① </w:t>
      </w:r>
      <w:r>
        <w:rPr>
          <w:b/>
        </w:rPr>
        <w:t>escritura / alfabetización en IA</w:t>
      </w:r>
      <w:r>
        <w:t xml:space="preserve">, instanciada en Academic Writing Journey (AWJ) —la continuación directa del Objetivo 4 del estudio de corpus del TFM—, que enseña a conservar la agencia retórica frente a la firma estilística de los LLM; y ② </w:t>
      </w:r>
      <w:r>
        <w:rPr>
          <w:b/>
        </w:rPr>
        <w:t>habla / pronunciación</w:t>
      </w:r>
      <w:r>
        <w:t xml:space="preserve">, formada por Architecture Voice Design (una arquitectura anclada en el MCER que extiende el GPT personalizado, basado en lenguaje, </w:t>
      </w:r>
      <w:r>
        <w:rPr>
          <w:i/>
        </w:rPr>
        <w:t>PhD Chema</w:t>
      </w:r>
      <w:r>
        <w:t xml:space="preserve"> —cuya primera versión no evalúa la pronunciación— añadiendo la pronunciación como canal evaluado de primer orden mediante ASR/GOP) y un Measurement Module que formaliza la evidencia acústica de pronunciación como un perfil xAPI interoperable y alineado al MCER (IEEE 9274.1.1-2023), con telemetría dual que registra tanto el desempeño del aprendiz como el acto docente de la IA. El Measurement Module sigue un principio </w:t>
      </w:r>
      <w:r>
        <w:rPr>
          <w:b/>
        </w:rPr>
        <w:t>Measure ≠ Decide</w:t>
      </w:r>
      <w:r>
        <w:t xml:space="preserve"> —el modelo observa, un motor determinista asigna la banda MCER, de modo que nada en pantalla se inventa— y una </w:t>
      </w:r>
      <w:r>
        <w:rPr>
          <w:b/>
        </w:rPr>
        <w:t>política de honestidad de la evidencia en tres tiers</w:t>
      </w:r>
      <w:r>
        <w:t>: Tier 1, una rúbrica MCER sobre la transcripción ASR (ya en producción); Tier 2, puntuación de pronunciación instrumentada (de proveedor); y Tier 3, un modelo propio de Goodness-of-Pronunciation de nivel investigación (la contribución profunda de la tesis) — de modo que ningún informe reclama más precisión que la que el sistema tiene (una destreza no medida muestra «—», nunca un valor inventado). Un prototipo gamificado mobile-native (PWA sin conexión, WCAG-AA, con un mentor de IA que andamia sin dar respuestas) es la primera demo del entorno. Objetivo general: desarrollar, formalizar y validar MLLDE y sus principios de diseño. Metodología: Investigación Basada en Diseño (DBR), operacionalizada mediante el Successive Approximation Model, con evaluación de métodos mixtos del aprendizaje, las ganancias en alfabetización en IA y en pronunciación, el compromiso y la replicabilidad entre niveles del MCER y lenguas meta.</w:t>
      </w:r>
    </w:p>
    <w:p>
      <w:pPr>
        <w:pStyle w:val="Heading2"/>
      </w:pPr>
      <w:r>
        <w:rPr>
          <w:color w:val="22307C"/>
          <w:sz w:val="26"/>
        </w:rPr>
        <w:t>3. Antecedentes y estado actual</w:t>
      </w:r>
    </w:p>
    <w:p>
      <w:pPr>
        <w:spacing w:after="120"/>
      </w:pPr>
      <w:r>
        <w:rPr>
          <w:b/>
        </w:rPr>
        <w:t>3.1 El problema (tres necesidades convergentes).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Diseño mobile-native.</w:t>
      </w:r>
      <w:r>
        <w:t xml:space="preserve"> El smartphone es la vía principal del estudio informal, pero las apps dominantes privilegian el reconocimiento descontextualizado y las métricas de retención frente a la competencia comunicativa/pragmática; el aprendizaje móvil necesita su propia lógica de diseño y no un e-learning encogido (Clothier, 2026; Kukulska-Hulme y Shield, 2008; Stockwell, 2010; Godwin-Jones, 2011).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Escritura / alfabetización en IA.</w:t>
      </w:r>
      <w:r>
        <w:t xml:space="preserve"> El texto académico de los LLM sobreproduce el andamiaje textual (marcadores lógicos y de encuadre) e infrautiliza los recursos interaccionales (atenuadores, enfatizadores, marcadores de actitud, de compromiso, automención) y fabrica evidenciales (Jiang y Hyland, 2024, 2025a–c; Reinhart et al., 2025; Kobak et al., 2025; Walters y Wilder, 2023). Los detectores son frágiles y sesgados contra escritores no nativos (Liang et al., 2023; Erol et al., 2025); la respuesta responsable es pedagógica, no forense: las universidades que en su día construyeron la alfabetización académica deben ahora construir la alfabetización en IA (Almatrafi et al., 2024; Koltay, 2025; Kong et al., 2023; Cotton et al., 2023).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Habla / pronunciación.</w:t>
      </w:r>
      <w:r>
        <w:t xml:space="preserve"> Las tecnologías de habla con IA (ASR, alineamiento forzado, Goodness-of-Pronunciation; Witt y Young, 2000) pueden puntuar precisión fonémica, fluidez, prosodia e inteligibilidad, y el Volumen Complementario del MCER (Council of Europe, 2020) concibe la pronunciación como competencia fonológica; pero las métricas acústicas, los descriptores del MCER y los estándares de analítica del aprendizaje (xAPI) siguen desconectados, de modo que la evidencia de pronunciación no es interoperable entre tutores inteligentes, LMS y Learning Record Stores. Esta necesidad es impulsada por la industria, no solo teórica: el requisito de un modo de voz/pronunciación medible y basado en xAPI surgió de una solicitud real de un cliente en la práctica profesional de la doctoranda, anclando esta aportación en una demanda real y en la tradición de la DBR de contextos auténticos.</w:t>
      </w:r>
    </w:p>
    <w:p>
      <w:pPr>
        <w:spacing w:after="120"/>
      </w:pPr>
      <w:r>
        <w:rPr>
          <w:b/>
        </w:rPr>
        <w:t>3.2 Estado del arte (por líneas).</w:t>
      </w:r>
      <w:r>
        <w:t xml:space="preserve"> IA y alfabetización académica (Almatrafi et al., 2024; Koltay, 2025; Kong et al., 2023). Metadiscurso y contraste humano/LLM (Hyland, 2005; Hyland y Tse, 2004; Ädel, 2006; Jiang y Hyland, 2024–2025c). MALL y microaprendizaje (Kukulska-Hulme y Shield, 2008; Stockwell, 2010; Godwin-Jones, 2011; Clothier, 2026). Gamificación, CLIL, enfoque por tareas (Deterding et al., 2011; G-CLIL/IPO de Casañ-Pitarch; Coyle et al., 2010; Harmer, 2007; Johnson, 2002; Crawford, 2001). Cognición, léxico, pragmática (Mayer, 2009; Lewis, 1993; Kasper y Rose, 2001). Evaluación automática de la pronunciación (Witt y Young, 2000; Council of Europe, 2020). Analítica del aprendizaje e interoperabilidad (xAPI / IEEE 9274.1.1-2023; ADL, 2023). IA responsable y regulación (Reglamento de IA de la UE, art. 50; Ley Europea de Accesibilidad; RGPD; DUA/CAST).</w:t>
      </w:r>
    </w:p>
    <w:p>
      <w:pPr>
        <w:spacing w:after="120"/>
      </w:pPr>
      <w:r>
        <w:rPr>
          <w:b/>
        </w:rPr>
        <w:t>Vacío de síntesis.</w:t>
      </w:r>
      <w:r>
        <w:t xml:space="preserve"> Estas líneas rara vez se integran en un único método mobile-native construido para el aprendizaje de lenguas con alfabetización en IA, creable por el profesorado y medible mediante analítica interoperable, tanto para la escritura como para el habla. MLLDE cubre este vacío.</w:t>
      </w:r>
    </w:p>
    <w:p>
      <w:pPr>
        <w:spacing w:after="120"/>
      </w:pPr>
      <w:r>
        <w:rPr>
          <w:b/>
        </w:rPr>
        <w:t>3.3 Resultados previos del equipo y de la doctoranda.</w:t>
      </w:r>
      <w:r>
        <w:t xml:space="preserve"> El Departamento de Lingüística Aplicada de la UPV aporta la base científica directa: el trabajo de la Prof.ª Carrió-Pastor sobre metadiscurso y la herramienta de etiquetado METOOL (Carrió-Pastor, 2020), y el del Prof. Casañ-Pitarch sobre Gamified-CLIL, el modelo Input–Processing–Output (IPO) y los LLM en la enseñanza de lenguas. Sobre esta base, la doctoranda ya ha producido, y puesto en abierto, un linaje de integración funcional — Academic Writing Journey (primer modelo) → un prototipo mobile-native → MLLDE (el método generalizado):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Artefacto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Etapa en MLLDE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Enlace</w:t>
            </w:r>
          </w:p>
        </w:tc>
      </w:tr>
      <w:tr>
        <w:tc>
          <w:tcPr>
            <w:tcW w:type="dxa" w:w="3360"/>
          </w:tcPr>
          <w:p>
            <w:r>
              <w:t>TFM — metadiscurso en abstracts de TFM</w:t>
            </w:r>
          </w:p>
        </w:tc>
        <w:tc>
          <w:tcPr>
            <w:tcW w:type="dxa" w:w="3360"/>
          </w:tcPr>
          <w:p>
            <w:r>
              <w:t>Base empírica (aportación ①)</w:t>
            </w:r>
          </w:p>
        </w:tc>
        <w:tc>
          <w:tcPr>
            <w:tcW w:type="dxa" w:w="3360"/>
          </w:tcPr>
          <w:p>
            <w:r>
              <w:t>[RiuNet — pendiente]</w:t>
            </w:r>
          </w:p>
        </w:tc>
      </w:tr>
      <w:tr>
        <w:tc>
          <w:tcPr>
            <w:tcW w:type="dxa" w:w="3360"/>
          </w:tcPr>
          <w:p>
            <w:r>
              <w:t>Academic Writing Journey — diseño instruccional (Canva)</w:t>
            </w:r>
          </w:p>
        </w:tc>
        <w:tc>
          <w:tcPr>
            <w:tcW w:type="dxa" w:w="3360"/>
          </w:tcPr>
          <w:p>
            <w:r>
              <w:t>Diseño</w:t>
            </w:r>
          </w:p>
        </w:tc>
        <w:tc>
          <w:tcPr>
            <w:tcW w:type="dxa" w:w="3360"/>
          </w:tcPr>
          <w:p>
            <w:r>
              <w:t>https://profeanaeslava.my.canva.site/academicwritingjourney</w:t>
            </w:r>
          </w:p>
        </w:tc>
      </w:tr>
      <w:tr>
        <w:tc>
          <w:tcPr>
            <w:tcW w:type="dxa" w:w="3360"/>
          </w:tcPr>
          <w:p>
            <w:r>
              <w:t>Academic Writing Journey — curso gamificado en HTML</w:t>
            </w:r>
          </w:p>
        </w:tc>
        <w:tc>
          <w:tcPr>
            <w:tcW w:type="dxa" w:w="3360"/>
          </w:tcPr>
          <w:p>
            <w:r>
              <w:t>Primera implementación</w:t>
            </w:r>
          </w:p>
        </w:tc>
        <w:tc>
          <w:tcPr>
            <w:tcW w:type="dxa" w:w="3360"/>
          </w:tcPr>
          <w:p>
            <w:r>
              <w:t>https://profeanaeslavaedtech.github.io/Gamification/</w:t>
            </w:r>
          </w:p>
        </w:tc>
      </w:tr>
      <w:tr>
        <w:tc>
          <w:tcPr>
            <w:tcW w:type="dxa" w:w="3360"/>
          </w:tcPr>
          <w:p>
            <w:r>
              <w:t>The Abstract Heist — módulo escape-room</w:t>
            </w:r>
          </w:p>
        </w:tc>
        <w:tc>
          <w:tcPr>
            <w:tcW w:type="dxa" w:w="3360"/>
          </w:tcPr>
          <w:p>
            <w:r>
              <w:t>Evaluación gamificada</w:t>
            </w:r>
          </w:p>
        </w:tc>
        <w:tc>
          <w:tcPr>
            <w:tcW w:type="dxa" w:w="3360"/>
          </w:tcPr>
          <w:p>
            <w:r>
              <w:t>https://profeanaeslavaedtech.github.io/escaperoom/</w:t>
            </w:r>
          </w:p>
        </w:tc>
      </w:tr>
      <w:tr>
        <w:tc>
          <w:tcPr>
            <w:tcW w:type="dxa" w:w="3360"/>
          </w:tcPr>
          <w:p>
            <w:r>
              <w:t>Abstract Generator / prototipo alojado (UPV)</w:t>
            </w:r>
          </w:p>
        </w:tc>
        <w:tc>
          <w:tcPr>
            <w:tcW w:type="dxa" w:w="3360"/>
          </w:tcPr>
          <w:p>
            <w:r>
              <w:t>Herramienta de la fase Output</w:t>
            </w:r>
          </w:p>
        </w:tc>
        <w:tc>
          <w:tcPr>
            <w:tcW w:type="dxa" w:w="3360"/>
          </w:tcPr>
          <w:p>
            <w:r>
              <w:t>https://personales.alumno.upv.es/aeslgra/</w:t>
            </w:r>
          </w:p>
        </w:tc>
      </w:tr>
      <w:tr>
        <w:tc>
          <w:tcPr>
            <w:tcW w:type="dxa" w:w="3360"/>
          </w:tcPr>
          <w:p>
            <w:r>
              <w:t>Libro de datos interactivo del corpus (metadiscurso)</w:t>
            </w:r>
          </w:p>
        </w:tc>
        <w:tc>
          <w:tcPr>
            <w:tcW w:type="dxa" w:w="3360"/>
          </w:tcPr>
          <w:p>
            <w:r>
              <w:t>Visualización de datos</w:t>
            </w:r>
          </w:p>
        </w:tc>
        <w:tc>
          <w:tcPr>
            <w:tcW w:type="dxa" w:w="3360"/>
          </w:tcPr>
          <w:p>
            <w:r>
              <w:t>https://profeanaeslavaedtech.github.io/portofolio/metadiscourse-visualization.html</w:t>
            </w:r>
          </w:p>
        </w:tc>
      </w:tr>
      <w:tr>
        <w:tc>
          <w:tcPr>
            <w:tcW w:type="dxa" w:w="3360"/>
          </w:tcPr>
          <w:p>
            <w:r>
              <w:t>Prototipo gamificado mobile-native (demo MLLDE)</w:t>
            </w:r>
          </w:p>
        </w:tc>
        <w:tc>
          <w:tcPr>
            <w:tcW w:type="dxa" w:w="3360"/>
          </w:tcPr>
          <w:p>
            <w:r>
              <w:t>Primera demo mobile-native</w:t>
            </w:r>
          </w:p>
        </w:tc>
        <w:tc>
          <w:tcPr>
            <w:tcW w:type="dxa" w:w="3360"/>
          </w:tcPr>
          <w:p>
            <w:r>
              <w:t>[prototipo privado]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El AWJ fue evaluado de forma independiente con un </w:t>
      </w:r>
      <w:r>
        <w:rPr>
          <w:b/>
        </w:rPr>
        <w:t>10/10 en diseño eLearning inclusivo</w:t>
      </w:r>
      <w:r>
        <w:t xml:space="preserve"> por la UPV (2026) con cero errores de navegación del alumnado, y demostró ser agnóstico de plataforma (reconstruido de Canva → Articulate 360 Rise, SCORM/xAPI; desplegado en cuatro familias de LMS). El AWJ ya integra al tutor GPT personalizado </w:t>
      </w:r>
      <w:r>
        <w:rPr>
          <w:i/>
        </w:rPr>
        <w:t>PhD Chema</w:t>
      </w:r>
      <w:r>
        <w:t xml:space="preserve"> —un agente conversacional basado en lenguaje— en los seis niveles; su primera versión no evalúa la pronunciación acústicamente, que es justamente el vacío que cubren el Architecture Voice Design y el Measurement Module acústico del doctorado. Un prototipo gamificado mobile-native —PWA sin conexión, WCAG-AA, con un mentor de IA que andamia sin dar respuestas (bajo consentimiento explícito; nunca hace la tarea del aprendiz)— se ha construido como demo funcional que evidencia que la fase Output del modelo IPO (Casañ-Pitarch) es viable en el móvil.</w:t>
      </w:r>
    </w:p>
    <w:p>
      <w:pPr>
        <w:spacing w:after="120"/>
      </w:pPr>
      <w:r>
        <w:t xml:space="preserve">Además, el Measurement Module ya está </w:t>
      </w:r>
      <w:r>
        <w:rPr>
          <w:b/>
        </w:rPr>
        <w:t>vivo en una instancia de producción aplicada</w:t>
      </w:r>
      <w:r>
        <w:t xml:space="preserve">: </w:t>
      </w:r>
      <w:r>
        <w:rPr>
          <w:b/>
        </w:rPr>
        <w:t>TK Coach («Capi», Talketika)</w:t>
      </w:r>
      <w:r>
        <w:t xml:space="preserve">, un tutor de inglés de negocios por voz, ejecuta el </w:t>
      </w:r>
      <w:r>
        <w:rPr>
          <w:b/>
        </w:rPr>
        <w:t>Tier 1</w:t>
      </w:r>
      <w:r>
        <w:t xml:space="preserve"> de extremo a extremo — tres agentes LLM que observan (tutor · corrector · evaluador) más un </w:t>
      </w:r>
      <w:r>
        <w:rPr>
          <w:b/>
        </w:rPr>
        <w:t>consolidador de código determinista</w:t>
      </w:r>
      <w:r>
        <w:t xml:space="preserve"> (no un 4.º LLM) que computa la banda MCER 0–10 y emite una sola sentencia xAPI a un LRS conformante (Veracity), bajo una </w:t>
      </w:r>
      <w:r>
        <w:rPr>
          <w:b/>
        </w:rPr>
        <w:t>puerta acústica</w:t>
      </w:r>
      <w:r>
        <w:t xml:space="preserve"> (los turnos por debajo de 0.70 de confianza ASR se registran como incidentes, nunca puntúan) y con separación estricta de un </w:t>
      </w:r>
      <w:r>
        <w:rPr>
          <w:b/>
        </w:rPr>
        <w:t>flujo de medición</w:t>
      </w:r>
      <w:r>
        <w:t xml:space="preserve"> (una vez por sesión) y un </w:t>
      </w:r>
      <w:r>
        <w:rPr>
          <w:b/>
        </w:rPr>
        <w:t>flujo de pedagogía</w:t>
      </w:r>
      <w:r>
        <w:t xml:space="preserve"> (por turno, que nunca puntúa). Esto aporta evidencia real de viabilidad de la aportación de habla antes del estudio de inglés académico, y es el caso en el que se desarrollan los tres tiers de evidencia.</w:t>
      </w:r>
    </w:p>
    <w:p>
      <w:pPr>
        <w:spacing w:after="120"/>
      </w:pPr>
      <w:r>
        <w:t>El modelo de gobernanza humano/IA del proyecto —el humano posee la pedagogía, la IA ejecuta bajo revisión— está formalizado en un High-Level Design (HDD), un artefacto de Arquitectura de Experiencias de Aprendizaje altamente evaluado que evidencia competencia de diseño instruccional de nivel profesional (accesibilidad, medición, modularidad, riesgos/traspaso) y ancla la capa de GOBERNANZA del entorno.</w:t>
      </w:r>
    </w:p>
    <w:p>
      <w:pPr>
        <w:spacing w:after="120"/>
      </w:pPr>
      <w:r>
        <w:t>La doctoranda aporta más de 20 años en educación de lenguas y diseño instruccional a nivel universitario y de bachillerato — un título de Licenciatura en Docencia y Educación (Inglés), Summa Cum Laude, con especialización en currículo, primera de su promoción (18,975/20 — equivalente a 9,07/10 en la escala española) — Universidad de Los Andes, Mérida, Venezuela (2004) — y un Máster en Lenguas y Tecnología (UPV, nota media 9,4) — un proyecto de fin de grado con mención honorífica publicado en una revista indexada (Eslava-Graterol, 2005, Kaleidoscopio, 2(3), 51–56; ISSN 1690-6054; indexada en CLASE, UNAM), credenciales profesionales de diseño instruccional (UC Irvine, 2025; University of Cambridge, 2025) y un agradecimiento en un artículo Elsevier con revisión por pares por «valuable comments on the manuscript's English and scientific content» (Sotelo-Casas et al., 2019; agradecida como A. Z. Eslava de Morales) — situando la Investigación Basada en Diseño en contextos auténticos de enseñanza y de escritura científica.</w:t>
      </w:r>
    </w:p>
    <w:p>
      <w:pPr>
        <w:spacing w:after="120"/>
      </w:pPr>
      <w:r>
        <w:rPr>
          <w:b/>
        </w:rPr>
        <w:t>3.4 Punto de partida — el marco MLLDE propuesto.</w:t>
      </w:r>
      <w:r>
        <w:t xml:space="preserve"> MLLDE anida marcos consolidados; la síntesis, orientada a la entrega mobile-native, es la aportación, y cada marco se atribuye a su autor.</w:t>
      </w:r>
    </w:p>
    <w:p>
      <w:pPr>
        <w:spacing w:after="120"/>
      </w:pPr>
      <w:r>
        <w:rPr>
          <w:rFonts w:ascii="Consolas" w:hAnsi="Consolas"/>
          <w:sz w:val="17"/>
        </w:rPr>
        <w:t>MLLDE — Mobile Language Learning Design Environment  (mobile-native)</w:t>
        <w:br/>
        <w:t>├─ DISEÑO       SAM → G-CLIL/IPO (Casañ-Pitarch) → 4Cs → ESA → CTL/REACT → UX móvil + doble codificación</w:t>
        <w:br/>
        <w:t>├─ ALFAB. EN IA Hyland (2005) base de metadiscurso → firma humano-vs-LLM → agencia retórica          [①]</w:t>
        <w:br/>
        <w:t>├─ TUTORÍA      Architecture Voice Design: mentor GPT basado en lenguaje 'PhD Chema' + NUEVO canal</w:t>
        <w:br/>
        <w:t>│               acústico de pronunciación como canal evaluado de primer orden · pragmática · enfoque léxico</w:t>
        <w:br/>
        <w:t>├─ MEDICIÓN     Measurement Module (Measure≠Decide; 3 tiers de evidencia) — ESCRITURA (METOOL/Hyland) + HABLA (ASR·GOP)</w:t>
        <w:br/>
        <w:t>│               → MCER → xAPI (IEEE 9274.1.1-2023) → LRS; motor determinista; la telemetría dual registra el acto docente de la IA</w:t>
        <w:br/>
        <w:t>└─ GOBERNANZA   Reglamento IA UE (art. 50 + registro) · LEA/WCAG · RGPD desde el diseño · DUA — el humano posee la pedagogía</w:t>
      </w:r>
    </w:p>
    <w:p>
      <w:pPr>
        <w:pStyle w:val="Heading2"/>
      </w:pPr>
      <w:r>
        <w:rPr>
          <w:color w:val="22307C"/>
          <w:sz w:val="26"/>
        </w:rPr>
        <w:t>4. Bibliografía</w:t>
      </w:r>
    </w:p>
    <w:p>
      <w:pPr>
        <w:spacing w:after="120"/>
      </w:pPr>
      <w:r>
        <w:rPr>
          <w:i/>
        </w:rPr>
        <w:t>(Las referencias se citan en su lengua original, conforme a APA 7.ª ed. Las citadas en el §3.)</w:t>
      </w:r>
    </w:p>
    <w:p>
      <w:pPr>
        <w:spacing w:after="60"/>
        <w:ind w:left="403"/>
      </w:pPr>
      <w:r>
        <w:t xml:space="preserve">•  </w:t>
      </w:r>
      <w:r>
        <w:t xml:space="preserve">Ädel, A. (2006). </w:t>
      </w:r>
      <w:r>
        <w:rPr>
          <w:i/>
        </w:rPr>
        <w:t>Metadiscourse in L1 and L2 English.</w:t>
      </w:r>
      <w:r>
        <w:t xml:space="preserve"> John Benjamins. https://doi.org/10.1075/scl.24</w:t>
      </w:r>
    </w:p>
    <w:p>
      <w:pPr>
        <w:spacing w:after="60"/>
        <w:ind w:left="403"/>
      </w:pPr>
      <w:r>
        <w:t xml:space="preserve">•  </w:t>
      </w:r>
      <w:r>
        <w:t xml:space="preserve">Allen, M. W., &amp; Sites, R. (2012). </w:t>
      </w:r>
      <w:r>
        <w:rPr>
          <w:i/>
        </w:rPr>
        <w:t>Leaving ADDIE for SAM: An agile model for developing the best learning experiences.</w:t>
      </w:r>
      <w:r>
        <w:t xml:space="preserve"> ASTD Press.</w:t>
      </w:r>
    </w:p>
    <w:p>
      <w:pPr>
        <w:spacing w:after="60"/>
        <w:ind w:left="403"/>
      </w:pPr>
      <w:r>
        <w:t xml:space="preserve">•  </w:t>
      </w:r>
      <w:r>
        <w:t xml:space="preserve">Almatrafi, O., Johri, A., &amp; Lee, H. (2024). A systematic review of AI literacy conceptualization, constructs, and implementation and assessment efforts (2019–2023). </w:t>
      </w:r>
      <w:r>
        <w:rPr>
          <w:i/>
        </w:rPr>
        <w:t>Computers and Education Open, 6,</w:t>
      </w:r>
      <w:r>
        <w:t xml:space="preserve"> Article 100173. https://doi.org/10.1016/j.caeo.2024.100173</w:t>
      </w:r>
    </w:p>
    <w:p>
      <w:pPr>
        <w:spacing w:after="60"/>
        <w:ind w:left="403"/>
      </w:pPr>
      <w:r>
        <w:t xml:space="preserve">•  </w:t>
      </w:r>
      <w:r>
        <w:t xml:space="preserve">Anderson, T., &amp; Shattuck, J. (2012). Design-based research: A decade of progress in education research. </w:t>
      </w:r>
      <w:r>
        <w:rPr>
          <w:i/>
        </w:rPr>
        <w:t>Educational Researcher, 41</w:t>
      </w:r>
      <w:r>
        <w:t>(1), 16–25. https://doi.org/10.3102/0013189X11428813</w:t>
      </w:r>
    </w:p>
    <w:p>
      <w:pPr>
        <w:spacing w:after="60"/>
        <w:ind w:left="403"/>
      </w:pPr>
      <w:r>
        <w:t xml:space="preserve">•  </w:t>
      </w:r>
      <w:r>
        <w:t xml:space="preserve">Carrió-Pastor, M. L. (2020). Conocer la lengua a través de los corpus: La herramienta METOOL, retos para el análisis de los marcadores discursivos. </w:t>
      </w:r>
      <w:r>
        <w:rPr>
          <w:i/>
        </w:rPr>
        <w:t>Pragmalingüística, 28,</w:t>
      </w:r>
      <w:r>
        <w:t xml:space="preserve"> 255–274. https://doi.org/10.25267/Pragmalinguistica.2020.i28.13</w:t>
      </w:r>
    </w:p>
    <w:p>
      <w:pPr>
        <w:spacing w:after="60"/>
        <w:ind w:left="403"/>
      </w:pPr>
      <w:r>
        <w:t xml:space="preserve">•  </w:t>
      </w:r>
      <w:r>
        <w:t xml:space="preserve">Casañ-Pitarch, R. (2017). Gamifying content and language integrated learning with serious videogames. </w:t>
      </w:r>
      <w:r>
        <w:rPr>
          <w:i/>
        </w:rPr>
        <w:t>Journal of Language and Education, 3</w:t>
      </w:r>
      <w:r>
        <w:t>(3), 107–114. https://doi.org/10.17323/2411-7390-2017-3-3-107-114</w:t>
      </w:r>
    </w:p>
    <w:p>
      <w:pPr>
        <w:spacing w:after="60"/>
        <w:ind w:left="403"/>
      </w:pPr>
      <w:r>
        <w:t xml:space="preserve">•  </w:t>
      </w:r>
      <w:r>
        <w:t xml:space="preserve">Clothier, P. (2026). </w:t>
      </w:r>
      <w:r>
        <w:rPr>
          <w:i/>
        </w:rPr>
        <w:t>Mastering mobile learning design.</w:t>
      </w:r>
      <w:r>
        <w:t xml:space="preserve"> Routledge.</w:t>
      </w:r>
    </w:p>
    <w:p>
      <w:pPr>
        <w:spacing w:after="60"/>
        <w:ind w:left="403"/>
      </w:pPr>
      <w:r>
        <w:t xml:space="preserve">•  </w:t>
      </w:r>
      <w:r>
        <w:t xml:space="preserve">Cotton, D. R. E., Cotton, P. A., &amp; Shipway, J. R. (2023). Chatting and cheating: Ensuring academic integrity in the era of ChatGPT. </w:t>
      </w:r>
      <w:r>
        <w:rPr>
          <w:i/>
        </w:rPr>
        <w:t>Innovations in Education and Teaching International, 61</w:t>
      </w:r>
      <w:r>
        <w:t>(2), 228–239. https://doi.org/10.1080/14703297.2023.2190148</w:t>
      </w:r>
    </w:p>
    <w:p>
      <w:pPr>
        <w:spacing w:after="60"/>
        <w:ind w:left="403"/>
      </w:pPr>
      <w:r>
        <w:t xml:space="preserve">•  </w:t>
      </w:r>
      <w:r>
        <w:t xml:space="preserve">Council of Europe. (2020). </w:t>
      </w:r>
      <w:r>
        <w:rPr>
          <w:i/>
        </w:rPr>
        <w:t>Common European Framework of Reference for Languages: Learning, teaching, assessment — Companion volume.</w:t>
      </w:r>
      <w:r>
        <w:t xml:space="preserve"> Council of Europe Publishing.</w:t>
      </w:r>
    </w:p>
    <w:p>
      <w:pPr>
        <w:spacing w:after="60"/>
        <w:ind w:left="403"/>
      </w:pPr>
      <w:r>
        <w:t xml:space="preserve">•  </w:t>
      </w:r>
      <w:r>
        <w:t xml:space="preserve">Coyle, D., Hood, P., &amp; Marsh, D. (2010). </w:t>
      </w:r>
      <w:r>
        <w:rPr>
          <w:i/>
        </w:rPr>
        <w:t>CLIL: Content and language integrated learning.</w:t>
      </w:r>
      <w:r>
        <w:t xml:space="preserve"> Cambridge University Press.</w:t>
      </w:r>
    </w:p>
    <w:p>
      <w:pPr>
        <w:spacing w:after="60"/>
        <w:ind w:left="403"/>
      </w:pPr>
      <w:r>
        <w:t xml:space="preserve">•  </w:t>
      </w:r>
      <w:r>
        <w:t xml:space="preserve">Crawford, M. L. (2001). </w:t>
      </w:r>
      <w:r>
        <w:rPr>
          <w:i/>
        </w:rPr>
        <w:t>Teaching contextually: Research, rationale, and techniques for improving student motivation and achievement in mathematics and science.</w:t>
      </w:r>
      <w:r>
        <w:t xml:space="preserve"> CCI Publishing.</w:t>
      </w:r>
    </w:p>
    <w:p>
      <w:pPr>
        <w:spacing w:after="60"/>
        <w:ind w:left="403"/>
      </w:pPr>
      <w:r>
        <w:t xml:space="preserve">•  </w:t>
      </w:r>
      <w:r>
        <w:t xml:space="preserve">Deterding, S., Dixon, D., Khaled, R., &amp; Nacke, L. (2011). From game design elements to gamefulness: Defining "gamification." In </w:t>
      </w:r>
      <w:r>
        <w:rPr>
          <w:i/>
        </w:rPr>
        <w:t>Proceedings of the 15th International Academic MindTrek Conference</w:t>
      </w:r>
      <w:r>
        <w:t xml:space="preserve"> (pp. 9–15). ACM. https://doi.org/10.1145/2181037.2181040</w:t>
      </w:r>
    </w:p>
    <w:p>
      <w:pPr>
        <w:spacing w:after="60"/>
        <w:ind w:left="403"/>
      </w:pPr>
      <w:r>
        <w:t xml:space="preserve">•  </w:t>
      </w:r>
      <w:r>
        <w:t xml:space="preserve">Erol, G., Ergen, A., Gülşen Erol, B., Kaya Ergen, Ş., Bora, T. S., Çölgeçen, A. D., Araz, B., Şahin, C., Bostancı, G., Kılıç, İ., Macit, Z. B., Sevgi, U. T., &amp; Güngör, A. (2025). Can we trust academic AI detective? Accuracy and limitations of AI-output detectors. </w:t>
      </w:r>
      <w:r>
        <w:rPr>
          <w:i/>
        </w:rPr>
        <w:t>Acta Neurochirurgica, 167</w:t>
      </w:r>
      <w:r>
        <w:t>(1), Article 214. https://doi.org/10.1007/s00701-025-06622-4</w:t>
      </w:r>
    </w:p>
    <w:p>
      <w:pPr>
        <w:spacing w:after="60"/>
        <w:ind w:left="403"/>
      </w:pPr>
      <w:r>
        <w:t xml:space="preserve">•  </w:t>
      </w:r>
      <w:r>
        <w:t xml:space="preserve">Godwin-Jones, R. (2011). Emerging technologies: Mobile apps for language learning. </w:t>
      </w:r>
      <w:r>
        <w:rPr>
          <w:i/>
        </w:rPr>
        <w:t>Language Learning &amp; Technology, 15</w:t>
      </w:r>
      <w:r>
        <w:t>(2), 2–11.</w:t>
      </w:r>
    </w:p>
    <w:p>
      <w:pPr>
        <w:spacing w:after="60"/>
        <w:ind w:left="403"/>
      </w:pPr>
      <w:r>
        <w:t xml:space="preserve">•  </w:t>
      </w:r>
      <w:r>
        <w:t xml:space="preserve">Harmer, J. (2007). </w:t>
      </w:r>
      <w:r>
        <w:rPr>
          <w:i/>
        </w:rPr>
        <w:t>The practice of English language teaching</w:t>
      </w:r>
      <w:r>
        <w:t xml:space="preserve"> (4th ed.). Pearson Longman.</w:t>
      </w:r>
    </w:p>
    <w:p>
      <w:pPr>
        <w:spacing w:after="60"/>
        <w:ind w:left="403"/>
      </w:pPr>
      <w:r>
        <w:t xml:space="preserve">•  </w:t>
      </w:r>
      <w:r>
        <w:t xml:space="preserve">Hyland, K. (2005). </w:t>
      </w:r>
      <w:r>
        <w:rPr>
          <w:i/>
        </w:rPr>
        <w:t>Metadiscourse: Exploring interaction in writing.</w:t>
      </w:r>
      <w:r>
        <w:t xml:space="preserve"> Continuum.</w:t>
      </w:r>
    </w:p>
    <w:p>
      <w:pPr>
        <w:spacing w:after="60"/>
        <w:ind w:left="403"/>
      </w:pPr>
      <w:r>
        <w:t xml:space="preserve">•  </w:t>
      </w:r>
      <w:r>
        <w:t xml:space="preserve">Hyland, K., &amp; Tse, P. (2004). Metadiscourse in academic writing: A reappraisal. </w:t>
      </w:r>
      <w:r>
        <w:rPr>
          <w:i/>
        </w:rPr>
        <w:t>Applied Linguistics, 25</w:t>
      </w:r>
      <w:r>
        <w:t>(2), 156–177. https://doi.org/10.1093/applin/25.2.156</w:t>
      </w:r>
    </w:p>
    <w:p>
      <w:pPr>
        <w:spacing w:after="60"/>
        <w:ind w:left="403"/>
      </w:pPr>
      <w:r>
        <w:t xml:space="preserve">•  </w:t>
      </w:r>
      <w:r>
        <w:t xml:space="preserve">Institute of Electrical and Electronics Engineers. (2023). </w:t>
      </w:r>
      <w:r>
        <w:rPr>
          <w:i/>
        </w:rPr>
        <w:t>IEEE standard for learning technology — JSON data model format and RESTful web service for learner experience data tracking and access</w:t>
      </w:r>
      <w:r>
        <w:t xml:space="preserve"> (IEEE Std 9274.1.1-2023). IEEE. https://ieeexplore.ieee.org/document/10273185</w:t>
      </w:r>
    </w:p>
    <w:p>
      <w:pPr>
        <w:spacing w:after="60"/>
        <w:ind w:left="403"/>
      </w:pPr>
      <w:r>
        <w:t xml:space="preserve">•  </w:t>
      </w:r>
      <w:r>
        <w:t xml:space="preserve">Jiang, F., &amp; Hyland, K. (2024). Does ChatGPT argue like students? Bundles in argumentative essays. </w:t>
      </w:r>
      <w:r>
        <w:rPr>
          <w:i/>
        </w:rPr>
        <w:t>Applied Linguistics, 46</w:t>
      </w:r>
      <w:r>
        <w:t>(3), 375–391. https://doi.org/10.1093/applin/amae052</w:t>
      </w:r>
    </w:p>
    <w:p>
      <w:pPr>
        <w:spacing w:after="60"/>
        <w:ind w:left="403"/>
      </w:pPr>
      <w:r>
        <w:t xml:space="preserve">•  </w:t>
      </w:r>
      <w:r>
        <w:t xml:space="preserve">Jiang, F., &amp; Hyland, K. (2025a). Rhetorical distinctions: Comparing metadiscourse in essays by ChatGPT and students. </w:t>
      </w:r>
      <w:r>
        <w:rPr>
          <w:i/>
        </w:rPr>
        <w:t>English for Specific Purposes, 79,</w:t>
      </w:r>
      <w:r>
        <w:t xml:space="preserve"> 17–29. https://doi.org/10.1016/j.esp.2025.03.001</w:t>
      </w:r>
    </w:p>
    <w:p>
      <w:pPr>
        <w:spacing w:after="60"/>
        <w:ind w:left="403"/>
      </w:pPr>
      <w:r>
        <w:t xml:space="preserve">•  </w:t>
      </w:r>
      <w:r>
        <w:t xml:space="preserve">Jiang, F., &amp; Hyland, K. (2025b). Does ChatGPT write like a student? Engagement markers in argumentative essays. </w:t>
      </w:r>
      <w:r>
        <w:rPr>
          <w:i/>
        </w:rPr>
        <w:t>Written Communication, 42</w:t>
      </w:r>
      <w:r>
        <w:t>(3), 463–492. https://doi.org/10.1177/07410883251328311</w:t>
      </w:r>
    </w:p>
    <w:p>
      <w:pPr>
        <w:spacing w:after="60"/>
        <w:ind w:left="403"/>
      </w:pPr>
      <w:r>
        <w:t xml:space="preserve">•  </w:t>
      </w:r>
      <w:r>
        <w:t xml:space="preserve">Jiang, F., &amp; Hyland, K. (2025c). Metadiscursive nouns in academic argument: ChatGPT vs student practices. </w:t>
      </w:r>
      <w:r>
        <w:rPr>
          <w:i/>
        </w:rPr>
        <w:t>Journal of English for Academic Purposes, 75,</w:t>
      </w:r>
      <w:r>
        <w:t xml:space="preserve"> Article 101514. https://doi.org/10.1016/j.jeap.2025.101514</w:t>
      </w:r>
    </w:p>
    <w:p>
      <w:pPr>
        <w:spacing w:after="60"/>
        <w:ind w:left="403"/>
      </w:pPr>
      <w:r>
        <w:t xml:space="preserve">•  </w:t>
      </w:r>
      <w:r>
        <w:t xml:space="preserve">Johnson, E. B. (2002). </w:t>
      </w:r>
      <w:r>
        <w:rPr>
          <w:i/>
        </w:rPr>
        <w:t>Contextual teaching and learning: What it is and why it's here to stay.</w:t>
      </w:r>
      <w:r>
        <w:t xml:space="preserve"> Corwin Press.</w:t>
      </w:r>
    </w:p>
    <w:p>
      <w:pPr>
        <w:spacing w:after="60"/>
        <w:ind w:left="403"/>
      </w:pPr>
      <w:r>
        <w:t xml:space="preserve">•  </w:t>
      </w:r>
      <w:r>
        <w:t xml:space="preserve">Kasper, G., &amp; Rose, K. R. (2001). </w:t>
      </w:r>
      <w:r>
        <w:rPr>
          <w:i/>
        </w:rPr>
        <w:t>Pragmatics in language teaching.</w:t>
      </w:r>
      <w:r>
        <w:t xml:space="preserve"> Cambridge University Press.</w:t>
      </w:r>
    </w:p>
    <w:p>
      <w:pPr>
        <w:spacing w:after="60"/>
        <w:ind w:left="403"/>
      </w:pPr>
      <w:r>
        <w:t xml:space="preserve">•  </w:t>
      </w:r>
      <w:r>
        <w:t xml:space="preserve">Kobak, D., González-Márquez, R., Horvát, E.-Á., &amp; Lause, J. (2025). Delving into LLM-assisted writing in biomedical publications through excess vocabulary. </w:t>
      </w:r>
      <w:r>
        <w:rPr>
          <w:i/>
        </w:rPr>
        <w:t>Science Advances, 11</w:t>
      </w:r>
      <w:r>
        <w:t>(27), Article eadt3813. https://doi.org/10.1126/sciadv.adt3813</w:t>
      </w:r>
    </w:p>
    <w:p>
      <w:pPr>
        <w:spacing w:after="60"/>
        <w:ind w:left="403"/>
      </w:pPr>
      <w:r>
        <w:t xml:space="preserve">•  </w:t>
      </w:r>
      <w:r>
        <w:t xml:space="preserve">Koltay, T. (2025). Some issues of data literacy and AI literacy in the library. </w:t>
      </w:r>
      <w:r>
        <w:rPr>
          <w:i/>
        </w:rPr>
        <w:t>Knižnica, 2025</w:t>
      </w:r>
      <w:r>
        <w:t>(2), 11–17.</w:t>
      </w:r>
    </w:p>
    <w:p>
      <w:pPr>
        <w:spacing w:after="60"/>
        <w:ind w:left="403"/>
      </w:pPr>
      <w:r>
        <w:t xml:space="preserve">•  </w:t>
      </w:r>
      <w:r>
        <w:t xml:space="preserve">Kong, S.-C., Cheung, W. M.-Y., &amp; Zhang, G. (2023). Evaluation of an artificial intelligence literacy course for university students with diverse study backgrounds. </w:t>
      </w:r>
      <w:r>
        <w:rPr>
          <w:i/>
        </w:rPr>
        <w:t>Educational Technology &amp; Society, 26</w:t>
      </w:r>
      <w:r>
        <w:t>(1), 16–30.</w:t>
      </w:r>
    </w:p>
    <w:p>
      <w:pPr>
        <w:spacing w:after="60"/>
        <w:ind w:left="403"/>
      </w:pPr>
      <w:r>
        <w:t xml:space="preserve">•  </w:t>
      </w:r>
      <w:r>
        <w:t xml:space="preserve">Kukulska-Hulme, A., &amp; Shield, L. (2008). An overview of mobile assisted language learning: From content delivery to supported collaboration and interaction. </w:t>
      </w:r>
      <w:r>
        <w:rPr>
          <w:i/>
        </w:rPr>
        <w:t>ReCALL, 20</w:t>
      </w:r>
      <w:r>
        <w:t>(3), 271–289. https://doi.org/10.1017/S0958344008000335</w:t>
      </w:r>
    </w:p>
    <w:p>
      <w:pPr>
        <w:spacing w:after="60"/>
        <w:ind w:left="403"/>
      </w:pPr>
      <w:r>
        <w:t xml:space="preserve">•  </w:t>
      </w:r>
      <w:r>
        <w:t xml:space="preserve">Lewis, M. (1993). </w:t>
      </w:r>
      <w:r>
        <w:rPr>
          <w:i/>
        </w:rPr>
        <w:t>The lexical approach: The state of ELT and a way forward.</w:t>
      </w:r>
      <w:r>
        <w:t xml:space="preserve"> Language Teaching Publications.</w:t>
      </w:r>
    </w:p>
    <w:p>
      <w:pPr>
        <w:spacing w:after="60"/>
        <w:ind w:left="403"/>
      </w:pPr>
      <w:r>
        <w:t xml:space="preserve">•  </w:t>
      </w:r>
      <w:r>
        <w:t xml:space="preserve">Liang, W., Yuksekgonul, M., Mao, Y., Wu, E., &amp; Zou, J. (2023). GPT detectors are biased against non-native English writers. </w:t>
      </w:r>
      <w:r>
        <w:rPr>
          <w:i/>
        </w:rPr>
        <w:t>Patterns, 4</w:t>
      </w:r>
      <w:r>
        <w:t>(7), Article 100779. https://doi.org/10.1016/j.patter.2023.100779</w:t>
      </w:r>
    </w:p>
    <w:p>
      <w:pPr>
        <w:spacing w:after="60"/>
        <w:ind w:left="403"/>
      </w:pPr>
      <w:r>
        <w:t xml:space="preserve">•  </w:t>
      </w:r>
      <w:r>
        <w:t xml:space="preserve">Mayer, R. E. (2009). </w:t>
      </w:r>
      <w:r>
        <w:rPr>
          <w:i/>
        </w:rPr>
        <w:t>Multimedia learning</w:t>
      </w:r>
      <w:r>
        <w:t xml:space="preserve"> (2nd ed.). Cambridge University Press. https://doi.org/10.1017/CBO9780511811678</w:t>
      </w:r>
    </w:p>
    <w:p>
      <w:pPr>
        <w:spacing w:after="60"/>
        <w:ind w:left="403"/>
      </w:pPr>
      <w:r>
        <w:t xml:space="preserve">•  </w:t>
      </w:r>
      <w:r>
        <w:t xml:space="preserve">Reinhart, A., Markey, B., Laudenbach, M., Pantusen, K., Yurko, R., Weinberg, G., &amp; Brown, D. (2025). Do LLMs write like humans? Variation in grammatical and rhetorical styles. </w:t>
      </w:r>
      <w:r>
        <w:rPr>
          <w:i/>
        </w:rPr>
        <w:t>Proceedings of the National Academy of Sciences, 122</w:t>
      </w:r>
      <w:r>
        <w:t>(8), Article e2422455122. https://doi.org/10.1073/pnas.2422455122</w:t>
      </w:r>
    </w:p>
    <w:p>
      <w:pPr>
        <w:spacing w:after="60"/>
        <w:ind w:left="403"/>
      </w:pPr>
      <w:r>
        <w:t xml:space="preserve">•  </w:t>
      </w:r>
      <w:r>
        <w:t xml:space="preserve">Sotelo-Casas, R. C., Rodríguez-Troncoso, A. P., Rodríguez-Zaragoza, F. A., Solís-Marín, F. A., Godínez-Domínguez, E., &amp; Cupul-Magaña, A. L. (2019). Spatial-temporal variations in echinoderm diversity within coral communities in a transitional region of the northeast of the eastern Pacific. </w:t>
      </w:r>
      <w:r>
        <w:rPr>
          <w:i/>
        </w:rPr>
        <w:t>Estuarine, Coastal and Shelf Science, 227,</w:t>
      </w:r>
      <w:r>
        <w:t xml:space="preserve"> Article 106346. https://doi.org/10.1016/j.ecss.2019.106346</w:t>
      </w:r>
    </w:p>
    <w:p>
      <w:pPr>
        <w:spacing w:after="60"/>
        <w:ind w:left="403"/>
      </w:pPr>
      <w:r>
        <w:t xml:space="preserve">•  </w:t>
      </w:r>
      <w:r>
        <w:t xml:space="preserve">Stockwell, G. (2010). Using mobile phones for vocabulary activities: Examining the effect of the platform. </w:t>
      </w:r>
      <w:r>
        <w:rPr>
          <w:i/>
        </w:rPr>
        <w:t>Language Learning &amp; Technology, 14</w:t>
      </w:r>
      <w:r>
        <w:t>(2), 95–110.</w:t>
      </w:r>
    </w:p>
    <w:p>
      <w:pPr>
        <w:spacing w:after="60"/>
        <w:ind w:left="403"/>
      </w:pPr>
      <w:r>
        <w:t xml:space="preserve">•  </w:t>
      </w:r>
      <w:r>
        <w:t xml:space="preserve">Walters, W. H., &amp; Wilder, E. I. (2023). Fabrication and errors in the bibliographic citations generated by ChatGPT. </w:t>
      </w:r>
      <w:r>
        <w:rPr>
          <w:i/>
        </w:rPr>
        <w:t>Scientific Reports, 13,</w:t>
      </w:r>
      <w:r>
        <w:t xml:space="preserve"> Article 14045. https://doi.org/10.1038/s41598-023-41032-5</w:t>
      </w:r>
    </w:p>
    <w:p>
      <w:pPr>
        <w:spacing w:after="60"/>
        <w:ind w:left="403"/>
      </w:pPr>
      <w:r>
        <w:t xml:space="preserve">•  </w:t>
      </w:r>
      <w:r>
        <w:t xml:space="preserve">Witt, S. M., &amp; Young, S. J. (2000). Phone-level pronunciation scoring and assessment for interactive language learning. </w:t>
      </w:r>
      <w:r>
        <w:rPr>
          <w:i/>
        </w:rPr>
        <w:t>Speech Communication, 30</w:t>
      </w:r>
      <w:r>
        <w:t>(2–3), 95–108. https://doi.org/10.1016/S0167-6393(99)00044-8</w:t>
      </w:r>
    </w:p>
    <w:p>
      <w:pPr>
        <w:spacing w:after="120"/>
      </w:pPr>
      <w:r>
        <w:rPr>
          <w:i/>
        </w:rPr>
        <w:t>Añadidas — medición de voz, feedback y evaluación de la formación:</w:t>
      </w:r>
    </w:p>
    <w:p>
      <w:pPr>
        <w:spacing w:after="60"/>
        <w:ind w:left="403"/>
      </w:pPr>
      <w:r>
        <w:t xml:space="preserve">•  </w:t>
      </w:r>
      <w:r>
        <w:t xml:space="preserve">International Phonetic Association. (1999). </w:t>
      </w:r>
      <w:r>
        <w:rPr>
          <w:i/>
        </w:rPr>
        <w:t>Handbook of the International Phonetic Association.</w:t>
      </w:r>
      <w:r>
        <w:t xml:space="preserve"> Cambridge University Press.</w:t>
      </w:r>
    </w:p>
    <w:p>
      <w:pPr>
        <w:spacing w:after="60"/>
        <w:ind w:left="403"/>
      </w:pPr>
      <w:r>
        <w:t xml:space="preserve">•  </w:t>
      </w:r>
      <w:r>
        <w:t xml:space="preserve">Kirkpatrick, J. D., &amp; Kirkpatrick, W. K. (2016). </w:t>
      </w:r>
      <w:r>
        <w:rPr>
          <w:i/>
        </w:rPr>
        <w:t>Kirkpatrick's four levels of training evaluation.</w:t>
      </w:r>
      <w:r>
        <w:t xml:space="preserve"> ATD Press.</w:t>
      </w:r>
    </w:p>
    <w:p>
      <w:pPr>
        <w:spacing w:after="60"/>
        <w:ind w:left="403"/>
      </w:pPr>
      <w:r>
        <w:t xml:space="preserve">•  </w:t>
      </w:r>
      <w:r>
        <w:t xml:space="preserve">Krashen, S. D. (1985). </w:t>
      </w:r>
      <w:r>
        <w:rPr>
          <w:i/>
        </w:rPr>
        <w:t>The input hypothesis: Issues and implications.</w:t>
      </w:r>
      <w:r>
        <w:t xml:space="preserve"> Longman.</w:t>
      </w:r>
    </w:p>
    <w:p>
      <w:pPr>
        <w:spacing w:after="60"/>
        <w:ind w:left="403"/>
      </w:pPr>
      <w:r>
        <w:t xml:space="preserve">•  </w:t>
      </w:r>
      <w:r>
        <w:t xml:space="preserve">Phillips, J. J., &amp; Phillips, P. P. (2016). </w:t>
      </w:r>
      <w:r>
        <w:rPr>
          <w:i/>
        </w:rPr>
        <w:t>Handbook of training evaluation and measurement methods</w:t>
      </w:r>
      <w:r>
        <w:t xml:space="preserve"> (4.ª ed.). Routledge.</w:t>
      </w:r>
    </w:p>
    <w:p>
      <w:pPr>
        <w:spacing w:after="60"/>
        <w:ind w:left="403"/>
      </w:pPr>
      <w:r>
        <w:t xml:space="preserve">•  </w:t>
      </w:r>
      <w:r>
        <w:t xml:space="preserve">Schmidt, R. W. (1990). The role of consciousness in second language learning. </w:t>
      </w:r>
      <w:r>
        <w:rPr>
          <w:i/>
        </w:rPr>
        <w:t>Applied Linguistics, 11</w:t>
      </w:r>
      <w:r>
        <w:t>(2), 129–158. https://doi.org/10.1093/applin/11.2.129</w:t>
      </w:r>
    </w:p>
    <w:p>
      <w:pPr>
        <w:spacing w:after="120"/>
      </w:pPr>
      <w:r>
        <w:rPr>
          <w:i/>
        </w:rPr>
        <w:t>Nota.</w:t>
      </w:r>
      <w:r>
        <w:t xml:space="preserve"> Entradas verificadas contra la lista de referencias del TFM (aparato de metadiscurso/alfabetización en IA) y catálogos públicos. Un pequeño número de libros/normas (Coyle et al., 2010; Kasper y Rose, 2001; IEEE 9274.1.1-2023) no tiene DOI asignado y se cita por editorial/URL conforme a APA 7.ª ed.</w:t>
      </w:r>
    </w:p>
    <w:p>
      <w:pPr>
        <w:pStyle w:val="Heading2"/>
      </w:pPr>
      <w:r>
        <w:rPr>
          <w:color w:val="22307C"/>
          <w:sz w:val="26"/>
        </w:rPr>
        <w:t>5. Hipótesis y objetivos</w:t>
      </w:r>
    </w:p>
    <w:p>
      <w:pPr>
        <w:spacing w:after="120"/>
      </w:pPr>
      <w:r>
        <w:rPr>
          <w:b/>
        </w:rPr>
        <w:t>Justificación e hipótesis de partida.</w:t>
      </w:r>
      <w:r>
        <w:t xml:space="preserve"> Dado que el texto de los LLM reproduce el andamiaje de la lengua a la vez que aplana la dimensión interpersonal (escritura), y que la evidencia de pronunciación con IA no es interoperable (habla), un único entorno mobile-native, éticamente gobernado y creable por el profesorado puede (a) construir la alfabetización en IA y la agencia retórica del alumnado y (b) hacer medible el habla en términos interoperables y anclados al MCER. </w:t>
      </w:r>
      <w:r>
        <w:rPr>
          <w:b/>
        </w:rPr>
        <w:t>Hipótesis de partida:</w:t>
      </w:r>
      <w:r>
        <w:t xml:space="preserve"> una intervención mobile-native diseñada con MLLDE mejora la competencia de escritura crítica con IA y produce evidencia de pronunciación válida e interoperable de forma más eficaz que las condiciones de base no integradas.</w:t>
      </w:r>
    </w:p>
    <w:p>
      <w:pPr>
        <w:spacing w:after="120"/>
      </w:pPr>
      <w:r>
        <w:rPr>
          <w:b/>
        </w:rPr>
        <w:t>Objetivo general.</w:t>
      </w:r>
      <w:r>
        <w:t xml:space="preserve"> Desarrollar, formalizar y validar empíricamente MLLDE como entorno ético de diseño y medición, con alfabetización en IA, para aplicaciones de lenguas mobile-native.</w:t>
      </w:r>
    </w:p>
    <w:p>
      <w:pPr>
        <w:spacing w:after="120"/>
      </w:pPr>
      <w:r>
        <w:rPr>
          <w:b/>
        </w:rPr>
        <w:t>Objetivos específicos (realistas para la duración de la tesis).</w:t>
      </w:r>
    </w:p>
    <w:p>
      <w:pPr>
        <w:spacing w:after="60"/>
        <w:ind w:left="403"/>
      </w:pPr>
      <w:r>
        <w:t xml:space="preserve">1. Formalizar MLLDE — constructos, capas (diseño · tutoría · medición · gobernanza) y el esquema de autoría mobile-native para un </w:t>
      </w:r>
      <w:r>
        <w:rPr>
          <w:b/>
        </w:rPr>
        <w:t>currículo que integra la escritura y la modalidad de habla / voz</w:t>
      </w:r>
      <w:r>
        <w:t>, cada una con su medición anclada.</w:t>
      </w:r>
    </w:p>
    <w:p>
      <w:pPr>
        <w:spacing w:after="60"/>
        <w:ind w:left="403"/>
      </w:pPr>
      <w:r>
        <w:t>2. Instanciar/refinar Academic Writing Journey (AWJ) — aportación ① — extendiendo el Objetivo 4 del TFM (perfiles de corpus → materiales de alfabetización en IA), llevado a mobile-native.</w:t>
      </w:r>
    </w:p>
    <w:p>
      <w:pPr>
        <w:spacing w:after="60"/>
        <w:ind w:left="403"/>
      </w:pPr>
      <w:r>
        <w:t>3. Refinar el prototipo gamificado mobile-native como primera demo de MLLDE (autoría engine + data).</w:t>
      </w:r>
    </w:p>
    <w:p>
      <w:pPr>
        <w:spacing w:after="60"/>
        <w:ind w:left="403"/>
      </w:pPr>
      <w:r>
        <w:t>4. Ejecutar el piloto del AWJ con medidas de metadiscurso pre/post (la cuarta línea de investigación futura del TFM).</w:t>
      </w:r>
    </w:p>
    <w:p>
      <w:pPr>
        <w:spacing w:after="60"/>
        <w:ind w:left="403"/>
      </w:pPr>
      <w:r>
        <w:t xml:space="preserve">5. Aportación ② — habla: construir el Architecture Voice Design — extender el agente GPT personalizado, basado en lenguaje, </w:t>
      </w:r>
      <w:r>
        <w:rPr>
          <w:i/>
        </w:rPr>
        <w:t>PhD Chema</w:t>
      </w:r>
      <w:r>
        <w:t xml:space="preserve"> con un canal acústico de pronunciación (ASR/GOP) del que carece su primera versión — y el Measurement Module — un perfil xAPI alineado al MCER (identificadores persistentes, vocabulario controlado, correspondencias acústica↔MCER, interpretación pedagógica, registros interoperables; telemetría dual que registra el acto docente de la IA). Desarrollar la medición de la pronunciación en </w:t>
      </w:r>
      <w:r>
        <w:rPr>
          <w:b/>
        </w:rPr>
        <w:t>tres tiers de evidencia</w:t>
      </w:r>
      <w:r>
        <w:t xml:space="preserve"> — Tier 1 (rúbrica sobre ASR, en producción), Tier 2 (puntuación instrumentada de proveedor), Tier 3 (GOP a medida con inventario IPA por nivel) — bajo un motor </w:t>
      </w:r>
      <w:r>
        <w:rPr>
          <w:b/>
        </w:rPr>
        <w:t>Measure ≠ Decide</w:t>
      </w:r>
      <w:r>
        <w:t xml:space="preserve"> y una política de honestidad de la evidencia (inteligibilidad, no acento nativo).</w:t>
      </w:r>
    </w:p>
    <w:p>
      <w:pPr>
        <w:spacing w:after="60"/>
        <w:ind w:left="403"/>
      </w:pPr>
      <w:r>
        <w:t>6. Aislar mecanismos (ejercicios humano-vs-LLM; andamiaje de IA sin dar respuestas; pistas animadas).</w:t>
      </w:r>
    </w:p>
    <w:p>
      <w:pPr>
        <w:spacing w:after="60"/>
        <w:ind w:left="403"/>
      </w:pPr>
      <w:r>
        <w:t>7. Probar la replicabilidad entre niveles/destinos/lenguas (esfuerzo de diseño + fidelidad).</w:t>
      </w:r>
    </w:p>
    <w:p>
      <w:pPr>
        <w:spacing w:after="60"/>
        <w:ind w:left="403"/>
      </w:pPr>
      <w:r>
        <w:t>8. Producir directrices de diseño, un método de autoría para el profesorado y un modelo de gobernanza de IA responsable.</w:t>
      </w:r>
    </w:p>
    <w:p>
      <w:pPr>
        <w:spacing w:after="120"/>
      </w:pPr>
      <w:r>
        <w:rPr>
          <w:b/>
        </w:rPr>
        <w:t>Preguntas de investigación e hipótesis.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PI1 (diseño).</w:t>
      </w:r>
      <w:r>
        <w:t xml:space="preserve"> ¿Qué principios constituyen un MLLDE mobile-native eficaz para la escritura y el habla?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PI2 (escritura).</w:t>
      </w:r>
      <w:r>
        <w:t xml:space="preserve"> ¿Cómo afecta el AWJ al control del metadiscurso y a la escritura crítica con IA frente a una condición de base? — </w:t>
      </w:r>
      <w:r>
        <w:rPr>
          <w:b/>
        </w:rPr>
        <w:t>H1:</w:t>
      </w:r>
      <w:r>
        <w:t xml:space="preserve"> mayores ganancias pre/post en metadiscurso interpersonal y en la discriminación humano-vs-LLM.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PI3 (mecanismos).</w:t>
      </w:r>
      <w:r>
        <w:t xml:space="preserve"> ¿Efectos de los ejercicios humano-vs-LLM, el andamiaje sin dar respuestas y las pistas animadas? — </w:t>
      </w:r>
      <w:r>
        <w:rPr>
          <w:b/>
        </w:rPr>
        <w:t>H2:</w:t>
      </w:r>
      <w:r>
        <w:t xml:space="preserve"> el andamiaje sin dar respuestas aumenta la producción del aprendiz; </w:t>
      </w:r>
      <w:r>
        <w:rPr>
          <w:b/>
        </w:rPr>
        <w:t>H3:</w:t>
      </w:r>
      <w:r>
        <w:t xml:space="preserve"> las pistas animadas con imagen mejoran el recuerdo / reducen la carga cognitiva.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PI4 (habla, por tiers).</w:t>
      </w:r>
      <w:r>
        <w:t xml:space="preserve"> ¿Puede formalizarse la evidencia de voz/acústica como un perfil xAPI válido, interoperable y alineado al MCER </w:t>
      </w:r>
      <w:r>
        <w:rPr>
          <w:b/>
        </w:rPr>
        <w:t>en tres tiers de evidencia</w:t>
      </w:r>
      <w:r>
        <w:t xml:space="preserve"> (rúbrica-sobre-ASR → instrumentado → GOP a medida), y qué gana la validez en cada tier? ¿Cuál es el </w:t>
      </w:r>
      <w:r>
        <w:rPr>
          <w:b/>
        </w:rPr>
        <w:t>piso de inteligibilidad</w:t>
      </w:r>
      <w:r>
        <w:t xml:space="preserve"> defendible por tier? — </w:t>
      </w:r>
      <w:r>
        <w:rPr>
          <w:b/>
        </w:rPr>
        <w:t>H4:</w:t>
      </w:r>
      <w:r>
        <w:t xml:space="preserve"> las puntuaciones acústicas mapeadas por xAPI concuerdan con valoraciones expertas del MCER y mejoran frente a una condición sin retroalimentación; cada tier añade señal sin romper el anterior.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PI4b (validez de la medición y honestidad como método).</w:t>
      </w:r>
      <w:r>
        <w:t xml:space="preserve"> ¿Una rúbrica MCER aplicada por un LLM sobre la transcripción ASR (Tier 1) produce bandas que </w:t>
      </w:r>
      <w:r>
        <w:rPr>
          <w:b/>
        </w:rPr>
        <w:t>concuerdan con jueces humanos expertos</w:t>
      </w:r>
      <w:r>
        <w:t xml:space="preserve"> y son </w:t>
      </w:r>
      <w:r>
        <w:rPr>
          <w:b/>
        </w:rPr>
        <w:t>estables según el tamaño del modelo</w:t>
      </w:r>
      <w:r>
        <w:t xml:space="preserve">; y la </w:t>
      </w:r>
      <w:r>
        <w:rPr>
          <w:b/>
        </w:rPr>
        <w:t>política de honestidad</w:t>
      </w:r>
      <w:r>
        <w:t xml:space="preserve"> —un </w:t>
      </w:r>
      <w:r>
        <w:rPr>
          <w:b/>
        </w:rPr>
        <w:t>motor determinista</w:t>
      </w:r>
      <w:r>
        <w:t xml:space="preserve"> (no un LLM) asigna la banda, cada afirmación declara su tier, las destrezas no medidas muestran «—» y todas las superficies se unifican sobre una sola verdad (LRS)— evita el sobre-reclamo y las puntuaciones alucinadas? — </w:t>
      </w:r>
      <w:r>
        <w:rPr>
          <w:b/>
        </w:rPr>
        <w:t>H6:</w:t>
      </w:r>
      <w:r>
        <w:t xml:space="preserve"> el acuerdo LLM–humano en Tier 1 es aceptable y estable, y la unificación de superficies resiste la alucinación.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PI5 (transferibilidad).</w:t>
      </w:r>
      <w:r>
        <w:t xml:space="preserve"> ¿Es MLLDE replicable entre implementaciones, niveles del MCER y lenguas? — </w:t>
      </w:r>
      <w:r>
        <w:rPr>
          <w:b/>
        </w:rPr>
        <w:t>H5:</w:t>
      </w:r>
      <w:r>
        <w:t xml:space="preserve"> un motor compartido crea nuevas instancias con menor esfuerzo y fidelidad preservada.</w:t>
      </w:r>
    </w:p>
    <w:p>
      <w:pPr>
        <w:pStyle w:val="Heading2"/>
      </w:pPr>
      <w:r>
        <w:rPr>
          <w:color w:val="22307C"/>
          <w:sz w:val="26"/>
        </w:rPr>
        <w:t>6. Metodología a utilizar</w:t>
      </w:r>
    </w:p>
    <w:p>
      <w:pPr>
        <w:spacing w:after="120"/>
      </w:pPr>
      <w:r>
        <w:rPr>
          <w:b/>
        </w:rPr>
        <w:t>Enfoque.</w:t>
      </w:r>
      <w:r>
        <w:t xml:space="preserve"> Investigación Basada en Diseño (Anderson y Shattuck, 2012) con ciclos de construcción según el Successive Approximation Model (Allen y Sites, 2012: Preparación → Alfa → Beta → Gold), ya empleado en el AWJ y el prototipo mobile-native. Tareas y resultados previstos: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Resultado previsto</w:t>
            </w:r>
          </w:p>
        </w:tc>
      </w:tr>
      <w:tr>
        <w:tc>
          <w:tcPr>
            <w:tcW w:type="dxa" w:w="3360"/>
          </w:tcPr>
          <w:p>
            <w:r>
              <w:t>T1</w:t>
            </w:r>
          </w:p>
        </w:tc>
        <w:tc>
          <w:tcPr>
            <w:tcW w:type="dxa" w:w="3360"/>
          </w:tcPr>
          <w:p>
            <w:r>
              <w:t>Formalizar MLLDE; validación experta (Delphi) del marco, el esquema mobile-native y el perfil xAPI</w:t>
            </w:r>
          </w:p>
        </w:tc>
        <w:tc>
          <w:tcPr>
            <w:tcW w:type="dxa" w:w="3360"/>
          </w:tcPr>
          <w:p>
            <w:r>
              <w:t>Marco + esquema validados</w:t>
            </w:r>
          </w:p>
        </w:tc>
      </w:tr>
      <w:tr>
        <w:tc>
          <w:tcPr>
            <w:tcW w:type="dxa" w:w="3360"/>
          </w:tcPr>
          <w:p>
            <w:r>
              <w:t>T2</w:t>
            </w:r>
          </w:p>
        </w:tc>
        <w:tc>
          <w:tcPr>
            <w:tcW w:type="dxa" w:w="3360"/>
          </w:tcPr>
          <w:p>
            <w:r>
              <w:t>Refinar el AWJ y el prototipo mobile-native — incluidos los Niveles 5 y 6 del AWJ (Output: escritura y habla/conference pitch) reconstruidos en entorno mobile-native como sede del módulo acústico</w:t>
            </w:r>
          </w:p>
        </w:tc>
        <w:tc>
          <w:tcPr>
            <w:tcW w:type="dxa" w:w="3360"/>
          </w:tcPr>
          <w:p>
            <w:r>
              <w:t>Prototipos gold mobile-native</w:t>
            </w:r>
          </w:p>
        </w:tc>
      </w:tr>
      <w:tr>
        <w:tc>
          <w:tcPr>
            <w:tcW w:type="dxa" w:w="3360"/>
          </w:tcPr>
          <w:p>
            <w:r>
              <w:t>T3</w:t>
            </w:r>
          </w:p>
        </w:tc>
        <w:tc>
          <w:tcPr>
            <w:tcW w:type="dxa" w:w="3360"/>
          </w:tcPr>
          <w:p>
            <w:r>
              <w:t>Piloto del AWJ: medidas de metadiscurso pre/post + tarea humano-vs-LLM</w:t>
            </w:r>
          </w:p>
        </w:tc>
        <w:tc>
          <w:tcPr>
            <w:tcW w:type="dxa" w:w="3360"/>
          </w:tcPr>
          <w:p>
            <w:r>
              <w:t>Datos de resultado en escritura/alfabetización en IA</w:t>
            </w:r>
          </w:p>
        </w:tc>
      </w:tr>
      <w:tr>
        <w:tc>
          <w:tcPr>
            <w:tcW w:type="dxa" w:w="3360"/>
          </w:tcPr>
          <w:p>
            <w:r>
              <w:t>T4</w:t>
            </w:r>
          </w:p>
        </w:tc>
        <w:tc>
          <w:tcPr>
            <w:tcW w:type="dxa" w:w="3360"/>
          </w:tcPr>
          <w:p>
            <w:r>
              <w:t>Experimentos de mecanismo (andamiaje; pistas)</w:t>
            </w:r>
          </w:p>
        </w:tc>
        <w:tc>
          <w:tcPr>
            <w:tcW w:type="dxa" w:w="3360"/>
          </w:tcPr>
          <w:p>
            <w:r>
              <w:t>Evidencia causal de mecanismos</w:t>
            </w:r>
          </w:p>
        </w:tc>
      </w:tr>
      <w:tr>
        <w:tc>
          <w:tcPr>
            <w:tcW w:type="dxa" w:w="3360"/>
          </w:tcPr>
          <w:p>
            <w:r>
              <w:t>T5</w:t>
            </w:r>
          </w:p>
        </w:tc>
        <w:tc>
          <w:tcPr>
            <w:tcW w:type="dxa" w:w="3360"/>
          </w:tcPr>
          <w:p>
            <w:r>
              <w:t xml:space="preserve">Extender el mentor basado en lenguaje </w:t>
            </w:r>
            <w:r>
              <w:rPr>
                <w:i/>
              </w:rPr>
              <w:t>PhD Chema</w:t>
            </w:r>
            <w:r>
              <w:t xml:space="preserve"> con un canal acústico de pronunciación (ASR/GOP) + construir el Measurement Module sobre los Niveles 5–6 del AWJ mobile-native; validar el xAPI acústico frente a valoraciones expertas del MCER</w:t>
            </w:r>
          </w:p>
        </w:tc>
        <w:tc>
          <w:tcPr>
            <w:tcW w:type="dxa" w:w="3360"/>
          </w:tcPr>
          <w:p>
            <w:r>
              <w:t>Evidencia de pronunciación interoperable</w:t>
            </w:r>
          </w:p>
        </w:tc>
      </w:tr>
      <w:tr>
        <w:tc>
          <w:tcPr>
            <w:tcW w:type="dxa" w:w="3360"/>
          </w:tcPr>
          <w:p>
            <w:r>
              <w:t>T6</w:t>
            </w:r>
          </w:p>
        </w:tc>
        <w:tc>
          <w:tcPr>
            <w:tcW w:type="dxa" w:w="3360"/>
          </w:tcPr>
          <w:p>
            <w:r>
              <w:t>Replicación: nuevos niveles/destinos/lenguas; interoperabilidad con LRS</w:t>
            </w:r>
          </w:p>
        </w:tc>
        <w:tc>
          <w:tcPr>
            <w:tcW w:type="dxa" w:w="3360"/>
          </w:tcPr>
          <w:p>
            <w:r>
              <w:t>Datos de replicabilidad + fidelidad</w:t>
            </w:r>
          </w:p>
        </w:tc>
      </w:tr>
      <w:tr>
        <w:tc>
          <w:tcPr>
            <w:tcW w:type="dxa" w:w="3360"/>
          </w:tcPr>
          <w:p>
            <w:r>
              <w:t>T7</w:t>
            </w:r>
          </w:p>
        </w:tc>
        <w:tc>
          <w:tcPr>
            <w:tcW w:type="dxa" w:w="3360"/>
          </w:tcPr>
          <w:p>
            <w:r>
              <w:t>Síntesis; directrices; método de autoría; modelo de gobernanza</w:t>
            </w:r>
          </w:p>
        </w:tc>
        <w:tc>
          <w:tcPr>
            <w:tcW w:type="dxa" w:w="3360"/>
          </w:tcPr>
          <w:p>
            <w:r>
              <w:t>Principios de diseño + tesis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Participantes y reclutamiento.</w:t>
      </w:r>
      <w:r>
        <w:t xml:space="preserve"> La muestra principal es </w:t>
      </w:r>
      <w:r>
        <w:rPr>
          <w:b/>
        </w:rPr>
        <w:t>alumnado adulto de inglés académico (B2→C1)</w:t>
      </w:r>
      <w:r>
        <w:t xml:space="preserve"> —la población para la que se diseñó el AWJ—, reclutada de una cohorte amplia y ya disponible (</w:t>
      </w:r>
      <w:r>
        <w:rPr>
          <w:b/>
        </w:rPr>
        <w:t>~300 aprendices al año</w:t>
      </w:r>
      <w:r>
        <w:t xml:space="preserve">) a través del codirector, Prof. Casañ-Pitarch, lo que ofrece un grupo ecológicamente válido y con potencia suficiente para el piloto de escritura / alfabetización en IA (T3) y para la </w:t>
      </w:r>
      <w:r>
        <w:rPr>
          <w:b/>
        </w:rPr>
        <w:t>aplicación mobile-native de inglés académico</w:t>
      </w:r>
      <w:r>
        <w:t xml:space="preserve"> —el AWJ llevado a mobile-native, con un </w:t>
      </w:r>
      <w:r>
        <w:rPr>
          <w:b/>
        </w:rPr>
        <w:t>modo voz y un sistema de evaluación integrado</w:t>
      </w:r>
      <w:r>
        <w:t>— que aloja el módulo de habla / pronunciación (</w:t>
      </w:r>
      <w:r>
        <w:rPr>
          <w:b/>
        </w:rPr>
        <w:t>Architecture Voice Design</w:t>
      </w:r>
      <w:r>
        <w:t xml:space="preserve"> + el </w:t>
      </w:r>
      <w:r>
        <w:rPr>
          <w:b/>
        </w:rPr>
        <w:t>Measurement Module</w:t>
      </w:r>
      <w:r>
        <w:t xml:space="preserve">: evaluación de pronunciación alineada al MCER en xAPI; T5). Durante el doctorado, esta app mobile-native de inglés académico —modo voz </w:t>
      </w:r>
      <w:r>
        <w:rPr>
          <w:b/>
        </w:rPr>
        <w:t>más</w:t>
      </w:r>
      <w:r>
        <w:t xml:space="preserve"> su sistema de evaluación— es el artefacto principal que se construye y se evalúa. El </w:t>
      </w:r>
      <w:r>
        <w:rPr>
          <w:b/>
        </w:rPr>
        <w:t>estudio de replicación (T6)</w:t>
      </w:r>
      <w:r>
        <w:t xml:space="preserve"> extiende después el método al </w:t>
      </w:r>
      <w:r>
        <w:rPr>
          <w:b/>
        </w:rPr>
        <w:t>español</w:t>
      </w:r>
      <w:r>
        <w:t xml:space="preserve"> (A1–A2, vía el prototipo móvil </w:t>
      </w:r>
      <w:r>
        <w:rPr>
          <w:i/>
        </w:rPr>
        <w:t>Language Passport</w:t>
      </w:r>
      <w:r>
        <w:t>) y a otros niveles del MCER y lenguas, probando la transferibilidad entre lenguas. El tamaño y el muestreo, así como el reclutamiento de una cohorte de español vía los servicios de idiomas de la UPV, se finalizarán con la dirección y el comité de ética.</w:t>
      </w:r>
    </w:p>
    <w:p>
      <w:pPr>
        <w:spacing w:after="120"/>
      </w:pPr>
      <w:r>
        <w:rPr>
          <w:b/>
        </w:rPr>
        <w:t>El Measurement Module y los tres tiers de evidencia.</w:t>
      </w:r>
      <w:r>
        <w:t xml:space="preserve"> La evidencia de habla se desarrolla bajo una arquitectura </w:t>
      </w:r>
      <w:r>
        <w:rPr>
          <w:b/>
        </w:rPr>
        <w:t>Measure ≠ Decide</w:t>
      </w:r>
      <w:r>
        <w:t xml:space="preserve">: tres agentes LLM que observan describen la interacción mientras un </w:t>
      </w:r>
      <w:r>
        <w:rPr>
          <w:b/>
        </w:rPr>
        <w:t>motor determinista</w:t>
      </w:r>
      <w:r>
        <w:t xml:space="preserve"> (código, no un 4.º LLM) computa la banda MCER 0–10 (</w:t>
      </w:r>
      <w:r>
        <w:rPr>
          <w:rFonts w:ascii="Consolas" w:hAnsi="Consolas"/>
        </w:rPr>
        <w:t>Global×5 + analíticas×2 ÷ pool × 10</w:t>
      </w:r>
      <w:r>
        <w:t xml:space="preserve">) y emite una sola sentencia xAPI; un </w:t>
      </w:r>
      <w:r>
        <w:rPr>
          <w:b/>
        </w:rPr>
        <w:t>flujo de medición</w:t>
      </w:r>
      <w:r>
        <w:t xml:space="preserve"> (una vez por sesión) queda aislado por cortafuegos de un </w:t>
      </w:r>
      <w:r>
        <w:rPr>
          <w:b/>
        </w:rPr>
        <w:t>flujo de pedagogía</w:t>
      </w:r>
      <w:r>
        <w:t xml:space="preserve"> (por turno, que nunca puntúa). La pronunciación se construye en tres tiers — </w:t>
      </w:r>
      <w:r>
        <w:rPr>
          <w:b/>
        </w:rPr>
        <w:t>Tier 1</w:t>
      </w:r>
      <w:r>
        <w:t xml:space="preserve"> rúbrica MCER sobre la transcripción ASR (en producción), </w:t>
      </w:r>
      <w:r>
        <w:rPr>
          <w:b/>
        </w:rPr>
        <w:t>Tier 2</w:t>
      </w:r>
      <w:r>
        <w:t xml:space="preserve"> puntuación de pronunciación instrumentada de proveedor (p. ej. Azure Pronunciation Assessment), </w:t>
      </w:r>
      <w:r>
        <w:rPr>
          <w:b/>
        </w:rPr>
        <w:t>Tier 3</w:t>
      </w:r>
      <w:r>
        <w:t xml:space="preserve"> un modelo propio de Goodness-of-Pronunciation con </w:t>
      </w:r>
      <w:r>
        <w:rPr>
          <w:b/>
        </w:rPr>
        <w:t>inventario IPA por nivel</w:t>
      </w:r>
      <w:r>
        <w:t xml:space="preserve"> (Witt &amp; Young, 2000) — cada uno declarando su </w:t>
      </w:r>
      <w:r>
        <w:rPr>
          <w:rFonts w:ascii="Consolas" w:hAnsi="Consolas"/>
        </w:rPr>
        <w:t>measure_model</w:t>
      </w:r>
      <w:r>
        <w:t xml:space="preserve"> para comparabilidad y regido por una </w:t>
      </w:r>
      <w:r>
        <w:rPr>
          <w:b/>
        </w:rPr>
        <w:t>política de honestidad de la evidencia</w:t>
      </w:r>
      <w:r>
        <w:t xml:space="preserve">: una afirmación nunca excede la precisión de su tier, las destrezas no medidas muestran «—», las variantes aceptadas (p. ej. </w:t>
      </w:r>
      <w:r>
        <w:rPr>
          <w:i/>
        </w:rPr>
        <w:t>seseo</w:t>
      </w:r>
      <w:r>
        <w:t>/</w:t>
      </w:r>
      <w:r>
        <w:rPr>
          <w:i/>
        </w:rPr>
        <w:t>distinción</w:t>
      </w:r>
      <w:r>
        <w:t xml:space="preserve">) nunca bajan una puntuación (IPA, 1999), y una </w:t>
      </w:r>
      <w:r>
        <w:rPr>
          <w:b/>
        </w:rPr>
        <w:t>puerta acústica</w:t>
      </w:r>
      <w:r>
        <w:t xml:space="preserve"> (confianza ASR 0.70) convierte los turnos de baja confianza en incidentes que no puntúan. El feedback se dosifica con una </w:t>
      </w:r>
      <w:r>
        <w:rPr>
          <w:b/>
        </w:rPr>
        <w:t>escala de noticing (0–4)</w:t>
      </w:r>
      <w:r>
        <w:t xml:space="preserve"> ajustada al nivel MCER (modelar A2–B1, elicitar B2+; Schmidt, 1990) dentro de una lógica </w:t>
      </w:r>
      <w:r>
        <w:rPr>
          <w:i/>
        </w:rPr>
        <w:t>i+1</w:t>
      </w:r>
      <w:r>
        <w:t xml:space="preserve"> (Krashen, 1985).</w:t>
      </w:r>
    </w:p>
    <w:p>
      <w:pPr>
        <w:spacing w:after="120"/>
      </w:pPr>
      <w:r>
        <w:rPr>
          <w:b/>
        </w:rPr>
        <w:t>Estudio de validez del Tier 1.</w:t>
      </w:r>
      <w:r>
        <w:t xml:space="preserve"> Las bandas de la rúbrica-LLM se contrastan con </w:t>
      </w:r>
      <w:r>
        <w:rPr>
          <w:b/>
        </w:rPr>
        <w:t>valoraciones humanas expertas</w:t>
      </w:r>
      <w:r>
        <w:t xml:space="preserve"> (acuerdo), su </w:t>
      </w:r>
      <w:r>
        <w:rPr>
          <w:b/>
        </w:rPr>
        <w:t>estabilidad test–retest</w:t>
      </w:r>
      <w:r>
        <w:t xml:space="preserve"> y su </w:t>
      </w:r>
      <w:r>
        <w:rPr>
          <w:b/>
        </w:rPr>
        <w:t>sensibilidad al tamaño del modelo</w:t>
      </w:r>
      <w:r>
        <w:t xml:space="preserve">; una </w:t>
      </w:r>
      <w:r>
        <w:rPr>
          <w:b/>
        </w:rPr>
        <w:t>auditoría de integridad</w:t>
      </w:r>
      <w:r>
        <w:t xml:space="preserve"> (revisión por paneles + agentes, con un «H0 watchdog» que marca cualquier descriptor pintado como banda) verifica que ninguna superficie sobre-reclama. Los informes por actor (alumno · profesor · RR.HH.) usan un marco de evaluación </w:t>
      </w:r>
      <w:r>
        <w:rPr>
          <w:b/>
        </w:rPr>
        <w:t>Kirkpatrick / Phillips</w:t>
      </w:r>
      <w:r>
        <w:t xml:space="preserve">, con alineación </w:t>
      </w:r>
      <w:r>
        <w:rPr>
          <w:b/>
        </w:rPr>
        <w:t>ESCO</w:t>
      </w:r>
      <w:r>
        <w:t xml:space="preserve"> opcional.</w:t>
      </w:r>
    </w:p>
    <w:p>
      <w:pPr>
        <w:spacing w:after="120"/>
      </w:pPr>
      <w:r>
        <w:rPr>
          <w:b/>
        </w:rPr>
        <w:t>Instrumentos y datos.</w:t>
      </w:r>
      <w:r>
        <w:t xml:space="preserve"> </w:t>
      </w:r>
      <w:r>
        <w:rPr>
          <w:i/>
        </w:rPr>
        <w:t>Escritura:</w:t>
      </w:r>
      <w:r>
        <w:t xml:space="preserve"> rúbrica de escritura del MCER; medidas de metadiscurso pre/post basadas en METOOL (Carrió-Pastor, 2020); tarea de discriminación humano-vs-LLM. </w:t>
      </w:r>
      <w:r>
        <w:rPr>
          <w:i/>
        </w:rPr>
        <w:t>Habla:</w:t>
      </w:r>
      <w:r>
        <w:t xml:space="preserve"> medidas acústicas (precisión fonémica, acento, ritmo, entonación, velocidad de habla, fluidez, inteligibilidad) vía ASR/GOP, mapeadas por el perfil xAPI y validadas frente a valoraciones expertas de competencia fonológica del MCER. </w:t>
      </w:r>
      <w:r>
        <w:rPr>
          <w:i/>
        </w:rPr>
        <w:t>Comunes:</w:t>
      </w:r>
      <w:r>
        <w:t xml:space="preserve"> escalas de autoeficacia/motivación; telemetría de la app + sentencias xAPI (telemetría dual: desempeño del aprendiz + acto docente de la IA); System Usability Scale; medidas de carga cognitiva; entrevistas, protocolos de pensamiento en voz alta, revisiones de expertos. </w:t>
      </w:r>
      <w:r>
        <w:rPr>
          <w:i/>
        </w:rPr>
        <w:t>Análisis:</w:t>
      </w:r>
      <w:r>
        <w:t xml:space="preserve"> métodos mixtos — estadística inferencial (pre/post, entre condiciones) triangulada con análisis temático.</w:t>
      </w:r>
    </w:p>
    <w:p>
      <w:pPr>
        <w:spacing w:after="120"/>
      </w:pPr>
      <w:r>
        <w:rPr>
          <w:b/>
        </w:rPr>
        <w:t>Evaluación crítica de dificultades y plan de contingencia.</w:t>
      </w:r>
      <w:r>
        <w:t xml:space="preserve"> (i) Etiquetado por un solo codificador (limitación del TFM) → fiabilidad interjueces y comprobaciones test–retest. (ii) Reclutamiento/tamaño muestral → programas asociados; diseños intrasujeto; criterios de éxito preregistrados. (iii) Fiabilidad del mentor de IA → prompts restringidos que no dan respuestas; revisión humana; la IA como apoyo, no como único punto de fallo. (iv) Riesgo de interoperabilidad xAPI/LRS → adoptar la norma consolidada IEEE 9274.1.1-2023; validación experta antes de escalar. (v) Ética/regulación → RGPD desde el diseño (seudonimizado, en cliente cuando sea posible), Reglamento de IA de la UE (art. 50: transparencia + registro/supervisión humana), accesibilidad LEA/WCAG; aprobación del comité de ética de la UPV antes de la recogida de datos.</w:t>
      </w:r>
    </w:p>
    <w:p>
      <w:pPr>
        <w:pStyle w:val="Heading2"/>
      </w:pPr>
      <w:r>
        <w:rPr>
          <w:color w:val="22307C"/>
          <w:sz w:val="26"/>
        </w:rPr>
        <w:t>7. Medios a utilizar</w:t>
      </w:r>
    </w:p>
    <w:p>
      <w:pPr>
        <w:spacing w:after="120"/>
      </w:pPr>
      <w:r>
        <w:t xml:space="preserve">Biblioteca y bases de datos de la UPV; el etiquetador METOOL (Carrió-Pastor, 2020) y el corpus/flujo de trabajo del TFM; prototipos mobile-native existentes (AWJ y un prototipo móvil gamificado) y conjunto de herramientas de diseño (Canva, Articulate 360 Rise, HTML/PWA); tutores conversacionales LLM (p. ej. Claude de Anthropic y otros modelos de la familia GPT) — el recurso central de alfabetización en IA, que impulsa el mentor conversacional basado en lenguaje </w:t>
      </w:r>
      <w:r>
        <w:rPr>
          <w:i/>
        </w:rPr>
        <w:t>PhD Chema</w:t>
      </w:r>
      <w:r>
        <w:t xml:space="preserve"> (un GPT personalizado), el andamiaje sin dar respuestas y los ejercicios de comparación humano-vs-LLM, usados bajo el modelo de gobernanza de IA responsable; herramientas de evaluación del habla ASR/GOP y captura de audio en dispositivos móviles; un Learning Record Store conformante (Veracity) para registros y paneles xAPI (IEEE 9274.1.1-2023), más un servicio de evaluación de pronunciación de proveedor (p. ej. Azure) para el tier instrumentado; software estadístico (p. ej. R/JASP) y de análisis cualitativo; acceso a cohortes de aprendices vía servicios de idiomas de la UPV / programas asociados. No se requiere equipamiento especializado más allá de dispositivos móviles.</w:t>
      </w:r>
    </w:p>
    <w:p>
      <w:pPr>
        <w:pStyle w:val="Heading2"/>
      </w:pPr>
      <w:r>
        <w:rPr>
          <w:color w:val="22307C"/>
          <w:sz w:val="26"/>
        </w:rPr>
        <w:t>8. Planificación temporal y utilidad de la investigación</w:t>
      </w:r>
    </w:p>
    <w:p>
      <w:pPr>
        <w:spacing w:after="120"/>
      </w:pPr>
      <w:r>
        <w:rPr>
          <w:b/>
        </w:rPr>
        <w:t>Cronograma (vinculado a las tareas del §6).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Año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Tareas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Hitos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T1–T2</w:t>
            </w:r>
          </w:p>
        </w:tc>
        <w:tc>
          <w:tcPr>
            <w:tcW w:type="dxa" w:w="3360"/>
          </w:tcPr>
          <w:p>
            <w:r>
              <w:t>Artículo de marco; esquema mobile-native validado; perfil xAPI v1; aprobación ética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T3–T5</w:t>
            </w:r>
          </w:p>
        </w:tc>
        <w:tc>
          <w:tcPr>
            <w:tcW w:type="dxa" w:w="3360"/>
          </w:tcPr>
          <w:p>
            <w:r>
              <w:t>Artículos de resultados + mecanismos; resultados del piloto AWJ; validación del xAPI acústico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T6–T7</w:t>
            </w:r>
          </w:p>
        </w:tc>
        <w:tc>
          <w:tcPr>
            <w:tcW w:type="dxa" w:w="3360"/>
          </w:tcPr>
          <w:p>
            <w:r>
              <w:t>Artículos de replicabilidad + interoperabilidad; directrices; tesis; defensa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</w:rPr>
        <w:t>(La modalidad a tiempo parcial extiende esto a ~5 años.)</w:t>
      </w:r>
    </w:p>
    <w:p>
      <w:pPr>
        <w:spacing w:after="120"/>
      </w:pPr>
      <w:r>
        <w:rPr>
          <w:i/>
        </w:rPr>
        <w:t>Hoja de ruta de medición (tiers de evidencia).</w:t>
      </w:r>
      <w:r>
        <w:t xml:space="preserve"> </w:t>
      </w:r>
      <w:r>
        <w:rPr>
          <w:b/>
        </w:rPr>
        <w:t>Tier 1</w:t>
      </w:r>
      <w:r>
        <w:t xml:space="preserve"> — en producción y verificado (LRS vivo; medición interina en un modelo pequeño, declarada por sesión). </w:t>
      </w:r>
      <w:r>
        <w:rPr>
          <w:b/>
        </w:rPr>
        <w:t>Tier 2</w:t>
      </w:r>
      <w:r>
        <w:t xml:space="preserve"> — planificado: integrar evaluación de pronunciación de proveedor para encender la banda de Pronunciación (hoy «—»). </w:t>
      </w:r>
      <w:r>
        <w:rPr>
          <w:b/>
        </w:rPr>
        <w:t>Tier 3</w:t>
      </w:r>
      <w:r>
        <w:t xml:space="preserve"> — investigación: inventario IPA por nivel + modelo GOP a medida (la contribución fonémica del PhD). </w:t>
      </w:r>
      <w:r>
        <w:rPr>
          <w:i/>
        </w:rPr>
        <w:t>Transversal:</w:t>
      </w:r>
      <w:r>
        <w:t xml:space="preserve"> validar el uptake del noticing y la fiabilidad del scoring rúbrica-LLM según el tamaño del modelo.</w:t>
      </w:r>
    </w:p>
    <w:p>
      <w:pPr>
        <w:spacing w:after="120"/>
      </w:pPr>
      <w:r>
        <w:rPr>
          <w:b/>
        </w:rPr>
        <w:t>Utilidad e impacto.</w:t>
      </w:r>
      <w:r>
        <w:t xml:space="preserve"> Esta investigación se sitúa en el cruce de cuatro campos — </w:t>
      </w:r>
      <w:r>
        <w:rPr>
          <w:b/>
        </w:rPr>
        <w:t>IA en educación</w:t>
      </w:r>
      <w:r>
        <w:t xml:space="preserve"> (alfabetización en IA como resultado diseñado), </w:t>
      </w:r>
      <w:r>
        <w:rPr>
          <w:b/>
        </w:rPr>
        <w:t>evaluación de lenguas</w:t>
      </w:r>
      <w:r>
        <w:t xml:space="preserve"> (medición anclada al MCER e interoperable en xAPI, de escritura y habla), </w:t>
      </w:r>
      <w:r>
        <w:rPr>
          <w:b/>
        </w:rPr>
        <w:t>PLN aplicado / interacción persona–IA</w:t>
      </w:r>
      <w:r>
        <w:t xml:space="preserve"> (un tutor conversacional con andamiaje responsable) e </w:t>
      </w:r>
      <w:r>
        <w:rPr>
          <w:b/>
        </w:rPr>
        <w:t>IA responsable</w:t>
      </w:r>
      <w:r>
        <w:t xml:space="preserve"> (transparencia del art. 50, supervisión humana y RGPD desde el diseño); su aportación es integrarlos en un único entorno medible y creable por el profesorado. </w:t>
      </w:r>
      <w:r>
        <w:rPr>
          <w:i/>
        </w:rPr>
        <w:t>Científico:</w:t>
      </w:r>
      <w:r>
        <w:t xml:space="preserve"> un marco de entorno mobile-native, principios de diseño empíricamente fundamentados y un perfil xAPI alineado al MCER que porta evidencia tanto de metadiscurso (escritura) como acústica (habla) — contribuyendo a la investigación en alfabetización en IA, metadiscurso/EAP, MALL, CLIL y analítica del aprendizaje (difusión nacional e internacional). </w:t>
      </w:r>
      <w:r>
        <w:rPr>
          <w:i/>
        </w:rPr>
        <w:t>Social/educativo:</w:t>
      </w:r>
      <w:r>
        <w:t xml:space="preserve"> competencias de escritura y habla críticas con IA que apoyan el acceso equitativo a una educación superior de calidad y la empleabilidad (ODS 4.3–4.4), en un formato accesible, creable por el profesorado y pensado para el móvil. </w:t>
      </w:r>
      <w:r>
        <w:rPr>
          <w:i/>
        </w:rPr>
        <w:t>Económico/técnico:</w:t>
      </w:r>
      <w:r>
        <w:t xml:space="preserve"> un modelo de autoría engine + data que permite al profesorado construir lecciones mobile-native sin programar, y registros de aprendizaje interoperables reutilizables entre LMS/LRS.</w:t>
      </w:r>
    </w:p>
    <w:p>
      <w:pPr>
        <w:pStyle w:val="Heading2"/>
      </w:pPr>
      <w:r>
        <w:rPr>
          <w:color w:val="22307C"/>
          <w:sz w:val="26"/>
        </w:rPr>
        <w:t>9. Plan de formación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Cursos transversales/metodológicos:</w:t>
      </w:r>
      <w:r>
        <w:t xml:space="preserve"> metodología de investigación, estadística para lingüística, herramientas de corpus, analítica del aprendizaje/xAPI, ética de la investigación y ciencia abierta (Escuela de Doctorado de la UPV).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Seminarios de especialidad:</w:t>
      </w:r>
      <w:r>
        <w:t xml:space="preserve"> lingüística aplicada, CALL/MALL, gamificación, IA generativa en educación (bajo la dirección del profesorado supervisor).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Congresos (difusión):</w:t>
      </w:r>
      <w:r>
        <w:t xml:space="preserve"> p. ej. EUROCALL, EATAW, AESLA y foros de lingüística aplicada / EdTech — uno por año.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Movilidad:</w:t>
      </w:r>
      <w:r>
        <w:t xml:space="preserve"> una estancia de investigación en un grupo internacional de CALL / analítica del aprendizaje / evaluación de la pronunciación.</w:t>
      </w:r>
    </w:p>
    <w:p>
      <w:pPr>
        <w:spacing w:after="60"/>
        <w:ind w:left="403"/>
      </w:pPr>
      <w:r>
        <w:t xml:space="preserve">•  </w:t>
      </w:r>
      <w:r>
        <w:rPr>
          <w:b/>
        </w:rPr>
        <w:t>Publicaciones:</w:t>
      </w:r>
      <w:r>
        <w:t xml:space="preserve"> artículo de marco (año 1); artículos de resultados/mecanismos y de xAPI acústico (año 2); artículo de replicabilidad/interoperabilidad (año 3).</w:t>
      </w:r>
    </w:p>
    <w:p>
      <w:pPr>
        <w:spacing w:after="120"/>
      </w:pPr>
      <w:r>
        <w:t>Este plan se desarrolla bajo la dirección de la Prof.ª Mª Luisa Carrió-Pastor —por su inestimable aportación al ámbito científico y a la lingüística aplicada— y la codirección del Prof. Ricardo Casañ-Pitarch, para continuar, a través de sus publicaciones sobre LLM, la integración responsable de los LLM en la enseñanza de lenguas. Para su presentación al Departamento de Lingüística Aplicada, Universitat Politècnica de València.</w:t>
      </w:r>
    </w:p>
    <w:p>
      <w:pPr>
        <w:spacing w:before="40" w:after="120"/>
        <w:pBdr>
          <w:bottom w:val="single" w:sz="6" w:space="1" w:color="D9DCEA"/>
        </w:pBdr>
      </w:pPr>
    </w:p>
    <w:p>
      <w:pPr>
        <w:spacing w:after="120"/>
      </w:pPr>
      <w:r>
        <w:rPr>
          <w:i/>
        </w:rPr>
        <w:t>Nota de transparencia:</w:t>
      </w:r>
      <w:r>
        <w:t xml:space="preserve"> Elaborado con asistencia de IA generativa. Revisado, editado y aprobado bajo la responsabilidad editorial de Ana Eslava-Graterol, diseñadora instruccional y profesional autónoma registrada en España (Reglamento (UE) 2024/1689 — Ley de IA, art. 50 — voluntario; material de autoría y verificación humanas).</w:t>
      </w:r>
    </w:p>
    <w:p>
      <w:pPr>
        <w:spacing w:after="120"/>
      </w:pPr>
      <w:r>
        <w:rPr>
          <w:i/>
        </w:rPr>
        <w:t>© 2026 Ana Eslava-Graterol. MLLDE.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E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MLLDE — Plan de Investigación</dc:title>
  <dc:subject/>
  <dc:creator>Ana Eslava-Graterol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