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42"/>
        </w:rPr>
        <w:t>Ana Zoraimy Eslava Graterol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Curriculum vitae académico · Solicitud de admisión a doctorado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1 · Datos personales y de contacto</w:t>
      </w:r>
    </w:p>
    <w:tbl>
      <w:tblPr>
        <w:tblW w:type="auto" w:w="0"/>
        <w:jc w:val="left"/>
        <w:tblBorders>
          <w:top w:val="single" w:sz="4" w:space="0" w:color="E6E8F2"/>
          <w:left w:val="single" w:sz="4" w:space="0" w:color="E6E8F2"/>
          <w:bottom w:val="single" w:sz="4" w:space="0" w:color="E6E8F2"/>
          <w:right w:val="single" w:sz="4" w:space="0" w:color="E6E8F2"/>
          <w:insideH w:val="single" w:sz="4" w:space="0" w:color="E6E8F2"/>
          <w:insideV w:val="single" w:sz="4" w:space="0" w:color="E6E8F2"/>
        </w:tblBorders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EF2FD"/>
          </w:tcPr>
          <w:p>
            <w:pPr>
              <w:spacing w:after="40"/>
            </w:pPr>
            <w:r/>
          </w:p>
        </w:tc>
        <w:tc>
          <w:tcPr>
            <w:tcW w:type="dxa" w:w="4824"/>
            <w:shd w:val="clear" w:color="auto" w:fill="EEF2FD"/>
          </w:tcPr>
          <w:p>
            <w:pPr>
              <w:spacing w:after="40"/>
            </w:pPr>
            <w:r/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Nombre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Ana Zoraimy Eslava Graterol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Correo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profeanaeslava@gmail.com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Teléfono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/>
                <w:color w:val="1C1E2E"/>
                <w:sz w:val="19"/>
              </w:rPr>
              <w:t>[completar]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Residencia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Valencia, España — disponibilidad inmediata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ORCID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https://orcid.org/0000-0002-8076-1189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LinkedIn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linkedin.com/in/anaeslava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/>
                <w:i w:val="0"/>
                <w:color w:val="1C1E2E"/>
                <w:sz w:val="19"/>
              </w:rPr>
              <w:t>Portafolio de investigación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Inter" w:hAnsi="Inter" w:cs="Inter"/>
                <w:b w:val="0"/>
                <w:i w:val="0"/>
                <w:color w:val="1C1E2E"/>
                <w:sz w:val="19"/>
              </w:rPr>
              <w:t>profeanaeslavaedtech.github.io/portofolio</w:t>
            </w:r>
          </w:p>
        </w:tc>
      </w:tr>
    </w:tbl>
    <w:p/>
    <w:p>
      <w:r>
        <w:rPr>
          <w:rFonts w:ascii="Inter" w:hAnsi="Inter" w:cs="Inter"/>
          <w:b/>
          <w:i w:val="0"/>
          <w:color w:val="1C1E2E"/>
          <w:sz w:val="22"/>
        </w:rPr>
        <w:t>Línea de investigación principal.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Lingüística aplicada a la enseñanza y </w:t>
      </w:r>
      <w:r>
        <w:rPr>
          <w:rFonts w:ascii="Inter" w:hAnsi="Inter" w:cs="Inter"/>
          <w:b/>
          <w:i w:val="0"/>
          <w:color w:val="1C1E2E"/>
          <w:sz w:val="22"/>
        </w:rPr>
        <w:t>evaluación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 lenguas mediada por tecnología. Marco propio </w:t>
      </w:r>
      <w:r>
        <w:rPr>
          <w:rFonts w:ascii="Inter" w:hAnsi="Inter" w:cs="Inter"/>
          <w:b/>
          <w:i w:val="0"/>
          <w:color w:val="1C1E2E"/>
          <w:sz w:val="22"/>
        </w:rPr>
        <w:t>MLLDE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</w:t>
      </w:r>
      <w:r>
        <w:rPr>
          <w:rFonts w:ascii="Inter" w:hAnsi="Inter" w:cs="Inter"/>
          <w:b w:val="0"/>
          <w:i/>
          <w:color w:val="1C1E2E"/>
          <w:sz w:val="22"/>
        </w:rPr>
        <w:t>Multimodal Language Learning Design &amp; Evaluation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), con dos pilares: </w:t>
      </w:r>
      <w:r>
        <w:rPr>
          <w:rFonts w:ascii="Inter" w:hAnsi="Inter" w:cs="Inter"/>
          <w:b/>
          <w:i w:val="0"/>
          <w:color w:val="1C1E2E"/>
          <w:sz w:val="22"/>
        </w:rPr>
        <w:t>diseño curricular móvil con la modalidad como variable declarada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(texto, audio, imagen, voz), y </w:t>
      </w:r>
      <w:r>
        <w:rPr>
          <w:rFonts w:ascii="Inter" w:hAnsi="Inter" w:cs="Inter"/>
          <w:b/>
          <w:i w:val="0"/>
          <w:color w:val="1C1E2E"/>
          <w:sz w:val="22"/>
        </w:rPr>
        <w:t>medición de la competencia oral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anclada al MCER bajo el principio </w:t>
      </w:r>
      <w:r>
        <w:rPr>
          <w:rFonts w:ascii="Inter" w:hAnsi="Inter" w:cs="Inter"/>
          <w:b w:val="0"/>
          <w:i/>
          <w:color w:val="1C1E2E"/>
          <w:sz w:val="22"/>
        </w:rPr>
        <w:t>Measure ≠ Decide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el modelo observa, un motor determinista decide — con un modelo de pronunciación por </w:t>
      </w:r>
      <w:r>
        <w:rPr>
          <w:rFonts w:ascii="Inter" w:hAnsi="Inter" w:cs="Inter"/>
          <w:b/>
          <w:i w:val="0"/>
          <w:color w:val="1C1E2E"/>
          <w:sz w:val="22"/>
        </w:rPr>
        <w:t>tres tiers de evidencia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trazabilidad en xAPI.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2 · Formación académica</w:t>
      </w:r>
    </w:p>
    <w:p>
      <w:r>
        <w:rPr>
          <w:rFonts w:ascii="Inter" w:hAnsi="Inter" w:cs="Inter"/>
          <w:b/>
          <w:i w:val="0"/>
          <w:color w:val="1C1E2E"/>
          <w:sz w:val="22"/>
        </w:rPr>
        <w:t>Máster Universitario en Lenguas y Tecnología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especialidad Didáctica</w:t>
      </w:r>
    </w:p>
    <w:p>
      <w:r>
        <w:rPr>
          <w:rFonts w:ascii="Inter" w:hAnsi="Inter" w:cs="Inter"/>
          <w:b w:val="0"/>
          <w:i/>
          <w:color w:val="1C1E2E"/>
          <w:sz w:val="22"/>
        </w:rPr>
        <w:t>Universitat Politècnica de València (UPV), España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</w:t>
      </w:r>
      <w:r>
        <w:rPr>
          <w:rFonts w:ascii="Inter" w:hAnsi="Inter" w:cs="Inter"/>
          <w:b/>
          <w:i w:val="0"/>
          <w:color w:val="1C1E2E"/>
          <w:sz w:val="22"/>
        </w:rPr>
        <w:t>julio de 2026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Nota media: 9,4 / 10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</w:t>
      </w:r>
      <w:r>
        <w:rPr>
          <w:rFonts w:ascii="Inter" w:hAnsi="Inter" w:cs="Inter"/>
          <w:b/>
          <w:i w:val="0"/>
          <w:color w:val="1C1E2E"/>
          <w:sz w:val="22"/>
        </w:rPr>
        <w:t>2 Matrículas de Honor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TFM: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</w:t>
      </w:r>
      <w:r>
        <w:rPr>
          <w:rFonts w:ascii="Inter" w:hAnsi="Inter" w:cs="Inter"/>
          <w:b w:val="0"/>
          <w:i/>
          <w:color w:val="1C1E2E"/>
          <w:sz w:val="22"/>
        </w:rPr>
        <w:t>Variación disciplinar en el uso del metadiscurso en resúmenes de trabajos de fin de máster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corpus de 180 resúmenes de seis disciplinas (18.000 palabras, 920 marcadores), analizado con METOOL bajo el marco de Hyland (2005).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Directora: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Prof.ª Mª Luisa Carrió-Pastor, Departamento de Lingüística Aplicada, UPV.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Dirección de tesis doctoral: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Prof.ª Mª Luisa Carrió-Pastor (directora) y Prof. Ricardo Casañ-Pitarch (codirector) — Programa de Doctorado en </w:t>
      </w:r>
      <w:r>
        <w:rPr>
          <w:rFonts w:ascii="Inter" w:hAnsi="Inter" w:cs="Inter"/>
          <w:b/>
          <w:i w:val="0"/>
          <w:color w:val="1C1E2E"/>
          <w:sz w:val="22"/>
        </w:rPr>
        <w:t>Lenguas, Literaturas y Culturas, y sus Aplicaciones</w:t>
      </w:r>
      <w:r>
        <w:rPr>
          <w:rFonts w:ascii="Inter" w:hAnsi="Inter" w:cs="Inter"/>
          <w:b w:val="0"/>
          <w:i w:val="0"/>
          <w:color w:val="1C1E2E"/>
          <w:sz w:val="22"/>
        </w:rPr>
        <w:t>, UPV.</w:t>
      </w:r>
    </w:p>
    <w:p>
      <w:r>
        <w:rPr>
          <w:rFonts w:ascii="Inter" w:hAnsi="Inter" w:cs="Inter"/>
          <w:b/>
          <w:i w:val="0"/>
          <w:color w:val="1C1E2E"/>
          <w:sz w:val="22"/>
        </w:rPr>
        <w:t>Licenciada en Educación, mención Inglés</w:t>
      </w:r>
    </w:p>
    <w:p>
      <w:r>
        <w:rPr>
          <w:rFonts w:ascii="Inter" w:hAnsi="Inter" w:cs="Inter"/>
          <w:b w:val="0"/>
          <w:i/>
          <w:color w:val="1C1E2E"/>
          <w:sz w:val="22"/>
        </w:rPr>
        <w:t>Universidad de Los Andes (ULA) — Núcleo Universitario «Dr. Pedro Rincón Gutiérrez», Táchira, Venezuela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estudios 1999–2003, título conferido en 2004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Nota media: 9,07 / 10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en la escala española — </w:t>
      </w:r>
      <w:r>
        <w:rPr>
          <w:rFonts w:ascii="Inter" w:hAnsi="Inter" w:cs="Inter"/>
          <w:b w:val="0"/>
          <w:i/>
          <w:color w:val="1C1E2E"/>
          <w:sz w:val="22"/>
        </w:rPr>
        <w:t>Declaración de equivalencia de la nota media</w:t>
      </w:r>
      <w:r>
        <w:rPr>
          <w:rFonts w:ascii="Inter" w:hAnsi="Inter" w:cs="Inter"/>
          <w:b w:val="0"/>
          <w:i w:val="0"/>
          <w:color w:val="1C1E2E"/>
          <w:sz w:val="22"/>
        </w:rPr>
        <w:t>, Secretaría General de Universidades (equivale a 18,97/20 en la escala de origen).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Equivalencia del título al nivel académico de Grado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(rama de Artes y Humanidades, campo específico Idiomas) — Ministerio de Universidades, RD 967/2014, 17 de junio de 2020.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Distinción </w:t>
      </w:r>
      <w:r>
        <w:rPr>
          <w:rFonts w:ascii="Inter" w:hAnsi="Inter" w:cs="Inter"/>
          <w:b/>
          <w:i w:val="0"/>
          <w:color w:val="1C1E2E"/>
          <w:sz w:val="22"/>
        </w:rPr>
        <w:t>Summa Cum Laude</w:t>
      </w:r>
      <w:r>
        <w:rPr>
          <w:rFonts w:ascii="Inter" w:hAnsi="Inter" w:cs="Inter"/>
          <w:b w:val="0"/>
          <w:i w:val="0"/>
          <w:color w:val="1C1E2E"/>
          <w:sz w:val="22"/>
        </w:rPr>
        <w:t>. Líneas de la titulación: diseño curricular y enseñanza del inglés.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3 · Becas, premios y distinciones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/>
          <w:i w:val="0"/>
          <w:color w:val="5B5F77"/>
          <w:sz w:val="21"/>
        </w:rPr>
        <w:t>Primer puesto de la promoción y excelencia académica sostenida durante toda la carrera.</w:t>
      </w:r>
    </w:p>
    <w:p>
      <w:r>
        <w:rPr>
          <w:rFonts w:ascii="Inter" w:hAnsi="Inter" w:cs="Inter"/>
          <w:b/>
          <w:i w:val="0"/>
          <w:color w:val="1C1E2E"/>
          <w:sz w:val="22"/>
        </w:rPr>
        <w:t>Orden «Luis María Ribas Dávila» — Universidad de Los Andes · 2000, 2001, 2002 y 2003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Distinción rectoral conferida al </w:t>
      </w:r>
      <w:r>
        <w:rPr>
          <w:rFonts w:ascii="Inter" w:hAnsi="Inter" w:cs="Inter"/>
          <w:b/>
          <w:i w:val="0"/>
          <w:color w:val="1C1E2E"/>
          <w:sz w:val="22"/>
        </w:rPr>
        <w:t>más alto rendimiento académico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 la Escuela de Educación, Núcleo Universitario del Táchira. </w:t>
      </w:r>
      <w:r>
        <w:rPr>
          <w:rFonts w:ascii="Inter" w:hAnsi="Inter" w:cs="Inter"/>
          <w:b/>
          <w:i w:val="0"/>
          <w:color w:val="1C1E2E"/>
          <w:sz w:val="22"/>
        </w:rPr>
        <w:t>Otorgada cuatro años consecutivos</w:t>
      </w:r>
      <w:r>
        <w:rPr>
          <w:rFonts w:ascii="Inter" w:hAnsi="Inter" w:cs="Inter"/>
          <w:b w:val="0"/>
          <w:i w:val="0"/>
          <w:color w:val="1C1E2E"/>
          <w:sz w:val="22"/>
        </w:rPr>
        <w:t>, es decir, en cada uno de los cursos en que fue evaluada: acredita la excelencia como trayectoria sostenida, no como resultado puntual. Firmada por el Rector y la Secretaria de la ULA.</w:t>
      </w:r>
    </w:p>
    <w:p>
      <w:r>
        <w:rPr>
          <w:rFonts w:ascii="Inter" w:hAnsi="Inter" w:cs="Inter"/>
          <w:b/>
          <w:i w:val="0"/>
          <w:color w:val="1C1E2E"/>
          <w:sz w:val="22"/>
        </w:rPr>
        <w:t>Primer puesto de la promoción — 1.º de 56 graduandos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Promedio propio </w:t>
      </w:r>
      <w:r>
        <w:rPr>
          <w:rFonts w:ascii="Inter" w:hAnsi="Inter" w:cs="Inter"/>
          <w:b/>
          <w:i w:val="0"/>
          <w:color w:val="1C1E2E"/>
          <w:sz w:val="22"/>
        </w:rPr>
        <w:t>18,97/20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frente al </w:t>
      </w:r>
      <w:r>
        <w:rPr>
          <w:rFonts w:ascii="Inter" w:hAnsi="Inter" w:cs="Inter"/>
          <w:b/>
          <w:i w:val="0"/>
          <w:color w:val="1C1E2E"/>
          <w:sz w:val="22"/>
        </w:rPr>
        <w:t>15,77/20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 la promoción (+3,20 puntos). Acreditado mediante </w:t>
      </w:r>
      <w:r>
        <w:rPr>
          <w:rFonts w:ascii="Inter" w:hAnsi="Inter" w:cs="Inter"/>
          <w:b/>
          <w:i w:val="0"/>
          <w:color w:val="1C1E2E"/>
          <w:sz w:val="22"/>
        </w:rPr>
        <w:t>Constancia de Rango Académico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 la Oficina de Registros Estudiantiles, con certificación de firmas del Rectorado y </w:t>
      </w:r>
      <w:r>
        <w:rPr>
          <w:rFonts w:ascii="Inter" w:hAnsi="Inter" w:cs="Inter"/>
          <w:b/>
          <w:i w:val="0"/>
          <w:color w:val="1C1E2E"/>
          <w:sz w:val="22"/>
        </w:rPr>
        <w:t>Apostilla de La Haya</w:t>
      </w:r>
      <w:r>
        <w:rPr>
          <w:rFonts w:ascii="Inter" w:hAnsi="Inter" w:cs="Inter"/>
          <w:b w:val="0"/>
          <w:i w:val="0"/>
          <w:color w:val="1C1E2E"/>
          <w:sz w:val="22"/>
        </w:rPr>
        <w:t>. Es el equivalente funcional venezolano del Premio Extraordinario Fin de Carrera.</w:t>
      </w:r>
    </w:p>
    <w:p>
      <w:r>
        <w:rPr>
          <w:rFonts w:ascii="Inter" w:hAnsi="Inter" w:cs="Inter"/>
          <w:b/>
          <w:i w:val="0"/>
          <w:color w:val="1C1E2E"/>
          <w:sz w:val="22"/>
        </w:rPr>
        <w:t>Beca de Alto Rendimiento Académico — Dirección de Asuntos Estudiantiles, ULA-Táchira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Beca </w:t>
      </w:r>
      <w:r>
        <w:rPr>
          <w:rFonts w:ascii="Inter" w:hAnsi="Inter" w:cs="Inter"/>
          <w:b/>
          <w:i w:val="0"/>
          <w:color w:val="1C1E2E"/>
          <w:sz w:val="22"/>
        </w:rPr>
        <w:t>de mérito, no asistencial</w:t>
      </w:r>
      <w:r>
        <w:rPr>
          <w:rFonts w:ascii="Inter" w:hAnsi="Inter" w:cs="Inter"/>
          <w:b w:val="0"/>
          <w:i w:val="0"/>
          <w:color w:val="1C1E2E"/>
          <w:sz w:val="22"/>
        </w:rPr>
        <w:t>, concedida por rendimiento académico. Periodo acreditado julio–diciembre de 2003, vigente a la fecha de expedición de la constancia (13 de mayo de 2004).</w:t>
      </w:r>
    </w:p>
    <w:p>
      <w:r>
        <w:rPr>
          <w:rFonts w:ascii="Inter" w:hAnsi="Inter" w:cs="Inter"/>
          <w:b/>
          <w:i w:val="0"/>
          <w:color w:val="1C1E2E"/>
          <w:sz w:val="22"/>
        </w:rPr>
        <w:t>Beca general del Ministerio de Educación, Formación Profesional y Deportes — curso 2025/2026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Concedida para el Máster en Lenguas y Tecnología (UPV), convocatoria general Orden EFD/335/25 de 3 de abril. Incluye </w:t>
      </w:r>
      <w:r>
        <w:rPr>
          <w:rFonts w:ascii="Inter" w:hAnsi="Inter" w:cs="Inter"/>
          <w:b/>
          <w:i w:val="0"/>
          <w:color w:val="1C1E2E"/>
          <w:sz w:val="22"/>
        </w:rPr>
        <w:t>beca de matrícula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un </w:t>
      </w:r>
      <w:r>
        <w:rPr>
          <w:rFonts w:ascii="Inter" w:hAnsi="Inter" w:cs="Inter"/>
          <w:b/>
          <w:i w:val="0"/>
          <w:color w:val="1C1E2E"/>
          <w:sz w:val="22"/>
        </w:rPr>
        <w:t>componente de excelencia académica correspondiente al tramo de nota media 9–9,49</w:t>
      </w:r>
      <w:r>
        <w:rPr>
          <w:rFonts w:ascii="Inter" w:hAnsi="Inter" w:cs="Inter"/>
          <w:b w:val="0"/>
          <w:i w:val="0"/>
          <w:color w:val="1C1E2E"/>
          <w:sz w:val="22"/>
        </w:rPr>
        <w:t>: el Ministerio certifica así, en un acto independiente, que el expediente del máster se sitúa en ese tramo.</w:t>
      </w:r>
    </w:p>
    <w:p>
      <w:r>
        <w:rPr>
          <w:rFonts w:ascii="Inter" w:hAnsi="Inter" w:cs="Inter"/>
          <w:b/>
          <w:i w:val="0"/>
          <w:color w:val="1C1E2E"/>
          <w:sz w:val="22"/>
        </w:rPr>
        <w:t>Diploma de Honor del Rector de la ULA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Trabajo Especial de Grado calificado </w:t>
      </w:r>
      <w:r>
        <w:rPr>
          <w:rFonts w:ascii="Inter" w:hAnsi="Inter" w:cs="Inter"/>
          <w:b/>
          <w:i w:val="0"/>
          <w:color w:val="1C1E2E"/>
          <w:sz w:val="22"/>
        </w:rPr>
        <w:t>20/20, Sobresaliente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(15 de noviembre de 2004).</w:t>
      </w:r>
    </w:p>
    <w:p>
      <w:r>
        <w:rPr>
          <w:rFonts w:ascii="Inter" w:hAnsi="Inter" w:cs="Inter"/>
          <w:b/>
          <w:i w:val="0"/>
          <w:color w:val="1C1E2E"/>
          <w:sz w:val="22"/>
        </w:rPr>
        <w:t>2 Matrículas de Honor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en el Máster Universitario en Lenguas y Tecnología (UPV, 2026).</w:t>
      </w:r>
    </w:p>
    <w:p>
      <w:r>
        <w:rPr>
          <w:rFonts w:ascii="Inter" w:hAnsi="Inter" w:cs="Inter"/>
          <w:b/>
          <w:i w:val="0"/>
          <w:color w:val="1C1E2E"/>
          <w:sz w:val="22"/>
        </w:rPr>
        <w:t>Calificación de 10/10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por diseño inclusivo del proyecto </w:t>
      </w:r>
      <w:r>
        <w:rPr>
          <w:rFonts w:ascii="Inter" w:hAnsi="Inter" w:cs="Inter"/>
          <w:b w:val="0"/>
          <w:i/>
          <w:color w:val="1C1E2E"/>
          <w:sz w:val="22"/>
        </w:rPr>
        <w:t>Academic Writing Journey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(UPV, 2026), en la asignatura «Simulation, Games and Technology Applied to Teaching Strategies and Research Methodology».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4 · Producción científica y publicaciones</w:t>
      </w:r>
    </w:p>
    <w:p>
      <w:r>
        <w:rPr>
          <w:rFonts w:ascii="Inter" w:hAnsi="Inter" w:cs="Inter"/>
          <w:b/>
          <w:i w:val="0"/>
          <w:color w:val="1C1E2E"/>
          <w:sz w:val="22"/>
        </w:rPr>
        <w:t>Artículo en revista arbitrada e indexada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 w:val="0"/>
          <w:color w:val="5B5F77"/>
          <w:sz w:val="21"/>
        </w:rPr>
        <w:t xml:space="preserve">Eslava Graterol, A. Z. (2005). Estudio sobre el perfil del alumno en Educación Mención Inglés de la ULA-Táchira. </w:t>
      </w:r>
      <w:r>
        <w:rPr>
          <w:rFonts w:ascii="Inter" w:hAnsi="Inter" w:cs="Inter"/>
          <w:b w:val="0"/>
          <w:i/>
          <w:color w:val="5B5F77"/>
          <w:sz w:val="21"/>
        </w:rPr>
        <w:t>Kaleidoscopio, 2</w:t>
      </w:r>
      <w:r>
        <w:rPr>
          <w:rFonts w:ascii="Inter" w:hAnsi="Inter" w:cs="Inter"/>
          <w:b w:val="0"/>
          <w:i w:val="0"/>
          <w:color w:val="5B5F77"/>
          <w:sz w:val="21"/>
        </w:rPr>
        <w:t>(3), 51–56. Universidad Nacional Experimental de Guayana. ISSN 1690-6054. Indexada en CLASE (UNAM). https://hdl.handle.net/20.500.14330/CLA01000260594 · https://ru.dgb.unam.mx/items/94cebd9c-65de-4d95-b948-637ae2fcdd43/full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Derivado del Trabajo Especial de Grado (20/20, Diploma de Honor). Recibido 13-06-2004, </w:t>
      </w:r>
      <w:r>
        <w:rPr>
          <w:rFonts w:ascii="Inter" w:hAnsi="Inter" w:cs="Inter"/>
          <w:b/>
          <w:i w:val="0"/>
          <w:color w:val="1C1E2E"/>
          <w:sz w:val="22"/>
        </w:rPr>
        <w:t>aceptado tras arbitraje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19-07-2004. Publicado con resumen bilingüe español/inglés. </w:t>
      </w:r>
      <w:r>
        <w:rPr>
          <w:rFonts w:ascii="Inter" w:hAnsi="Inter" w:cs="Inter"/>
          <w:b w:val="0"/>
          <w:i/>
          <w:color w:val="1C1E2E"/>
          <w:sz w:val="22"/>
        </w:rPr>
        <w:t>Kaleidoscopio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dejó de publicarse en 2015; el registro indexado en CLASE (UNAM) es la evidencia permanente.</w:t>
      </w:r>
    </w:p>
    <w:p>
      <w:r>
        <w:rPr>
          <w:rFonts w:ascii="Inter" w:hAnsi="Inter" w:cs="Inter"/>
          <w:b/>
          <w:i w:val="0"/>
          <w:color w:val="1C1E2E"/>
          <w:sz w:val="22"/>
        </w:rPr>
        <w:t>Reconocimiento en agradecimientos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 w:val="0"/>
          <w:color w:val="5B5F77"/>
          <w:sz w:val="21"/>
        </w:rPr>
        <w:t xml:space="preserve">Sotelo-Casas et al. (2019). </w:t>
      </w:r>
      <w:r>
        <w:rPr>
          <w:rFonts w:ascii="Inter" w:hAnsi="Inter" w:cs="Inter"/>
          <w:b w:val="0"/>
          <w:i/>
          <w:color w:val="5B5F77"/>
          <w:sz w:val="21"/>
        </w:rPr>
        <w:t>Estuarine, Coastal and Shelf Science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(Elsevier), p. 8 — por el contenido científico y la revisión en inglés del manuscrito.</w:t>
      </w:r>
    </w:p>
    <w:p>
      <w:r>
        <w:rPr>
          <w:rFonts w:ascii="Inter" w:hAnsi="Inter" w:cs="Inter"/>
          <w:b/>
          <w:i w:val="0"/>
          <w:color w:val="1C1E2E"/>
          <w:sz w:val="22"/>
        </w:rPr>
        <w:t>Trabajo de Fin de Máster (2026)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estudio de corpus sobre variación disciplinar del metadiscurso en resúmenes de TFM (UPV). Resultados publicados como libro de datos interactivo de acceso abierto: profeanaeslavaedtech.github.io/portofolio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5 · Congresos y ponencias</w:t>
      </w:r>
    </w:p>
    <w:p>
      <w:r>
        <w:rPr>
          <w:rFonts w:ascii="Inter" w:hAnsi="Inter" w:cs="Inter"/>
          <w:b/>
          <w:i w:val="0"/>
          <w:color w:val="1C1E2E"/>
          <w:sz w:val="22"/>
        </w:rPr>
        <w:t>Ponente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</w:t>
      </w:r>
      <w:r>
        <w:rPr>
          <w:rFonts w:ascii="Inter" w:hAnsi="Inter" w:cs="Inter"/>
          <w:b w:val="0"/>
          <w:i/>
          <w:color w:val="1C1E2E"/>
          <w:sz w:val="22"/>
        </w:rPr>
        <w:t>Estudio sobre el perfil del alumno en Educación Mención Inglés de la ULA-Táchira</w:t>
      </w:r>
    </w:p>
    <w:p>
      <w:r>
        <w:rPr>
          <w:rFonts w:ascii="Inter" w:hAnsi="Inter" w:cs="Inter"/>
          <w:b/>
          <w:i w:val="0"/>
          <w:color w:val="1C1E2E"/>
          <w:sz w:val="22"/>
        </w:rPr>
        <w:t>II Congreso Internacional de Educación Superior — «Tendencias y Perspectivas de la Educación Superior en América Latina / en el Siglo XXI»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Asociación de Educadores de Latinoamérica y del Caribe y Universidad de Oriente · Cumaná, Venezuela · </w:t>
      </w:r>
      <w:r>
        <w:rPr>
          <w:rFonts w:ascii="Inter" w:hAnsi="Inter" w:cs="Inter"/>
          <w:b/>
          <w:i w:val="0"/>
          <w:color w:val="1C1E2E"/>
          <w:sz w:val="22"/>
        </w:rPr>
        <w:t>31 de julio – 2 de agosto de 2008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Resumen </w:t>
      </w:r>
      <w:r>
        <w:rPr>
          <w:rFonts w:ascii="Inter" w:hAnsi="Inter" w:cs="Inter"/>
          <w:b/>
          <w:i w:val="0"/>
          <w:color w:val="1C1E2E"/>
          <w:sz w:val="22"/>
        </w:rPr>
        <w:t>aceptado por la comisión de arbitraje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del congreso (ref. CIES/P 048).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6 · Experiencia docente e investigadora</w:t>
      </w:r>
    </w:p>
    <w:p>
      <w:r>
        <w:rPr>
          <w:rFonts w:ascii="Inter" w:hAnsi="Inter" w:cs="Inter"/>
          <w:b/>
          <w:i w:val="0"/>
          <w:color w:val="1C1E2E"/>
          <w:sz w:val="22"/>
        </w:rPr>
        <w:t>Diseñadora instruccional y arquitecta de eLearning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profesional autónoma, España · </w:t>
      </w:r>
      <w:r>
        <w:rPr>
          <w:rFonts w:ascii="Inter" w:hAnsi="Inter" w:cs="Inter"/>
          <w:b/>
          <w:i w:val="0"/>
          <w:color w:val="1C1E2E"/>
          <w:sz w:val="22"/>
        </w:rPr>
        <w:t>oct. 2019 – actualidad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Diseño de itinerarios de inglés académico B2→C1 alineados al MCER; guionización y documento de diseño de alto nivel; capa de accesibilidad conforme a WCAG y al Acta Europea de Accesibilidad; empaquetado SCORM/xAPI en Articulate 360 (Rise). Modelo documentado de gobernanza humano–IA para la generación de contenido.</w:t>
      </w:r>
    </w:p>
    <w:p>
      <w:r>
        <w:rPr>
          <w:rFonts w:ascii="Inter" w:hAnsi="Inter" w:cs="Inter"/>
          <w:b/>
          <w:i w:val="0"/>
          <w:color w:val="1C1E2E"/>
          <w:sz w:val="22"/>
        </w:rPr>
        <w:t>Profesora de Inglés Científico y redactora de contenido científico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Universidad de Oriente (UDO), Núcleo Nueva Esparta, Venezuela · </w:t>
      </w:r>
      <w:r>
        <w:rPr>
          <w:rFonts w:ascii="Inter" w:hAnsi="Inter" w:cs="Inter"/>
          <w:b/>
          <w:i w:val="0"/>
          <w:color w:val="1C1E2E"/>
          <w:sz w:val="22"/>
        </w:rPr>
        <w:t>2005 – 2015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</w:t>
      </w:r>
      <w:r>
        <w:rPr>
          <w:rFonts w:ascii="Inter" w:hAnsi="Inter" w:cs="Inter"/>
          <w:b/>
          <w:i w:val="0"/>
          <w:color w:val="1C1E2E"/>
          <w:sz w:val="22"/>
        </w:rPr>
        <w:t>1.568 horas de docencia universitaria acreditadas.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Docencia de inglés científico en titulaciones de ciencias; redacción y revisión de artículos en inglés para revistas revisadas por pares de alto impacto (odontología, biología marina).</w:t>
      </w:r>
    </w:p>
    <w:p>
      <w:r>
        <w:rPr>
          <w:rFonts w:ascii="Inter" w:hAnsi="Inter" w:cs="Inter"/>
          <w:b/>
          <w:i w:val="0"/>
          <w:color w:val="1C1E2E"/>
          <w:sz w:val="22"/>
        </w:rPr>
        <w:t>Fundadora y diseñadora de contenidos — Talkétika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· </w:t>
      </w:r>
      <w:r>
        <w:rPr>
          <w:rFonts w:ascii="Inter" w:hAnsi="Inter" w:cs="Inter"/>
          <w:b/>
          <w:i w:val="0"/>
          <w:color w:val="1C1E2E"/>
          <w:sz w:val="22"/>
        </w:rPr>
        <w:t>2019 – actualidad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>Administradora de Chamilo (LMS) desde 2019; contenido gamificado en Moodle, Canvas LMS y Chamilo; producción de audiolibros.</w:t>
      </w:r>
    </w:p>
    <w:p>
      <w:r>
        <w:rPr>
          <w:rFonts w:ascii="Inter" w:hAnsi="Inter" w:cs="Inter"/>
          <w:b/>
          <w:i w:val="0"/>
          <w:color w:val="1C1E2E"/>
          <w:sz w:val="22"/>
        </w:rPr>
        <w:t>Profesora de idiomas — ESL, Cambridge y DELE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diversas instituciones · </w:t>
      </w:r>
      <w:r>
        <w:rPr>
          <w:rFonts w:ascii="Inter" w:hAnsi="Inter" w:cs="Inter"/>
          <w:b/>
          <w:i w:val="0"/>
          <w:color w:val="1C1E2E"/>
          <w:sz w:val="22"/>
        </w:rPr>
        <w:t>jul. 2004 – actualidad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Más de 20 años de docencia de inglés y español a personas adultas. </w:t>
      </w:r>
      <w:r>
        <w:rPr>
          <w:rFonts w:ascii="Inter" w:hAnsi="Inter" w:cs="Inter"/>
          <w:b/>
          <w:i w:val="0"/>
          <w:color w:val="1C1E2E"/>
          <w:sz w:val="22"/>
        </w:rPr>
        <w:t>Tutora en AVE Global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(aula virtual del Instituto Cervantes). Diseño de itinerarios y rúbricas alineados al MCER; preparación de Cambridge (B2 First, C1 Advanced) y DELE.</w:t>
      </w:r>
    </w:p>
    <w:p>
      <w:r>
        <w:rPr>
          <w:rFonts w:ascii="Inter" w:hAnsi="Inter" w:cs="Inter"/>
          <w:b/>
          <w:i w:val="0"/>
          <w:color w:val="1C1E2E"/>
          <w:sz w:val="22"/>
        </w:rPr>
        <w:t>Investigación.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Investigación de corpus en el Departamento de Lingüística Aplicada de la UPV (TFM, 2026), bajo la dirección de la Prof.ª Mª Luisa Carrió-Pastor. Investigación curricular en la ULA (TFG, 2004), llevada a publicación arbitrada y a congreso internacional.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7 · Idiomas y competencias técnicas</w:t>
      </w:r>
    </w:p>
    <w:p>
      <w:r>
        <w:rPr>
          <w:rFonts w:ascii="Inter" w:hAnsi="Inter" w:cs="Inter"/>
          <w:b/>
          <w:i w:val="0"/>
          <w:color w:val="1C1E2E"/>
          <w:sz w:val="22"/>
        </w:rPr>
        <w:t>Idiomas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Español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lengua materna.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Inglés — C1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acreditado por </w:t>
      </w:r>
      <w:r>
        <w:rPr>
          <w:rFonts w:ascii="Inter" w:hAnsi="Inter" w:cs="Inter"/>
          <w:b/>
          <w:i w:val="0"/>
          <w:color w:val="1C1E2E"/>
          <w:sz w:val="22"/>
        </w:rPr>
        <w:t>Cambridge English (C1 Advanced / CAE)</w:t>
      </w:r>
      <w:r>
        <w:rPr>
          <w:rFonts w:ascii="Inter" w:hAnsi="Inter" w:cs="Inter"/>
          <w:b w:val="0"/>
          <w:i w:val="0"/>
          <w:color w:val="1C1E2E"/>
          <w:sz w:val="22"/>
        </w:rPr>
        <w:t>. Redacción científica y profesional en ambas lenguas.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CELTA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(Cambridge English) — certificado de habilitación para la enseñanza del inglés.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Examinadora acreditada DELE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 Instituto Cervantes.</w:t>
      </w:r>
    </w:p>
    <w:p>
      <w:r>
        <w:rPr>
          <w:rFonts w:ascii="Inter" w:hAnsi="Inter" w:cs="Inter"/>
          <w:b/>
          <w:i w:val="0"/>
          <w:color w:val="1C1E2E"/>
          <w:sz w:val="22"/>
        </w:rPr>
        <w:t>Herramientas de investigación y análisis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Lingüística de corpus: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METOOL (Carrió-Pastor, 2020) para el etiquetado y la cuantificación de marcadores metadiscursivos.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Análisis estadístico: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Microsoft Excel (tablas dinámicas, normalización por 1.000 tokens); análisis inferencial en Python (chi-cuadrado, tamaños del efecto, dispersión de Juilland, factores de Bayes), contrastado con Lancaster Stats Tools.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Visualización de datos: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desarrollo de libros de datos interactivos con Chart.js, con vista de tabla y paleta validada para deficiencias de visión cromática.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Estándares y datos de aprendizaje: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MCER/CEFR, </w:t>
      </w:r>
      <w:r>
        <w:rPr>
          <w:rFonts w:ascii="Inter" w:hAnsi="Inter" w:cs="Inter"/>
          <w:b w:val="0"/>
          <w:i/>
          <w:color w:val="1C1E2E"/>
          <w:sz w:val="22"/>
        </w:rPr>
        <w:t>Plan curricular del Instituto Cervantes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, </w:t>
      </w:r>
      <w:r>
        <w:rPr>
          <w:rFonts w:ascii="Inter" w:hAnsi="Inter" w:cs="Inter"/>
          <w:b/>
          <w:i w:val="0"/>
          <w:color w:val="1C1E2E"/>
          <w:sz w:val="22"/>
        </w:rPr>
        <w:t>xAPI, SCORM, cmi5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Plataformas y autoría: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Moodle, Canvas LMS, </w:t>
      </w:r>
      <w:r>
        <w:rPr>
          <w:rFonts w:ascii="Inter" w:hAnsi="Inter" w:cs="Inter"/>
          <w:b/>
          <w:i w:val="0"/>
          <w:color w:val="1C1E2E"/>
          <w:sz w:val="22"/>
        </w:rPr>
        <w:t>Chamilo (administradora)</w:t>
      </w:r>
      <w:r>
        <w:rPr>
          <w:rFonts w:ascii="Inter" w:hAnsi="Inter" w:cs="Inter"/>
          <w:b w:val="0"/>
          <w:i w:val="0"/>
          <w:color w:val="1C1E2E"/>
          <w:sz w:val="22"/>
        </w:rPr>
        <w:t>, Articulate 360 (Rise), AVE Global, Canva, Adobe Podcast.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Accesibilidad: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WCAG 2.1 AA, DUA, Acta Europea de Accesibilidad.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/>
          <w:color w:val="5B5F77"/>
          <w:sz w:val="21"/>
        </w:rPr>
        <w:t xml:space="preserve">Nota para completar: si utilizas habitualmente </w:t>
      </w:r>
      <w:r>
        <w:rPr>
          <w:rFonts w:ascii="Inter" w:hAnsi="Inter" w:cs="Inter"/>
          <w:b w:val="0"/>
          <w:i/>
          <w:color w:val="5B5F77"/>
          <w:sz w:val="21"/>
        </w:rPr>
        <w:t>AntConc</w:t>
      </w:r>
      <w:r>
        <w:rPr>
          <w:rFonts w:ascii="Inter" w:hAnsi="Inter" w:cs="Inter"/>
          <w:b w:val="0"/>
          <w:i/>
          <w:color w:val="5B5F77"/>
          <w:sz w:val="21"/>
        </w:rPr>
        <w:t xml:space="preserve">, </w:t>
      </w:r>
      <w:r>
        <w:rPr>
          <w:rFonts w:ascii="Inter" w:hAnsi="Inter" w:cs="Inter"/>
          <w:b w:val="0"/>
          <w:i/>
          <w:color w:val="5B5F77"/>
          <w:sz w:val="21"/>
        </w:rPr>
        <w:t>SPSS</w:t>
      </w:r>
      <w:r>
        <w:rPr>
          <w:rFonts w:ascii="Inter" w:hAnsi="Inter" w:cs="Inter"/>
          <w:b w:val="0"/>
          <w:i/>
          <w:color w:val="5B5F77"/>
          <w:sz w:val="21"/>
        </w:rPr>
        <w:t xml:space="preserve">, </w:t>
      </w:r>
      <w:r>
        <w:rPr>
          <w:rFonts w:ascii="Inter" w:hAnsi="Inter" w:cs="Inter"/>
          <w:b w:val="0"/>
          <w:i/>
          <w:color w:val="5B5F77"/>
          <w:sz w:val="21"/>
        </w:rPr>
        <w:t>R</w:t>
      </w:r>
      <w:r>
        <w:rPr>
          <w:rFonts w:ascii="Inter" w:hAnsi="Inter" w:cs="Inter"/>
          <w:b w:val="0"/>
          <w:i/>
          <w:color w:val="5B5F77"/>
          <w:sz w:val="21"/>
        </w:rPr>
        <w:t xml:space="preserve"> o </w:t>
      </w:r>
      <w:r>
        <w:rPr>
          <w:rFonts w:ascii="Inter" w:hAnsi="Inter" w:cs="Inter"/>
          <w:b w:val="0"/>
          <w:i/>
          <w:color w:val="5B5F77"/>
          <w:sz w:val="21"/>
        </w:rPr>
        <w:t>Atlas.ti</w:t>
      </w:r>
      <w:r>
        <w:rPr>
          <w:rFonts w:ascii="Inter" w:hAnsi="Inter" w:cs="Inter"/>
          <w:b w:val="0"/>
          <w:i/>
          <w:color w:val="5B5F77"/>
          <w:sz w:val="21"/>
        </w:rPr>
        <w:t>, añádelos a esta lista. No los he incluido porque no constan en tu documentación verificada, y en un CV académico conviene no declarar herramientas que no puedas demostrar en una entrevista.</w:t>
      </w:r>
    </w:p>
    <w:p>
      <w:pPr>
        <w:pBdr>
          <w:bottom w:val="single" w:sz="6" w:space="1" w:color="E6E8F2"/>
        </w:pBdr>
      </w:pPr>
    </w:p>
    <w:p>
      <w:r>
        <w:rPr>
          <w:rFonts w:ascii="Inter" w:hAnsi="Inter" w:cs="Inter"/>
          <w:b w:val="0"/>
          <w:i/>
          <w:color w:val="1C1E2E"/>
          <w:sz w:val="22"/>
        </w:rPr>
        <w:t>© 2026 Ana Zoraimy Eslava Graterol. Documento elaborado con asistencia de IA bajo supervisión, verificación y autoría intelectual humana; todos los datos proceden de documentación oficial.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Inter" w:hAnsi="Inter"/>
      <w:color w:val="1C1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