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CURRICULUM VITAE — PhD ADMISSION</w:t>
      </w:r>
    </w:p>
    <w:p>
      <w:pPr>
        <w:spacing w:before="320" w:after="120"/>
      </w:pPr>
      <w:r>
        <w:rPr>
          <w:rFonts w:ascii="Fraunces" w:hAnsi="Fraunces" w:cs="Fraunces"/>
          <w:b/>
          <w:i w:val="0"/>
          <w:color w:val="22307C"/>
          <w:sz w:val="32"/>
        </w:rPr>
        <w:t>Ana Eslava-Graterol</w:t>
      </w:r>
    </w:p>
    <w:p>
      <w:r>
        <w:rPr>
          <w:rFonts w:ascii="Inter" w:hAnsi="Inter" w:cs="Inter"/>
          <w:b/>
          <w:i w:val="0"/>
          <w:color w:val="1C1E2E"/>
          <w:sz w:val="22"/>
        </w:rPr>
        <w:t>Programme applied for:</w:t>
      </w:r>
      <w:r>
        <w:rPr>
          <w:rFonts w:ascii="Inter" w:hAnsi="Inter" w:cs="Inter"/>
          <w:b w:val="0"/>
          <w:i w:val="0"/>
          <w:color w:val="1C1E2E"/>
          <w:sz w:val="22"/>
        </w:rPr>
        <w:t xml:space="preserve"> PhD Programme in </w:t>
      </w:r>
      <w:r>
        <w:rPr>
          <w:rFonts w:ascii="Inter" w:hAnsi="Inter" w:cs="Inter"/>
          <w:b/>
          <w:i w:val="0"/>
          <w:color w:val="1C1E2E"/>
          <w:sz w:val="22"/>
        </w:rPr>
        <w:t>Languages, Literatures and Cultures, and their Applications</w:t>
      </w:r>
    </w:p>
    <w:p>
      <w:r>
        <w:rPr>
          <w:rFonts w:ascii="Inter" w:hAnsi="Inter" w:cs="Inter"/>
          <w:b/>
          <w:i w:val="0"/>
          <w:color w:val="1C1E2E"/>
          <w:sz w:val="22"/>
        </w:rPr>
        <w:t>Department of Applied Linguistics · Universitat Politècnica de València (UPV), Spain</w:t>
      </w:r>
    </w:p>
    <w:p>
      <w:r>
        <w:rPr>
          <w:rFonts w:ascii="Inter" w:hAnsi="Inter" w:cs="Inter"/>
          <w:b/>
          <w:i w:val="0"/>
          <w:color w:val="1C1E2E"/>
          <w:sz w:val="22"/>
        </w:rPr>
        <w:t>Supervision:</w:t>
      </w:r>
      <w:r>
        <w:rPr>
          <w:rFonts w:ascii="Inter" w:hAnsi="Inter" w:cs="Inter"/>
          <w:b w:val="0"/>
          <w:i w:val="0"/>
          <w:color w:val="1C1E2E"/>
          <w:sz w:val="22"/>
        </w:rPr>
        <w:t xml:space="preserve"> Prof. Mª Luisa Carrió-Pastor (supervisor) · Prof. Ricardo Casañ-Pitarch (co-supervisor)</w:t>
      </w:r>
    </w:p>
    <w:p>
      <w:r>
        <w:rPr>
          <w:rFonts w:ascii="Inter" w:hAnsi="Inter" w:cs="Inter"/>
          <w:b/>
          <w:i w:val="0"/>
          <w:color w:val="1C1E2E"/>
          <w:sz w:val="22"/>
        </w:rPr>
        <w:t>Research line:</w:t>
      </w:r>
      <w:r>
        <w:rPr>
          <w:rFonts w:ascii="Inter" w:hAnsi="Inter" w:cs="Inter"/>
          <w:b w:val="0"/>
          <w:i w:val="0"/>
          <w:color w:val="1C1E2E"/>
          <w:sz w:val="22"/>
        </w:rPr>
        <w:t xml:space="preserve"> Language technologies, speaking assessment and CEFR-anchored instructional design</w:t>
      </w:r>
    </w:p>
    <w:p>
      <w:r>
        <w:rPr>
          <w:rFonts w:ascii="Inter" w:hAnsi="Inter" w:cs="Inter"/>
          <w:b/>
          <w:i w:val="0"/>
          <w:color w:val="1C1E2E"/>
          <w:sz w:val="22"/>
        </w:rPr>
        <w:t>Thesis proposal:</w:t>
      </w:r>
      <w:r>
        <w:rPr>
          <w:rFonts w:ascii="Inter" w:hAnsi="Inter" w:cs="Inter"/>
          <w:b w:val="0"/>
          <w:i w:val="0"/>
          <w:color w:val="1C1E2E"/>
          <w:sz w:val="22"/>
        </w:rPr>
        <w:t xml:space="preserve"> </w:t>
      </w:r>
      <w:r>
        <w:rPr>
          <w:rFonts w:ascii="Inter" w:hAnsi="Inter" w:cs="Inter"/>
          <w:b w:val="0"/>
          <w:i/>
          <w:color w:val="1C1E2E"/>
          <w:sz w:val="22"/>
        </w:rPr>
        <w:t>MLLDE — Multimodal Language Learning Design &amp; Evaluation: modality-declared curriculum design for mobile language learning, and speaking assessment with three tiers of evidence</w:t>
      </w:r>
    </w:p>
    <w:p>
      <w:pPr>
        <w:pBdr>
          <w:left w:val="single" w:sz="18" w:space="8" w:color="9A5B00"/>
        </w:pBdr>
        <w:spacing w:before="120" w:after="200"/>
        <w:ind w:left="317"/>
      </w:pPr>
      <w:r>
        <w:rPr>
          <w:rFonts w:ascii="Inter" w:hAnsi="Inter" w:cs="Inter"/>
          <w:b/>
          <w:i w:val="0"/>
          <w:color w:val="5B5F77"/>
          <w:sz w:val="21"/>
        </w:rPr>
        <w:t>Note on structure.</w:t>
      </w:r>
      <w:r>
        <w:rPr>
          <w:rFonts w:ascii="Inter" w:hAnsi="Inter" w:cs="Inter"/>
          <w:b w:val="0"/>
          <w:i w:val="0"/>
          <w:color w:val="5B5F77"/>
          <w:sz w:val="21"/>
        </w:rPr>
        <w:t xml:space="preserve"> This CV is organised </w:t>
      </w:r>
      <w:r>
        <w:rPr>
          <w:rFonts w:ascii="Inter" w:hAnsi="Inter" w:cs="Inter"/>
          <w:b/>
          <w:i w:val="0"/>
          <w:color w:val="5B5F77"/>
          <w:sz w:val="21"/>
        </w:rPr>
        <w:t>exactly according to the call's scoring rubric</w:t>
      </w:r>
      <w:r>
        <w:rPr>
          <w:rFonts w:ascii="Inter" w:hAnsi="Inter" w:cs="Inter"/>
          <w:b w:val="0"/>
          <w:i w:val="0"/>
          <w:color w:val="5B5F77"/>
          <w:sz w:val="21"/>
        </w:rPr>
        <w:t xml:space="preserve"> (Academic record 70% + Other merits 30%, six merits worth 5% each), so the admissions committee can score each item without searching for the information. Every merit points to its supporting document through a </w:t>
      </w:r>
      <w:r>
        <w:rPr>
          <w:rFonts w:ascii="Inter" w:hAnsi="Inter" w:cs="Inter"/>
          <w:b/>
          <w:i w:val="0"/>
          <w:color w:val="5B5F77"/>
          <w:sz w:val="21"/>
        </w:rPr>
        <w:t>[DOC-nn]</w:t>
      </w:r>
      <w:r>
        <w:rPr>
          <w:rFonts w:ascii="Inter" w:hAnsi="Inter" w:cs="Inter"/>
          <w:b w:val="0"/>
          <w:i w:val="0"/>
          <w:color w:val="5B5F77"/>
          <w:sz w:val="21"/>
        </w:rPr>
        <w:t xml:space="preserve"> code matching the index in the Annex (§8) and the order of the evidence PDF.</w:t>
      </w:r>
    </w:p>
    <w:p>
      <w:pPr>
        <w:pBdr>
          <w:bottom w:val="single" w:sz="6" w:space="1" w:color="E6E8F2"/>
        </w:pBdr>
      </w:pPr>
    </w:p>
    <w:p>
      <w:pPr>
        <w:spacing w:before="320" w:after="120"/>
      </w:pPr>
      <w:r>
        <w:rPr>
          <w:rFonts w:ascii="Fraunces" w:hAnsi="Fraunces" w:cs="Fraunces"/>
          <w:b/>
          <w:i w:val="0"/>
          <w:color w:val="22307C"/>
          <w:sz w:val="32"/>
        </w:rPr>
        <w:t>0. Identification</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Field</w:t>
            </w:r>
          </w:p>
        </w:tc>
        <w:tc>
          <w:tcPr>
            <w:tcW w:type="dxa" w:w="4824"/>
            <w:shd w:val="clear" w:color="auto" w:fill="EEF2FD"/>
          </w:tcPr>
          <w:p>
            <w:pPr>
              <w:spacing w:after="40"/>
            </w:pPr>
            <w:r/>
            <w:r>
              <w:rPr>
                <w:rFonts w:ascii="Inter" w:hAnsi="Inter" w:cs="Inter"/>
                <w:b/>
                <w:i w:val="0"/>
                <w:color w:val="22307C"/>
                <w:sz w:val="19"/>
              </w:rPr>
              <w:t>Detail</w:t>
            </w:r>
          </w:p>
        </w:tc>
      </w:tr>
      <w:tr>
        <w:tc>
          <w:tcPr>
            <w:tcW w:type="dxa" w:w="4824"/>
          </w:tcPr>
          <w:p>
            <w:pPr>
              <w:spacing w:after="40"/>
            </w:pPr>
            <w:r/>
            <w:r>
              <w:rPr>
                <w:rFonts w:ascii="Inter" w:hAnsi="Inter" w:cs="Inter"/>
                <w:b w:val="0"/>
                <w:i w:val="0"/>
                <w:color w:val="1C1E2E"/>
                <w:sz w:val="19"/>
              </w:rPr>
              <w:t>Full name</w:t>
            </w:r>
          </w:p>
        </w:tc>
        <w:tc>
          <w:tcPr>
            <w:tcW w:type="dxa" w:w="4824"/>
          </w:tcPr>
          <w:p>
            <w:pPr>
              <w:spacing w:after="40"/>
            </w:pPr>
            <w:r/>
            <w:r>
              <w:rPr>
                <w:rFonts w:ascii="Inter" w:hAnsi="Inter" w:cs="Inter"/>
                <w:b/>
                <w:i w:val="0"/>
                <w:color w:val="1C1E2E"/>
                <w:sz w:val="19"/>
              </w:rPr>
              <w:t>Ana Zoraimy Eslava Graterol</w:t>
            </w:r>
          </w:p>
        </w:tc>
      </w:tr>
      <w:tr>
        <w:tc>
          <w:tcPr>
            <w:tcW w:type="dxa" w:w="4824"/>
          </w:tcPr>
          <w:p>
            <w:pPr>
              <w:spacing w:after="40"/>
            </w:pPr>
            <w:r/>
            <w:r>
              <w:rPr>
                <w:rFonts w:ascii="Inter" w:hAnsi="Inter" w:cs="Inter"/>
                <w:b w:val="0"/>
                <w:i w:val="0"/>
                <w:color w:val="1C1E2E"/>
                <w:sz w:val="19"/>
              </w:rPr>
              <w:t>Email</w:t>
            </w:r>
          </w:p>
        </w:tc>
        <w:tc>
          <w:tcPr>
            <w:tcW w:type="dxa" w:w="4824"/>
          </w:tcPr>
          <w:p>
            <w:pPr>
              <w:spacing w:after="40"/>
            </w:pPr>
            <w:r/>
            <w:r>
              <w:rPr>
                <w:rFonts w:ascii="Inter" w:hAnsi="Inter" w:cs="Inter"/>
                <w:b w:val="0"/>
                <w:i w:val="0"/>
                <w:color w:val="1C1E2E"/>
                <w:sz w:val="19"/>
              </w:rPr>
              <w:t>profeanaeslava@gmail.com</w:t>
            </w:r>
          </w:p>
        </w:tc>
      </w:tr>
      <w:tr>
        <w:tc>
          <w:tcPr>
            <w:tcW w:type="dxa" w:w="4824"/>
          </w:tcPr>
          <w:p>
            <w:pPr>
              <w:spacing w:after="40"/>
            </w:pPr>
            <w:r/>
            <w:r>
              <w:rPr>
                <w:rFonts w:ascii="Inter" w:hAnsi="Inter" w:cs="Inter"/>
                <w:b w:val="0"/>
                <w:i w:val="0"/>
                <w:color w:val="1C1E2E"/>
                <w:sz w:val="19"/>
              </w:rPr>
              <w:t>Location</w:t>
            </w:r>
          </w:p>
        </w:tc>
        <w:tc>
          <w:tcPr>
            <w:tcW w:type="dxa" w:w="4824"/>
          </w:tcPr>
          <w:p>
            <w:pPr>
              <w:spacing w:after="40"/>
            </w:pPr>
            <w:r/>
            <w:r>
              <w:rPr>
                <w:rFonts w:ascii="Inter" w:hAnsi="Inter" w:cs="Inter"/>
                <w:b w:val="0"/>
                <w:i w:val="0"/>
                <w:color w:val="1C1E2E"/>
                <w:sz w:val="19"/>
              </w:rPr>
              <w:t>Valencia, Spain (immediate availability)</w:t>
            </w:r>
          </w:p>
        </w:tc>
      </w:tr>
      <w:tr>
        <w:tc>
          <w:tcPr>
            <w:tcW w:type="dxa" w:w="4824"/>
          </w:tcPr>
          <w:p>
            <w:pPr>
              <w:spacing w:after="40"/>
            </w:pPr>
            <w:r/>
            <w:r>
              <w:rPr>
                <w:rFonts w:ascii="Inter" w:hAnsi="Inter" w:cs="Inter"/>
                <w:b w:val="0"/>
                <w:i w:val="0"/>
                <w:color w:val="1C1E2E"/>
                <w:sz w:val="19"/>
              </w:rPr>
              <w:t>LinkedIn</w:t>
            </w:r>
          </w:p>
        </w:tc>
        <w:tc>
          <w:tcPr>
            <w:tcW w:type="dxa" w:w="4824"/>
          </w:tcPr>
          <w:p>
            <w:pPr>
              <w:spacing w:after="40"/>
            </w:pPr>
            <w:r/>
            <w:r>
              <w:rPr>
                <w:rFonts w:ascii="Inter" w:hAnsi="Inter" w:cs="Inter"/>
                <w:b w:val="0"/>
                <w:i w:val="0"/>
                <w:color w:val="1C1E2E"/>
                <w:sz w:val="19"/>
              </w:rPr>
              <w:t>https://www.linkedin.com/in/anaeslava</w:t>
            </w:r>
          </w:p>
        </w:tc>
      </w:tr>
      <w:tr>
        <w:tc>
          <w:tcPr>
            <w:tcW w:type="dxa" w:w="4824"/>
          </w:tcPr>
          <w:p>
            <w:pPr>
              <w:spacing w:after="40"/>
            </w:pPr>
            <w:r/>
            <w:r>
              <w:rPr>
                <w:rFonts w:ascii="Inter" w:hAnsi="Inter" w:cs="Inter"/>
                <w:b w:val="0"/>
                <w:i w:val="0"/>
                <w:color w:val="1C1E2E"/>
                <w:sz w:val="19"/>
              </w:rPr>
              <w:t>EdTech portfolio (6 areas)</w:t>
            </w:r>
          </w:p>
        </w:tc>
        <w:tc>
          <w:tcPr>
            <w:tcW w:type="dxa" w:w="4824"/>
          </w:tcPr>
          <w:p>
            <w:pPr>
              <w:spacing w:after="40"/>
            </w:pPr>
            <w:r/>
            <w:r>
              <w:rPr>
                <w:rFonts w:ascii="Inter" w:hAnsi="Inter" w:cs="Inter"/>
                <w:b w:val="0"/>
                <w:i w:val="0"/>
                <w:color w:val="1C1E2E"/>
                <w:sz w:val="19"/>
              </w:rPr>
              <w:t>https://profeanaeslavaedtech.github.io/eLearningportfolio/</w:t>
            </w:r>
          </w:p>
        </w:tc>
      </w:tr>
      <w:tr>
        <w:tc>
          <w:tcPr>
            <w:tcW w:type="dxa" w:w="4824"/>
          </w:tcPr>
          <w:p>
            <w:pPr>
              <w:spacing w:after="40"/>
            </w:pPr>
            <w:r/>
            <w:r>
              <w:rPr>
                <w:rFonts w:ascii="Inter" w:hAnsi="Inter" w:cs="Inter"/>
                <w:b w:val="0"/>
                <w:i w:val="0"/>
                <w:color w:val="1C1E2E"/>
                <w:sz w:val="19"/>
              </w:rPr>
              <w:t>Research &amp; ID portfolio</w:t>
            </w:r>
          </w:p>
        </w:tc>
        <w:tc>
          <w:tcPr>
            <w:tcW w:type="dxa" w:w="4824"/>
          </w:tcPr>
          <w:p>
            <w:pPr>
              <w:spacing w:after="40"/>
            </w:pPr>
            <w:r/>
            <w:r>
              <w:rPr>
                <w:rFonts w:ascii="Inter" w:hAnsi="Inter" w:cs="Inter"/>
                <w:b w:val="0"/>
                <w:i w:val="0"/>
                <w:color w:val="1C1E2E"/>
                <w:sz w:val="19"/>
              </w:rPr>
              <w:t>https://profeanaeslavaedtech.github.io/portofolio/</w:t>
            </w:r>
          </w:p>
        </w:tc>
      </w:tr>
      <w:tr>
        <w:tc>
          <w:tcPr>
            <w:tcW w:type="dxa" w:w="4824"/>
          </w:tcPr>
          <w:p>
            <w:pPr>
              <w:spacing w:after="40"/>
            </w:pPr>
            <w:r/>
            <w:r>
              <w:rPr>
                <w:rFonts w:ascii="Inter" w:hAnsi="Inter" w:cs="Inter"/>
                <w:b w:val="0"/>
                <w:i w:val="0"/>
                <w:color w:val="1C1E2E"/>
                <w:sz w:val="19"/>
              </w:rPr>
              <w:t>Professional site</w:t>
            </w:r>
          </w:p>
        </w:tc>
        <w:tc>
          <w:tcPr>
            <w:tcW w:type="dxa" w:w="4824"/>
          </w:tcPr>
          <w:p>
            <w:pPr>
              <w:spacing w:after="40"/>
            </w:pPr>
            <w:r/>
            <w:r>
              <w:rPr>
                <w:rFonts w:ascii="Inter" w:hAnsi="Inter" w:cs="Inter"/>
                <w:b w:val="0"/>
                <w:i w:val="0"/>
                <w:color w:val="1C1E2E"/>
                <w:sz w:val="19"/>
              </w:rPr>
              <w:t>https://www.profeanaeslava.com</w:t>
            </w:r>
          </w:p>
        </w:tc>
      </w:tr>
      <w:tr>
        <w:tc>
          <w:tcPr>
            <w:tcW w:type="dxa" w:w="4824"/>
          </w:tcPr>
          <w:p>
            <w:pPr>
              <w:spacing w:after="40"/>
            </w:pPr>
            <w:r/>
            <w:r>
              <w:rPr>
                <w:rFonts w:ascii="Inter" w:hAnsi="Inter" w:cs="Inter"/>
                <w:b w:val="0"/>
                <w:i w:val="0"/>
                <w:color w:val="1C1E2E"/>
                <w:sz w:val="19"/>
              </w:rPr>
              <w:t>Supporting documents</w:t>
            </w:r>
          </w:p>
        </w:tc>
        <w:tc>
          <w:tcPr>
            <w:tcW w:type="dxa" w:w="4824"/>
          </w:tcPr>
          <w:p>
            <w:pPr>
              <w:spacing w:after="40"/>
            </w:pPr>
            <w:r/>
            <w:r>
              <w:rPr>
                <w:rFonts w:ascii="Inter" w:hAnsi="Inter" w:cs="Inter"/>
                <w:b w:val="0"/>
                <w:i w:val="0"/>
                <w:color w:val="1C1E2E"/>
                <w:sz w:val="19"/>
              </w:rPr>
              <w:t>Annex §8 — one PDF per merit, numbered [DOC-01]…[DOC-nn]</w:t>
            </w:r>
          </w:p>
        </w:tc>
      </w:tr>
    </w:tbl>
    <w:p/>
    <w:p>
      <w:pPr>
        <w:pBdr>
          <w:bottom w:val="single" w:sz="6" w:space="1" w:color="E6E8F2"/>
        </w:pBdr>
      </w:pPr>
    </w:p>
    <w:p>
      <w:pPr>
        <w:spacing w:before="320" w:after="120"/>
      </w:pPr>
      <w:r>
        <w:rPr>
          <w:rFonts w:ascii="Fraunces" w:hAnsi="Fraunces" w:cs="Fraunces"/>
          <w:b/>
          <w:i w:val="0"/>
          <w:color w:val="22307C"/>
          <w:sz w:val="42"/>
        </w:rPr>
        <w:t xml:space="preserve">BLOCK A — ACADEMIC RECORD · </w:t>
      </w:r>
      <w:r>
        <w:rPr>
          <w:rFonts w:ascii="Fraunces" w:hAnsi="Fraunces" w:cs="Fraunces"/>
          <w:b/>
          <w:i w:val="0"/>
          <w:color w:val="22307C"/>
          <w:sz w:val="42"/>
        </w:rPr>
        <w:t>70 %</w:t>
      </w:r>
    </w:p>
    <w:p>
      <w:pPr>
        <w:pBdr>
          <w:left w:val="single" w:sz="18" w:space="8" w:color="9A5B00"/>
        </w:pBdr>
        <w:spacing w:before="120" w:after="200"/>
        <w:ind w:left="317"/>
      </w:pPr>
      <w:r>
        <w:rPr>
          <w:rFonts w:ascii="Inter" w:hAnsi="Inter" w:cs="Inter"/>
          <w:b w:val="0"/>
          <w:i w:val="0"/>
          <w:color w:val="5B5F77"/>
          <w:sz w:val="21"/>
        </w:rPr>
        <w:t xml:space="preserve">The heaviest-weighted block. A </w:t>
      </w:r>
      <w:r>
        <w:rPr>
          <w:rFonts w:ascii="Inter" w:hAnsi="Inter" w:cs="Inter"/>
          <w:b/>
          <w:i w:val="0"/>
          <w:color w:val="5B5F77"/>
          <w:sz w:val="21"/>
        </w:rPr>
        <w:t>personal academic transcript</w:t>
      </w:r>
      <w:r>
        <w:rPr>
          <w:rFonts w:ascii="Inter" w:hAnsi="Inter" w:cs="Inter"/>
          <w:b w:val="0"/>
          <w:i w:val="0"/>
          <w:color w:val="5B5F77"/>
          <w:sz w:val="21"/>
        </w:rPr>
        <w:t xml:space="preserve"> with the grade-point average on the 0–10 Spanish scale is supplied for each degree, plus the official equivalence for the foreign degree.</w:t>
      </w:r>
    </w:p>
    <w:p>
      <w:pPr>
        <w:spacing w:before="320" w:after="120"/>
      </w:pPr>
      <w:r>
        <w:rPr>
          <w:rFonts w:ascii="Fraunces" w:hAnsi="Fraunces" w:cs="Fraunces"/>
          <w:b/>
          <w:i w:val="0"/>
          <w:color w:val="22307C"/>
          <w:sz w:val="32"/>
        </w:rPr>
        <w:t>A.1 · Master's Degree in Languages and Technology — Didactics specialisation</w:t>
      </w:r>
    </w:p>
    <w:p>
      <w:r>
        <w:rPr>
          <w:rFonts w:ascii="Inter" w:hAnsi="Inter" w:cs="Inter"/>
          <w:b/>
          <w:i w:val="0"/>
          <w:color w:val="1C1E2E"/>
          <w:sz w:val="22"/>
        </w:rPr>
        <w:t>Universitat Politècnica de València (UPV), Spain — July 2026</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Indicator</w:t>
            </w:r>
          </w:p>
        </w:tc>
        <w:tc>
          <w:tcPr>
            <w:tcW w:type="dxa" w:w="4824"/>
            <w:shd w:val="clear" w:color="auto" w:fill="EEF2FD"/>
          </w:tcPr>
          <w:p>
            <w:pPr>
              <w:spacing w:after="40"/>
            </w:pPr>
            <w:r/>
            <w:r>
              <w:rPr>
                <w:rFonts w:ascii="Inter" w:hAnsi="Inter" w:cs="Inter"/>
                <w:b/>
                <w:i w:val="0"/>
                <w:color w:val="22307C"/>
                <w:sz w:val="19"/>
              </w:rPr>
              <w:t>Value</w:t>
            </w:r>
          </w:p>
        </w:tc>
      </w:tr>
      <w:tr>
        <w:tc>
          <w:tcPr>
            <w:tcW w:type="dxa" w:w="4824"/>
          </w:tcPr>
          <w:p>
            <w:pPr>
              <w:spacing w:after="40"/>
            </w:pPr>
            <w:r/>
            <w:r>
              <w:rPr>
                <w:rFonts w:ascii="Inter" w:hAnsi="Inter" w:cs="Inter"/>
                <w:b/>
                <w:i w:val="0"/>
                <w:color w:val="1C1E2E"/>
                <w:sz w:val="19"/>
              </w:rPr>
              <w:t>Grade-point average</w:t>
            </w:r>
          </w:p>
        </w:tc>
        <w:tc>
          <w:tcPr>
            <w:tcW w:type="dxa" w:w="4824"/>
          </w:tcPr>
          <w:p>
            <w:pPr>
              <w:spacing w:after="40"/>
            </w:pPr>
            <w:r/>
            <w:r>
              <w:rPr>
                <w:rFonts w:ascii="Inter" w:hAnsi="Inter" w:cs="Inter"/>
                <w:b/>
                <w:i w:val="0"/>
                <w:color w:val="1C1E2E"/>
                <w:sz w:val="19"/>
              </w:rPr>
              <w:t>9.4 / 10</w:t>
            </w:r>
          </w:p>
        </w:tc>
      </w:tr>
      <w:tr>
        <w:tc>
          <w:tcPr>
            <w:tcW w:type="dxa" w:w="4824"/>
          </w:tcPr>
          <w:p>
            <w:pPr>
              <w:spacing w:after="40"/>
            </w:pPr>
            <w:r/>
            <w:r>
              <w:rPr>
                <w:rFonts w:ascii="Inter" w:hAnsi="Inter" w:cs="Inter"/>
                <w:b w:val="0"/>
                <w:i w:val="0"/>
                <w:color w:val="1C1E2E"/>
                <w:sz w:val="19"/>
              </w:rPr>
              <w:t>Distinctions (</w:t>
            </w:r>
            <w:r>
              <w:rPr>
                <w:rFonts w:ascii="Inter" w:hAnsi="Inter" w:cs="Inter"/>
                <w:b w:val="0"/>
                <w:i/>
                <w:color w:val="1C1E2E"/>
                <w:sz w:val="19"/>
              </w:rPr>
              <w:t>Matrícula de Honor</w:t>
            </w:r>
            <w:r>
              <w:rPr>
                <w:rFonts w:ascii="Inter" w:hAnsi="Inter" w:cs="Inter"/>
                <w:b w:val="0"/>
                <w:i w:val="0"/>
                <w:color w:val="1C1E2E"/>
                <w:sz w:val="19"/>
              </w:rPr>
              <w:t>)</w:t>
            </w:r>
          </w:p>
        </w:tc>
        <w:tc>
          <w:tcPr>
            <w:tcW w:type="dxa" w:w="4824"/>
          </w:tcPr>
          <w:p>
            <w:pPr>
              <w:spacing w:after="40"/>
            </w:pPr>
            <w:r/>
            <w:r>
              <w:rPr>
                <w:rFonts w:ascii="Inter" w:hAnsi="Inter" w:cs="Inter"/>
                <w:b/>
                <w:i w:val="0"/>
                <w:color w:val="1C1E2E"/>
                <w:sz w:val="19"/>
              </w:rPr>
              <w:t>2</w:t>
            </w:r>
          </w:p>
        </w:tc>
      </w:tr>
      <w:tr>
        <w:tc>
          <w:tcPr>
            <w:tcW w:type="dxa" w:w="4824"/>
          </w:tcPr>
          <w:p>
            <w:pPr>
              <w:spacing w:after="40"/>
            </w:pPr>
            <w:r/>
            <w:r>
              <w:rPr>
                <w:rFonts w:ascii="Inter" w:hAnsi="Inter" w:cs="Inter"/>
                <w:b w:val="0"/>
                <w:i w:val="0"/>
                <w:color w:val="1C1E2E"/>
                <w:sz w:val="19"/>
              </w:rPr>
              <w:t xml:space="preserve">Grade for the </w:t>
            </w:r>
            <w:r>
              <w:rPr>
                <w:rFonts w:ascii="Inter" w:hAnsi="Inter" w:cs="Inter"/>
                <w:b w:val="0"/>
                <w:i/>
                <w:color w:val="1C1E2E"/>
                <w:sz w:val="19"/>
              </w:rPr>
              <w:t>Academic Writing Journey</w:t>
            </w:r>
            <w:r>
              <w:rPr>
                <w:rFonts w:ascii="Inter" w:hAnsi="Inter" w:cs="Inter"/>
                <w:b w:val="0"/>
                <w:i w:val="0"/>
                <w:color w:val="1C1E2E"/>
                <w:sz w:val="19"/>
              </w:rPr>
              <w:t xml:space="preserve"> project</w:t>
            </w:r>
          </w:p>
        </w:tc>
        <w:tc>
          <w:tcPr>
            <w:tcW w:type="dxa" w:w="4824"/>
          </w:tcPr>
          <w:p>
            <w:pPr>
              <w:spacing w:after="40"/>
            </w:pPr>
            <w:r/>
            <w:r>
              <w:rPr>
                <w:rFonts w:ascii="Inter" w:hAnsi="Inter" w:cs="Inter"/>
                <w:b/>
                <w:i w:val="0"/>
                <w:color w:val="1C1E2E"/>
                <w:sz w:val="19"/>
              </w:rPr>
              <w:t>10/10</w:t>
            </w:r>
            <w:r>
              <w:rPr>
                <w:rFonts w:ascii="Inter" w:hAnsi="Inter" w:cs="Inter"/>
                <w:b w:val="0"/>
                <w:i w:val="0"/>
                <w:color w:val="1C1E2E"/>
                <w:sz w:val="19"/>
              </w:rPr>
              <w:t xml:space="preserve"> (course "Simulation, Games and Technology Applied to Teaching Strategies and Research Methodology", Prof. Ricardo Casañ-Pitarch)</w:t>
            </w:r>
          </w:p>
        </w:tc>
      </w:tr>
      <w:tr>
        <w:tc>
          <w:tcPr>
            <w:tcW w:type="dxa" w:w="4824"/>
          </w:tcPr>
          <w:p>
            <w:pPr>
              <w:spacing w:after="40"/>
            </w:pPr>
            <w:r/>
            <w:r>
              <w:rPr>
                <w:rFonts w:ascii="Inter" w:hAnsi="Inter" w:cs="Inter"/>
                <w:b w:val="0"/>
                <w:i w:val="0"/>
                <w:color w:val="1C1E2E"/>
                <w:sz w:val="19"/>
              </w:rPr>
              <w:t>Evidence</w:t>
            </w:r>
          </w:p>
        </w:tc>
        <w:tc>
          <w:tcPr>
            <w:tcW w:type="dxa" w:w="4824"/>
          </w:tcPr>
          <w:p>
            <w:pPr>
              <w:spacing w:after="40"/>
            </w:pPr>
            <w:r/>
            <w:r>
              <w:rPr>
                <w:rFonts w:ascii="Inter" w:hAnsi="Inter" w:cs="Inter"/>
                <w:b w:val="0"/>
                <w:i w:val="0"/>
                <w:color w:val="1C1E2E"/>
                <w:sz w:val="19"/>
              </w:rPr>
              <w:t xml:space="preserve">UPV academic transcript </w:t>
            </w:r>
            <w:r>
              <w:rPr>
                <w:rFonts w:ascii="Inter" w:hAnsi="Inter" w:cs="Inter"/>
                <w:b/>
                <w:i w:val="0"/>
                <w:color w:val="1C1E2E"/>
                <w:sz w:val="19"/>
              </w:rPr>
              <w:t>[DOC-01]</w:t>
            </w:r>
            <w:r>
              <w:rPr>
                <w:rFonts w:ascii="Inter" w:hAnsi="Inter" w:cs="Inter"/>
                <w:b w:val="0"/>
                <w:i w:val="0"/>
                <w:color w:val="1C1E2E"/>
                <w:sz w:val="19"/>
              </w:rPr>
              <w:t xml:space="preserve"> · Degree certificate </w:t>
            </w:r>
            <w:r>
              <w:rPr>
                <w:rFonts w:ascii="Inter" w:hAnsi="Inter" w:cs="Inter"/>
                <w:b/>
                <w:i w:val="0"/>
                <w:color w:val="1C1E2E"/>
                <w:sz w:val="19"/>
              </w:rPr>
              <w:t>[DOC-02]</w:t>
            </w:r>
          </w:p>
        </w:tc>
      </w:tr>
    </w:tbl>
    <w:p/>
    <w:p>
      <w:r>
        <w:rPr>
          <w:rFonts w:ascii="Inter" w:hAnsi="Inter" w:cs="Inter"/>
          <w:b/>
          <w:i w:val="0"/>
          <w:color w:val="1C1E2E"/>
          <w:sz w:val="22"/>
        </w:rPr>
        <w:t>Relevance to the doctorate.</w:t>
      </w:r>
      <w:r>
        <w:rPr>
          <w:rFonts w:ascii="Inter" w:hAnsi="Inter" w:cs="Inter"/>
          <w:b w:val="0"/>
          <w:i w:val="0"/>
          <w:color w:val="1C1E2E"/>
          <w:sz w:val="22"/>
        </w:rPr>
        <w:t xml:space="preserve"> This master's is the direct access qualification for the programme and places the record in the upper band of the scale. The Didactics specialisation and UPV's Department of Applied Linguistics are precisely the setting of the MLLDE thesis proposal, which guarantees methodological and supervisory continuity.</w:t>
      </w:r>
    </w:p>
    <w:p>
      <w:pPr>
        <w:spacing w:before="320" w:after="120"/>
      </w:pPr>
      <w:r>
        <w:rPr>
          <w:rFonts w:ascii="Fraunces" w:hAnsi="Fraunces" w:cs="Fraunces"/>
          <w:b/>
          <w:i w:val="0"/>
          <w:color w:val="22307C"/>
          <w:sz w:val="32"/>
        </w:rPr>
        <w:t>A.2 · Licenciada en Educación, mención Inglés (Degree in Education, English major)</w:t>
      </w:r>
    </w:p>
    <w:p>
      <w:r>
        <w:rPr>
          <w:rFonts w:ascii="Inter" w:hAnsi="Inter" w:cs="Inter"/>
          <w:b/>
          <w:i w:val="0"/>
          <w:color w:val="1C1E2E"/>
          <w:sz w:val="22"/>
        </w:rPr>
        <w:t>Universidad de Los Andes (ULA) — Núcleo Universitario "Dr. Pedro Rincón Gutiérrez", San Cristóbal, Táchira, Venezuela</w:t>
      </w:r>
    </w:p>
    <w:p>
      <w:r>
        <w:rPr>
          <w:rFonts w:ascii="Inter" w:hAnsi="Inter" w:cs="Inter"/>
          <w:b/>
          <w:i w:val="0"/>
          <w:color w:val="1C1E2E"/>
          <w:sz w:val="22"/>
        </w:rPr>
        <w:t>Studies 1999–2003 · graduated in academic term U-2003 · degree conferred 2004</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Indicator</w:t>
            </w:r>
          </w:p>
        </w:tc>
        <w:tc>
          <w:tcPr>
            <w:tcW w:type="dxa" w:w="3216"/>
            <w:shd w:val="clear" w:color="auto" w:fill="EEF2FD"/>
          </w:tcPr>
          <w:p>
            <w:pPr>
              <w:spacing w:after="40"/>
            </w:pPr>
            <w:r/>
            <w:r>
              <w:rPr>
                <w:rFonts w:ascii="Inter" w:hAnsi="Inter" w:cs="Inter"/>
                <w:b/>
                <w:i w:val="0"/>
                <w:color w:val="22307C"/>
                <w:sz w:val="19"/>
              </w:rPr>
              <w:t>Value</w:t>
            </w:r>
          </w:p>
        </w:tc>
        <w:tc>
          <w:tcPr>
            <w:tcW w:type="dxa" w:w="3216"/>
            <w:shd w:val="clear" w:color="auto" w:fill="EEF2FD"/>
          </w:tcPr>
          <w:p>
            <w:pPr>
              <w:spacing w:after="40"/>
            </w:pPr>
            <w:r/>
            <w:r>
              <w:rPr>
                <w:rFonts w:ascii="Inter" w:hAnsi="Inter" w:cs="Inter"/>
                <w:b/>
                <w:i w:val="0"/>
                <w:color w:val="22307C"/>
                <w:sz w:val="19"/>
              </w:rPr>
              <w:t>Source</w:t>
            </w:r>
          </w:p>
        </w:tc>
      </w:tr>
      <w:tr>
        <w:tc>
          <w:tcPr>
            <w:tcW w:type="dxa" w:w="3216"/>
          </w:tcPr>
          <w:p>
            <w:pPr>
              <w:spacing w:after="40"/>
            </w:pPr>
            <w:r/>
            <w:r>
              <w:rPr>
                <w:rFonts w:ascii="Inter" w:hAnsi="Inter" w:cs="Inter"/>
                <w:b/>
                <w:i w:val="0"/>
                <w:color w:val="1C1E2E"/>
                <w:sz w:val="19"/>
              </w:rPr>
              <w:t>GPA converted to the Spanish scale</w:t>
            </w:r>
          </w:p>
        </w:tc>
        <w:tc>
          <w:tcPr>
            <w:tcW w:type="dxa" w:w="3216"/>
          </w:tcPr>
          <w:p>
            <w:pPr>
              <w:spacing w:after="40"/>
            </w:pPr>
            <w:r/>
            <w:r>
              <w:rPr>
                <w:rFonts w:ascii="Inter" w:hAnsi="Inter" w:cs="Inter"/>
                <w:b/>
                <w:i w:val="0"/>
                <w:color w:val="1C1E2E"/>
                <w:sz w:val="19"/>
              </w:rPr>
              <w:t>9.07 / 10</w:t>
            </w:r>
          </w:p>
        </w:tc>
        <w:tc>
          <w:tcPr>
            <w:tcW w:type="dxa" w:w="3216"/>
          </w:tcPr>
          <w:p>
            <w:pPr>
              <w:spacing w:after="40"/>
            </w:pPr>
            <w:r/>
            <w:r>
              <w:rPr>
                <w:rFonts w:ascii="Inter" w:hAnsi="Inter" w:cs="Inter"/>
                <w:b w:val="0"/>
                <w:i w:val="0"/>
                <w:color w:val="1C1E2E"/>
                <w:sz w:val="19"/>
              </w:rPr>
              <w:t xml:space="preserve">Official grade-equivalence declaration — Spanish General Secretariat for Universities </w:t>
            </w:r>
            <w:r>
              <w:rPr>
                <w:rFonts w:ascii="Inter" w:hAnsi="Inter" w:cs="Inter"/>
                <w:b/>
                <w:i w:val="0"/>
                <w:color w:val="1C1E2E"/>
                <w:sz w:val="19"/>
              </w:rPr>
              <w:t>[DOC-05]</w:t>
            </w:r>
          </w:p>
        </w:tc>
      </w:tr>
      <w:tr>
        <w:tc>
          <w:tcPr>
            <w:tcW w:type="dxa" w:w="3216"/>
          </w:tcPr>
          <w:p>
            <w:pPr>
              <w:spacing w:after="40"/>
            </w:pPr>
            <w:r/>
            <w:r>
              <w:rPr>
                <w:rFonts w:ascii="Inter" w:hAnsi="Inter" w:cs="Inter"/>
                <w:b w:val="0"/>
                <w:i w:val="0"/>
                <w:color w:val="1C1E2E"/>
                <w:sz w:val="19"/>
              </w:rPr>
              <w:t>GPA on the home scale</w:t>
            </w:r>
          </w:p>
        </w:tc>
        <w:tc>
          <w:tcPr>
            <w:tcW w:type="dxa" w:w="3216"/>
          </w:tcPr>
          <w:p>
            <w:pPr>
              <w:spacing w:after="40"/>
            </w:pPr>
            <w:r/>
            <w:r>
              <w:rPr>
                <w:rFonts w:ascii="Inter" w:hAnsi="Inter" w:cs="Inter"/>
                <w:b/>
                <w:i w:val="0"/>
                <w:color w:val="1C1E2E"/>
                <w:sz w:val="19"/>
              </w:rPr>
              <w:t>18.97 / 20</w:t>
            </w:r>
            <w:r>
              <w:rPr>
                <w:rFonts w:ascii="Inter" w:hAnsi="Inter" w:cs="Inter"/>
                <w:b w:val="0"/>
                <w:i w:val="0"/>
                <w:color w:val="1C1E2E"/>
                <w:sz w:val="19"/>
              </w:rPr>
              <w:t xml:space="preserve"> (Venezuelan 0–20 scale, pass ≥ 10)</w:t>
            </w:r>
          </w:p>
        </w:tc>
        <w:tc>
          <w:tcPr>
            <w:tcW w:type="dxa" w:w="3216"/>
          </w:tcPr>
          <w:p>
            <w:pPr>
              <w:spacing w:after="40"/>
            </w:pPr>
            <w:r/>
            <w:r>
              <w:rPr>
                <w:rFonts w:ascii="Inter" w:hAnsi="Inter" w:cs="Inter"/>
                <w:b w:val="0"/>
                <w:i w:val="0"/>
                <w:color w:val="1C1E2E"/>
                <w:sz w:val="19"/>
              </w:rPr>
              <w:t xml:space="preserve">Academic Rank Certificate </w:t>
            </w:r>
            <w:r>
              <w:rPr>
                <w:rFonts w:ascii="Inter" w:hAnsi="Inter" w:cs="Inter"/>
                <w:b/>
                <w:i w:val="0"/>
                <w:color w:val="1C1E2E"/>
                <w:sz w:val="19"/>
              </w:rPr>
              <w:t>[DOC-06]</w:t>
            </w:r>
          </w:p>
        </w:tc>
      </w:tr>
      <w:tr>
        <w:tc>
          <w:tcPr>
            <w:tcW w:type="dxa" w:w="3216"/>
          </w:tcPr>
          <w:p>
            <w:pPr>
              <w:spacing w:after="40"/>
            </w:pPr>
            <w:r/>
            <w:r>
              <w:rPr>
                <w:rFonts w:ascii="Inter" w:hAnsi="Inter" w:cs="Inter"/>
                <w:b/>
                <w:i w:val="0"/>
                <w:color w:val="1C1E2E"/>
                <w:sz w:val="19"/>
              </w:rPr>
              <w:t>Class ranking</w:t>
            </w:r>
          </w:p>
        </w:tc>
        <w:tc>
          <w:tcPr>
            <w:tcW w:type="dxa" w:w="3216"/>
          </w:tcPr>
          <w:p>
            <w:pPr>
              <w:spacing w:after="40"/>
            </w:pPr>
            <w:r/>
            <w:r>
              <w:rPr>
                <w:rFonts w:ascii="Inter" w:hAnsi="Inter" w:cs="Inter"/>
                <w:b/>
                <w:i w:val="0"/>
                <w:color w:val="1C1E2E"/>
                <w:sz w:val="19"/>
              </w:rPr>
              <w:t>1st of 56 graduates</w:t>
            </w:r>
            <w:r>
              <w:rPr>
                <w:rFonts w:ascii="Inter" w:hAnsi="Inter" w:cs="Inter"/>
                <w:b w:val="0"/>
                <w:i w:val="0"/>
                <w:color w:val="1C1E2E"/>
                <w:sz w:val="19"/>
              </w:rPr>
              <w:t xml:space="preserve"> — cohort average: 15.77</w:t>
            </w:r>
          </w:p>
        </w:tc>
        <w:tc>
          <w:tcPr>
            <w:tcW w:type="dxa" w:w="3216"/>
          </w:tcPr>
          <w:p>
            <w:pPr>
              <w:spacing w:after="40"/>
            </w:pPr>
            <w:r/>
            <w:r>
              <w:rPr>
                <w:rFonts w:ascii="Inter" w:hAnsi="Inter" w:cs="Inter"/>
                <w:b w:val="0"/>
                <w:i w:val="0"/>
                <w:color w:val="1C1E2E"/>
                <w:sz w:val="19"/>
              </w:rPr>
              <w:t xml:space="preserve">Academic Rank Certificate </w:t>
            </w:r>
            <w:r>
              <w:rPr>
                <w:rFonts w:ascii="Inter" w:hAnsi="Inter" w:cs="Inter"/>
                <w:b/>
                <w:i w:val="0"/>
                <w:color w:val="1C1E2E"/>
                <w:sz w:val="19"/>
              </w:rPr>
              <w:t>[DOC-06]</w:t>
            </w:r>
          </w:p>
        </w:tc>
      </w:tr>
      <w:tr>
        <w:tc>
          <w:tcPr>
            <w:tcW w:type="dxa" w:w="3216"/>
          </w:tcPr>
          <w:p>
            <w:pPr>
              <w:spacing w:after="40"/>
            </w:pPr>
            <w:r/>
            <w:r>
              <w:rPr>
                <w:rFonts w:ascii="Inter" w:hAnsi="Inter" w:cs="Inter"/>
                <w:b w:val="0"/>
                <w:i w:val="0"/>
                <w:color w:val="1C1E2E"/>
                <w:sz w:val="19"/>
              </w:rPr>
              <w:t>Grade distribution</w:t>
            </w:r>
          </w:p>
        </w:tc>
        <w:tc>
          <w:tcPr>
            <w:tcW w:type="dxa" w:w="3216"/>
          </w:tcPr>
          <w:p>
            <w:pPr>
              <w:spacing w:after="40"/>
            </w:pPr>
            <w:r/>
            <w:r>
              <w:rPr>
                <w:rFonts w:ascii="Inter" w:hAnsi="Inter" w:cs="Inter"/>
                <w:b w:val="0"/>
                <w:i w:val="0"/>
                <w:color w:val="1C1E2E"/>
                <w:sz w:val="19"/>
              </w:rPr>
              <w:t xml:space="preserve">0 % pass · 28.45 % notable · </w:t>
            </w:r>
            <w:r>
              <w:rPr>
                <w:rFonts w:ascii="Inter" w:hAnsi="Inter" w:cs="Inter"/>
                <w:b/>
                <w:i w:val="0"/>
                <w:color w:val="1C1E2E"/>
                <w:sz w:val="19"/>
              </w:rPr>
              <w:t>38.79 % sobresaliente</w:t>
            </w:r>
            <w:r>
              <w:rPr>
                <w:rFonts w:ascii="Inter" w:hAnsi="Inter" w:cs="Inter"/>
                <w:b w:val="0"/>
                <w:i w:val="0"/>
                <w:color w:val="1C1E2E"/>
                <w:sz w:val="19"/>
              </w:rPr>
              <w:t xml:space="preserve"> · </w:t>
            </w:r>
            <w:r>
              <w:rPr>
                <w:rFonts w:ascii="Inter" w:hAnsi="Inter" w:cs="Inter"/>
                <w:b/>
                <w:i w:val="0"/>
                <w:color w:val="1C1E2E"/>
                <w:sz w:val="19"/>
              </w:rPr>
              <w:t>32.76 % matrícula de honor</w:t>
            </w:r>
          </w:p>
        </w:tc>
        <w:tc>
          <w:tcPr>
            <w:tcW w:type="dxa" w:w="3216"/>
          </w:tcPr>
          <w:p>
            <w:pPr>
              <w:spacing w:after="40"/>
            </w:pPr>
            <w:r/>
            <w:r>
              <w:rPr>
                <w:rFonts w:ascii="Inter" w:hAnsi="Inter" w:cs="Inter"/>
                <w:b w:val="0"/>
                <w:i w:val="0"/>
                <w:color w:val="1C1E2E"/>
                <w:sz w:val="19"/>
              </w:rPr>
              <w:t xml:space="preserve">Equivalence declaration </w:t>
            </w:r>
            <w:r>
              <w:rPr>
                <w:rFonts w:ascii="Inter" w:hAnsi="Inter" w:cs="Inter"/>
                <w:b/>
                <w:i w:val="0"/>
                <w:color w:val="1C1E2E"/>
                <w:sz w:val="19"/>
              </w:rPr>
              <w:t>[DOC-05]</w:t>
            </w:r>
          </w:p>
        </w:tc>
      </w:tr>
      <w:tr>
        <w:tc>
          <w:tcPr>
            <w:tcW w:type="dxa" w:w="3216"/>
          </w:tcPr>
          <w:p>
            <w:pPr>
              <w:spacing w:after="40"/>
            </w:pPr>
            <w:r/>
            <w:r>
              <w:rPr>
                <w:rFonts w:ascii="Inter" w:hAnsi="Inter" w:cs="Inter"/>
                <w:b w:val="0"/>
                <w:i w:val="0"/>
                <w:color w:val="1C1E2E"/>
                <w:sz w:val="19"/>
              </w:rPr>
              <w:t>Volume of the record</w:t>
            </w:r>
          </w:p>
        </w:tc>
        <w:tc>
          <w:tcPr>
            <w:tcW w:type="dxa" w:w="3216"/>
          </w:tcPr>
          <w:p>
            <w:pPr>
              <w:spacing w:after="40"/>
            </w:pPr>
            <w:r/>
            <w:r>
              <w:rPr>
                <w:rFonts w:ascii="Inter" w:hAnsi="Inter" w:cs="Inter"/>
                <w:b w:val="0"/>
                <w:i w:val="0"/>
                <w:color w:val="1C1E2E"/>
                <w:sz w:val="19"/>
              </w:rPr>
              <w:t>119 courses/credits (116 graded)</w:t>
            </w:r>
          </w:p>
        </w:tc>
        <w:tc>
          <w:tcPr>
            <w:tcW w:type="dxa" w:w="3216"/>
          </w:tcPr>
          <w:p>
            <w:pPr>
              <w:spacing w:after="40"/>
            </w:pPr>
            <w:r/>
            <w:r>
              <w:rPr>
                <w:rFonts w:ascii="Inter" w:hAnsi="Inter" w:cs="Inter"/>
                <w:b w:val="0"/>
                <w:i w:val="0"/>
                <w:color w:val="1C1E2E"/>
                <w:sz w:val="19"/>
              </w:rPr>
              <w:t xml:space="preserve">Equivalence declaration </w:t>
            </w:r>
            <w:r>
              <w:rPr>
                <w:rFonts w:ascii="Inter" w:hAnsi="Inter" w:cs="Inter"/>
                <w:b/>
                <w:i w:val="0"/>
                <w:color w:val="1C1E2E"/>
                <w:sz w:val="19"/>
              </w:rPr>
              <w:t>[DOC-05]</w:t>
            </w:r>
          </w:p>
        </w:tc>
      </w:tr>
      <w:tr>
        <w:tc>
          <w:tcPr>
            <w:tcW w:type="dxa" w:w="3216"/>
          </w:tcPr>
          <w:p>
            <w:pPr>
              <w:spacing w:after="40"/>
            </w:pPr>
            <w:r/>
            <w:r>
              <w:rPr>
                <w:rFonts w:ascii="Inter" w:hAnsi="Inter" w:cs="Inter"/>
                <w:b/>
                <w:i w:val="0"/>
                <w:color w:val="1C1E2E"/>
                <w:sz w:val="19"/>
              </w:rPr>
              <w:t>Degree equivalence</w:t>
            </w:r>
          </w:p>
        </w:tc>
        <w:tc>
          <w:tcPr>
            <w:tcW w:type="dxa" w:w="3216"/>
          </w:tcPr>
          <w:p>
            <w:pPr>
              <w:spacing w:after="40"/>
            </w:pPr>
            <w:r/>
            <w:r>
              <w:rPr>
                <w:rFonts w:ascii="Inter" w:hAnsi="Inter" w:cs="Inter"/>
                <w:b/>
                <w:i w:val="0"/>
                <w:color w:val="1C1E2E"/>
                <w:sz w:val="19"/>
              </w:rPr>
              <w:t>Declared equivalent to the academic level of GRADO (bachelor's)</w:t>
            </w:r>
            <w:r>
              <w:rPr>
                <w:rFonts w:ascii="Inter" w:hAnsi="Inter" w:cs="Inter"/>
                <w:b w:val="0"/>
                <w:i w:val="0"/>
                <w:color w:val="1C1E2E"/>
                <w:sz w:val="19"/>
              </w:rPr>
              <w:t xml:space="preserve">, branch of </w:t>
            </w:r>
            <w:r>
              <w:rPr>
                <w:rFonts w:ascii="Inter" w:hAnsi="Inter" w:cs="Inter"/>
                <w:b/>
                <w:i w:val="0"/>
                <w:color w:val="1C1E2E"/>
                <w:sz w:val="19"/>
              </w:rPr>
              <w:t>Arts and Humanities</w:t>
            </w:r>
            <w:r>
              <w:rPr>
                <w:rFonts w:ascii="Inter" w:hAnsi="Inter" w:cs="Inter"/>
                <w:b w:val="0"/>
                <w:i w:val="0"/>
                <w:color w:val="1C1E2E"/>
                <w:sz w:val="19"/>
              </w:rPr>
              <w:t xml:space="preserve">, specific field </w:t>
            </w:r>
            <w:r>
              <w:rPr>
                <w:rFonts w:ascii="Inter" w:hAnsi="Inter" w:cs="Inter"/>
                <w:b/>
                <w:i w:val="0"/>
                <w:color w:val="1C1E2E"/>
                <w:sz w:val="19"/>
              </w:rPr>
              <w:t>Languages</w:t>
            </w:r>
            <w:r>
              <w:rPr>
                <w:rFonts w:ascii="Inter" w:hAnsi="Inter" w:cs="Inter"/>
                <w:b w:val="0"/>
                <w:i w:val="0"/>
                <w:color w:val="1C1E2E"/>
                <w:sz w:val="19"/>
              </w:rPr>
              <w:t xml:space="preserve"> — Spanish Ministry of Universities, RD 967/2014, Madrid, 17 June 2020</w:t>
            </w:r>
          </w:p>
        </w:tc>
        <w:tc>
          <w:tcPr>
            <w:tcW w:type="dxa" w:w="3216"/>
          </w:tcPr>
          <w:p>
            <w:pPr>
              <w:spacing w:after="40"/>
            </w:pPr>
            <w:r/>
            <w:r>
              <w:rPr>
                <w:rFonts w:ascii="Inter" w:hAnsi="Inter" w:cs="Inter"/>
                <w:b w:val="0"/>
                <w:i w:val="0"/>
                <w:color w:val="1C1E2E"/>
                <w:sz w:val="19"/>
              </w:rPr>
              <w:t xml:space="preserve">Equivalence resolution </w:t>
            </w:r>
            <w:r>
              <w:rPr>
                <w:rFonts w:ascii="Inter" w:hAnsi="Inter" w:cs="Inter"/>
                <w:b/>
                <w:i w:val="0"/>
                <w:color w:val="1C1E2E"/>
                <w:sz w:val="19"/>
              </w:rPr>
              <w:t>[DOC-05B]</w:t>
            </w:r>
          </w:p>
        </w:tc>
      </w:tr>
      <w:tr>
        <w:tc>
          <w:tcPr>
            <w:tcW w:type="dxa" w:w="3216"/>
          </w:tcPr>
          <w:p>
            <w:pPr>
              <w:spacing w:after="40"/>
            </w:pPr>
            <w:r/>
            <w:r>
              <w:rPr>
                <w:rFonts w:ascii="Inter" w:hAnsi="Inter" w:cs="Inter"/>
                <w:b w:val="0"/>
                <w:i w:val="0"/>
                <w:color w:val="1C1E2E"/>
                <w:sz w:val="19"/>
              </w:rPr>
              <w:t>Knowledge branch · ISCED</w:t>
            </w:r>
          </w:p>
        </w:tc>
        <w:tc>
          <w:tcPr>
            <w:tcW w:type="dxa" w:w="3216"/>
          </w:tcPr>
          <w:p>
            <w:pPr>
              <w:spacing w:after="40"/>
            </w:pPr>
            <w:r/>
            <w:r>
              <w:rPr>
                <w:rFonts w:ascii="Inter" w:hAnsi="Inter" w:cs="Inter"/>
                <w:b w:val="0"/>
                <w:i w:val="0"/>
                <w:color w:val="1C1E2E"/>
                <w:sz w:val="19"/>
              </w:rPr>
              <w:t xml:space="preserve">Arts and Humanities / Languages (degree resolution) · ISCED </w:t>
            </w:r>
            <w:r>
              <w:rPr>
                <w:rFonts w:ascii="Inter" w:hAnsi="Inter" w:cs="Inter"/>
                <w:b/>
                <w:i w:val="0"/>
                <w:color w:val="1C1E2E"/>
                <w:sz w:val="19"/>
              </w:rPr>
              <w:t>0114</w:t>
            </w:r>
            <w:r>
              <w:rPr>
                <w:rFonts w:ascii="Inter" w:hAnsi="Inter" w:cs="Inter"/>
                <w:b w:val="0"/>
                <w:i w:val="0"/>
                <w:color w:val="1C1E2E"/>
                <w:sz w:val="19"/>
              </w:rPr>
              <w:t>, teacher training (grade-average form)</w:t>
            </w:r>
          </w:p>
        </w:tc>
        <w:tc>
          <w:tcPr>
            <w:tcW w:type="dxa" w:w="3216"/>
          </w:tcPr>
          <w:p>
            <w:pPr>
              <w:spacing w:after="40"/>
            </w:pPr>
            <w:r/>
            <w:r>
              <w:rPr>
                <w:rFonts w:ascii="Inter" w:hAnsi="Inter" w:cs="Inter"/>
                <w:b/>
                <w:i w:val="0"/>
                <w:color w:val="1C1E2E"/>
                <w:sz w:val="19"/>
              </w:rPr>
              <w:t>[DOC-05B]</w:t>
            </w:r>
            <w:r>
              <w:rPr>
                <w:rFonts w:ascii="Inter" w:hAnsi="Inter" w:cs="Inter"/>
                <w:b w:val="0"/>
                <w:i w:val="0"/>
                <w:color w:val="1C1E2E"/>
                <w:sz w:val="19"/>
              </w:rPr>
              <w:t xml:space="preserve"> · </w:t>
            </w:r>
            <w:r>
              <w:rPr>
                <w:rFonts w:ascii="Inter" w:hAnsi="Inter" w:cs="Inter"/>
                <w:b/>
                <w:i w:val="0"/>
                <w:color w:val="1C1E2E"/>
                <w:sz w:val="19"/>
              </w:rPr>
              <w:t>[DOC-05]</w:t>
            </w:r>
          </w:p>
        </w:tc>
      </w:tr>
      <w:tr>
        <w:tc>
          <w:tcPr>
            <w:tcW w:type="dxa" w:w="3216"/>
          </w:tcPr>
          <w:p>
            <w:pPr>
              <w:spacing w:after="40"/>
            </w:pPr>
            <w:r/>
            <w:r>
              <w:rPr>
                <w:rFonts w:ascii="Inter" w:hAnsi="Inter" w:cs="Inter"/>
                <w:b w:val="0"/>
                <w:i w:val="0"/>
                <w:color w:val="1C1E2E"/>
                <w:sz w:val="19"/>
              </w:rPr>
              <w:t>Academic distinction</w:t>
            </w:r>
          </w:p>
        </w:tc>
        <w:tc>
          <w:tcPr>
            <w:tcW w:type="dxa" w:w="3216"/>
          </w:tcPr>
          <w:p>
            <w:pPr>
              <w:spacing w:after="40"/>
            </w:pPr>
            <w:r/>
            <w:r>
              <w:rPr>
                <w:rFonts w:ascii="Inter" w:hAnsi="Inter" w:cs="Inter"/>
                <w:b/>
                <w:i w:val="0"/>
                <w:color w:val="1C1E2E"/>
                <w:sz w:val="19"/>
              </w:rPr>
              <w:t>Summa Cum Laude</w:t>
            </w:r>
          </w:p>
        </w:tc>
        <w:tc>
          <w:tcPr>
            <w:tcW w:type="dxa" w:w="3216"/>
          </w:tcPr>
          <w:p>
            <w:pPr>
              <w:spacing w:after="40"/>
            </w:pPr>
            <w:r/>
            <w:r>
              <w:rPr>
                <w:rFonts w:ascii="Inter" w:hAnsi="Inter" w:cs="Inter"/>
                <w:b w:val="0"/>
                <w:i w:val="0"/>
                <w:color w:val="1C1E2E"/>
                <w:sz w:val="19"/>
              </w:rPr>
              <w:t xml:space="preserve">Graduation record / diploma </w:t>
            </w:r>
            <w:r>
              <w:rPr>
                <w:rFonts w:ascii="Inter" w:hAnsi="Inter" w:cs="Inter"/>
                <w:b/>
                <w:i w:val="0"/>
                <w:color w:val="1C1E2E"/>
                <w:sz w:val="19"/>
              </w:rPr>
              <w:t>[DOC-04]</w:t>
            </w:r>
          </w:p>
        </w:tc>
      </w:tr>
      <w:tr>
        <w:tc>
          <w:tcPr>
            <w:tcW w:type="dxa" w:w="3216"/>
          </w:tcPr>
          <w:p>
            <w:pPr>
              <w:spacing w:after="40"/>
            </w:pPr>
            <w:r/>
            <w:r>
              <w:rPr>
                <w:rFonts w:ascii="Inter" w:hAnsi="Inter" w:cs="Inter"/>
                <w:b/>
                <w:i w:val="0"/>
                <w:color w:val="1C1E2E"/>
                <w:sz w:val="19"/>
              </w:rPr>
              <w:t>Final-year dissertation</w:t>
            </w:r>
          </w:p>
        </w:tc>
        <w:tc>
          <w:tcPr>
            <w:tcW w:type="dxa" w:w="3216"/>
          </w:tcPr>
          <w:p>
            <w:pPr>
              <w:spacing w:after="40"/>
            </w:pPr>
            <w:r/>
            <w:r>
              <w:rPr>
                <w:rFonts w:ascii="Inter" w:hAnsi="Inter" w:cs="Inter"/>
                <w:b/>
                <w:i w:val="0"/>
                <w:color w:val="1C1E2E"/>
                <w:sz w:val="19"/>
              </w:rPr>
              <w:t>20 / 20 — Sobresaliente</w:t>
            </w:r>
            <w:r>
              <w:rPr>
                <w:rFonts w:ascii="Inter" w:hAnsi="Inter" w:cs="Inter"/>
                <w:b w:val="0"/>
                <w:i w:val="0"/>
                <w:color w:val="1C1E2E"/>
                <w:sz w:val="19"/>
              </w:rPr>
              <w:t xml:space="preserve">, with a </w:t>
            </w:r>
            <w:r>
              <w:rPr>
                <w:rFonts w:ascii="Inter" w:hAnsi="Inter" w:cs="Inter"/>
                <w:b/>
                <w:i w:val="0"/>
                <w:color w:val="1C1E2E"/>
                <w:sz w:val="19"/>
              </w:rPr>
              <w:t>Diploma of Honour awarded by the Rector of ULA</w:t>
            </w:r>
            <w:r>
              <w:rPr>
                <w:rFonts w:ascii="Inter" w:hAnsi="Inter" w:cs="Inter"/>
                <w:b w:val="0"/>
                <w:i w:val="0"/>
                <w:color w:val="1C1E2E"/>
                <w:sz w:val="19"/>
              </w:rPr>
              <w:t xml:space="preserve"> (Mérida, 15 Nov 2004)</w:t>
            </w:r>
          </w:p>
        </w:tc>
        <w:tc>
          <w:tcPr>
            <w:tcW w:type="dxa" w:w="3216"/>
          </w:tcPr>
          <w:p>
            <w:pPr>
              <w:spacing w:after="40"/>
            </w:pPr>
            <w:r/>
            <w:r>
              <w:rPr>
                <w:rFonts w:ascii="Inter" w:hAnsi="Inter" w:cs="Inter"/>
                <w:b w:val="0"/>
                <w:i w:val="0"/>
                <w:color w:val="1C1E2E"/>
                <w:sz w:val="19"/>
              </w:rPr>
              <w:t xml:space="preserve">Diploma of Honour </w:t>
            </w:r>
            <w:r>
              <w:rPr>
                <w:rFonts w:ascii="Inter" w:hAnsi="Inter" w:cs="Inter"/>
                <w:b/>
                <w:i w:val="0"/>
                <w:color w:val="1C1E2E"/>
                <w:sz w:val="19"/>
              </w:rPr>
              <w:t>[DOC-07]</w:t>
            </w:r>
          </w:p>
        </w:tc>
      </w:tr>
      <w:tr>
        <w:tc>
          <w:tcPr>
            <w:tcW w:type="dxa" w:w="3216"/>
          </w:tcPr>
          <w:p>
            <w:pPr>
              <w:spacing w:after="40"/>
            </w:pPr>
            <w:r/>
            <w:r>
              <w:rPr>
                <w:rFonts w:ascii="Inter" w:hAnsi="Inter" w:cs="Inter"/>
                <w:b/>
                <w:i w:val="0"/>
                <w:color w:val="1C1E2E"/>
                <w:sz w:val="19"/>
              </w:rPr>
              <w:t>Sustained distinction across the degree</w:t>
            </w:r>
          </w:p>
        </w:tc>
        <w:tc>
          <w:tcPr>
            <w:tcW w:type="dxa" w:w="3216"/>
          </w:tcPr>
          <w:p>
            <w:pPr>
              <w:spacing w:after="40"/>
            </w:pPr>
            <w:r/>
            <w:r>
              <w:rPr>
                <w:rFonts w:ascii="Inter" w:hAnsi="Inter" w:cs="Inter"/>
                <w:b/>
                <w:i w:val="0"/>
                <w:color w:val="1C1E2E"/>
                <w:sz w:val="19"/>
              </w:rPr>
              <w:t>Order "Luis María Ribas Dávila"</w:t>
            </w:r>
            <w:r>
              <w:rPr>
                <w:rFonts w:ascii="Inter" w:hAnsi="Inter" w:cs="Inter"/>
                <w:b w:val="0"/>
                <w:i w:val="0"/>
                <w:color w:val="1C1E2E"/>
                <w:sz w:val="19"/>
              </w:rPr>
              <w:t xml:space="preserve"> conferred by ULA in </w:t>
            </w:r>
            <w:r>
              <w:rPr>
                <w:rFonts w:ascii="Inter" w:hAnsi="Inter" w:cs="Inter"/>
                <w:b/>
                <w:i w:val="0"/>
                <w:color w:val="1C1E2E"/>
                <w:sz w:val="19"/>
              </w:rPr>
              <w:t>four consecutive years — 2000, 2001, 2002 and 2003</w:t>
            </w:r>
            <w:r>
              <w:rPr>
                <w:rFonts w:ascii="Inter" w:hAnsi="Inter" w:cs="Inter"/>
                <w:b w:val="0"/>
                <w:i w:val="0"/>
                <w:color w:val="1C1E2E"/>
                <w:sz w:val="19"/>
              </w:rPr>
              <w:t xml:space="preserve"> — for the </w:t>
            </w:r>
            <w:r>
              <w:rPr>
                <w:rFonts w:ascii="Inter" w:hAnsi="Inter" w:cs="Inter"/>
                <w:b/>
                <w:i w:val="0"/>
                <w:color w:val="1C1E2E"/>
                <w:sz w:val="19"/>
              </w:rPr>
              <w:t>highest academic performance</w:t>
            </w:r>
            <w:r>
              <w:rPr>
                <w:rFonts w:ascii="Inter" w:hAnsi="Inter" w:cs="Inter"/>
                <w:b w:val="0"/>
                <w:i w:val="0"/>
                <w:color w:val="1C1E2E"/>
                <w:sz w:val="19"/>
              </w:rPr>
              <w:t xml:space="preserve"> in the School of Education, Núcleo Universitario del Táchira</w:t>
            </w:r>
          </w:p>
        </w:tc>
        <w:tc>
          <w:tcPr>
            <w:tcW w:type="dxa" w:w="3216"/>
          </w:tcPr>
          <w:p>
            <w:pPr>
              <w:spacing w:after="40"/>
            </w:pPr>
            <w:r/>
            <w:r>
              <w:rPr>
                <w:rFonts w:ascii="Inter" w:hAnsi="Inter" w:cs="Inter"/>
                <w:b w:val="0"/>
                <w:i w:val="0"/>
                <w:color w:val="1C1E2E"/>
                <w:sz w:val="19"/>
              </w:rPr>
              <w:t xml:space="preserve">Four rectoral diplomas </w:t>
            </w:r>
            <w:r>
              <w:rPr>
                <w:rFonts w:ascii="Inter" w:hAnsi="Inter" w:cs="Inter"/>
                <w:b/>
                <w:i w:val="0"/>
                <w:color w:val="1C1E2E"/>
                <w:sz w:val="19"/>
              </w:rPr>
              <w:t>[DOC-07B]</w:t>
            </w:r>
          </w:p>
        </w:tc>
      </w:tr>
      <w:tr>
        <w:tc>
          <w:tcPr>
            <w:tcW w:type="dxa" w:w="3216"/>
          </w:tcPr>
          <w:p>
            <w:pPr>
              <w:spacing w:after="40"/>
            </w:pPr>
            <w:r/>
            <w:r>
              <w:rPr>
                <w:rFonts w:ascii="Inter" w:hAnsi="Inter" w:cs="Inter"/>
                <w:b w:val="0"/>
                <w:i w:val="0"/>
                <w:color w:val="1C1E2E"/>
                <w:sz w:val="19"/>
              </w:rPr>
              <w:t>Research trajectory of the dissertation</w:t>
            </w:r>
          </w:p>
        </w:tc>
        <w:tc>
          <w:tcPr>
            <w:tcW w:type="dxa" w:w="3216"/>
          </w:tcPr>
          <w:p>
            <w:pPr>
              <w:spacing w:after="40"/>
            </w:pPr>
            <w:r/>
            <w:r>
              <w:rPr>
                <w:rFonts w:ascii="Inter" w:hAnsi="Inter" w:cs="Inter"/>
                <w:b w:val="0"/>
                <w:i w:val="0"/>
                <w:color w:val="1C1E2E"/>
                <w:sz w:val="19"/>
              </w:rPr>
              <w:t>Peer-reviewed and published in an indexed journal, then presented as a refereed paper at an international conference (§5.1)</w:t>
            </w:r>
          </w:p>
        </w:tc>
        <w:tc>
          <w:tcPr>
            <w:tcW w:type="dxa" w:w="3216"/>
          </w:tcPr>
          <w:p>
            <w:pPr>
              <w:spacing w:after="40"/>
            </w:pPr>
            <w:r/>
            <w:r>
              <w:rPr>
                <w:rFonts w:ascii="Inter" w:hAnsi="Inter" w:cs="Inter"/>
                <w:b/>
                <w:i w:val="0"/>
                <w:color w:val="1C1E2E"/>
                <w:sz w:val="19"/>
              </w:rPr>
              <w:t>[DOC-19]</w:t>
            </w:r>
            <w:r>
              <w:rPr>
                <w:rFonts w:ascii="Inter" w:hAnsi="Inter" w:cs="Inter"/>
                <w:b w:val="0"/>
                <w:i w:val="0"/>
                <w:color w:val="1C1E2E"/>
                <w:sz w:val="19"/>
              </w:rPr>
              <w:t xml:space="preserve"> · </w:t>
            </w:r>
            <w:r>
              <w:rPr>
                <w:rFonts w:ascii="Inter" w:hAnsi="Inter" w:cs="Inter"/>
                <w:b/>
                <w:i w:val="0"/>
                <w:color w:val="1C1E2E"/>
                <w:sz w:val="19"/>
              </w:rPr>
              <w:t>[DOC-24]</w:t>
            </w:r>
          </w:p>
        </w:tc>
      </w:tr>
      <w:tr>
        <w:tc>
          <w:tcPr>
            <w:tcW w:type="dxa" w:w="3216"/>
          </w:tcPr>
          <w:p>
            <w:pPr>
              <w:spacing w:after="40"/>
            </w:pPr>
            <w:r/>
            <w:r>
              <w:rPr>
                <w:rFonts w:ascii="Inter" w:hAnsi="Inter" w:cs="Inter"/>
                <w:b w:val="0"/>
                <w:i w:val="0"/>
                <w:color w:val="1C1E2E"/>
                <w:sz w:val="19"/>
              </w:rPr>
              <w:t>Degree research lines</w:t>
            </w:r>
          </w:p>
        </w:tc>
        <w:tc>
          <w:tcPr>
            <w:tcW w:type="dxa" w:w="3216"/>
          </w:tcPr>
          <w:p>
            <w:pPr>
              <w:spacing w:after="40"/>
            </w:pPr>
            <w:r/>
            <w:r>
              <w:rPr>
                <w:rFonts w:ascii="Inter" w:hAnsi="Inter" w:cs="Inter"/>
                <w:b w:val="0"/>
                <w:i w:val="0"/>
                <w:color w:val="1C1E2E"/>
                <w:sz w:val="19"/>
              </w:rPr>
              <w:t>Curriculum design and English language teaching</w:t>
            </w:r>
          </w:p>
        </w:tc>
        <w:tc>
          <w:tcPr>
            <w:tcW w:type="dxa" w:w="3216"/>
          </w:tcPr>
          <w:p>
            <w:pPr>
              <w:spacing w:after="40"/>
            </w:pPr>
            <w:r/>
            <w:r>
              <w:rPr>
                <w:rFonts w:ascii="Inter" w:hAnsi="Inter" w:cs="Inter"/>
                <w:b w:val="0"/>
                <w:i w:val="0"/>
                <w:color w:val="1C1E2E"/>
                <w:sz w:val="19"/>
              </w:rPr>
              <w:t>—</w:t>
            </w:r>
          </w:p>
        </w:tc>
      </w:tr>
    </w:tbl>
    <w:p/>
    <w:p>
      <w:r>
        <w:rPr>
          <w:rFonts w:ascii="Inter" w:hAnsi="Inter" w:cs="Inter"/>
          <w:b/>
          <w:i w:val="0"/>
          <w:color w:val="1C1E2E"/>
          <w:sz w:val="22"/>
        </w:rPr>
        <w:t>The figure the committee enters into the 70% is 9.07/10</w:t>
      </w:r>
      <w:r>
        <w:rPr>
          <w:rFonts w:ascii="Inter" w:hAnsi="Inter" w:cs="Inter"/>
          <w:b w:val="0"/>
          <w:i w:val="0"/>
          <w:color w:val="1C1E2E"/>
          <w:sz w:val="22"/>
        </w:rPr>
        <w:t xml:space="preserve">, already computed and certified by the Spanish administration: the </w:t>
      </w:r>
      <w:r>
        <w:rPr>
          <w:rFonts w:ascii="Inter" w:hAnsi="Inter" w:cs="Inter"/>
          <w:b w:val="0"/>
          <w:i/>
          <w:color w:val="1C1E2E"/>
          <w:sz w:val="22"/>
        </w:rPr>
        <w:t>Declaración de equivalencia de la nota media del expediente académico de estudios cursados en el extranjero</w:t>
      </w:r>
      <w:r>
        <w:rPr>
          <w:rFonts w:ascii="Inter" w:hAnsi="Inter" w:cs="Inter"/>
          <w:b w:val="0"/>
          <w:i w:val="0"/>
          <w:color w:val="1C1E2E"/>
          <w:sz w:val="22"/>
        </w:rPr>
        <w:t xml:space="preserve"> (General Secretariat for Universities, Directorate-General for University Policy), verified by the Regional Government of Andalusia and checkable online with </w:t>
      </w:r>
      <w:r>
        <w:rPr>
          <w:rFonts w:ascii="Inter" w:hAnsi="Inter" w:cs="Inter"/>
          <w:b/>
          <w:i w:val="0"/>
          <w:color w:val="1C1E2E"/>
          <w:sz w:val="22"/>
        </w:rPr>
        <w:t>CSV ⟨CSV in the copy submitted to the committee⟩</w:t>
      </w:r>
      <w:r>
        <w:rPr>
          <w:rFonts w:ascii="Inter" w:hAnsi="Inter" w:cs="Inter"/>
          <w:b w:val="0"/>
          <w:i w:val="0"/>
          <w:color w:val="1C1E2E"/>
          <w:sz w:val="22"/>
        </w:rPr>
        <w:t xml:space="preserve"> at . Nothing needs to be estimated or converted — the declaration is simply attached.</w:t>
      </w:r>
    </w:p>
    <w:p>
      <w:r>
        <w:rPr>
          <w:rFonts w:ascii="Inter" w:hAnsi="Inter" w:cs="Inter"/>
          <w:b/>
          <w:i w:val="0"/>
          <w:color w:val="1C1E2E"/>
          <w:sz w:val="22"/>
        </w:rPr>
        <w:t>Relevance to the doctorate.</w:t>
      </w:r>
      <w:r>
        <w:rPr>
          <w:rFonts w:ascii="Inter" w:hAnsi="Inter" w:cs="Inter"/>
          <w:b w:val="0"/>
          <w:i w:val="0"/>
          <w:color w:val="1C1E2E"/>
          <w:sz w:val="22"/>
        </w:rPr>
        <w:t xml:space="preserve"> The degree is in </w:t>
      </w:r>
      <w:r>
        <w:rPr>
          <w:rFonts w:ascii="Inter" w:hAnsi="Inter" w:cs="Inter"/>
          <w:b/>
          <w:i w:val="0"/>
          <w:color w:val="1C1E2E"/>
          <w:sz w:val="22"/>
        </w:rPr>
        <w:t>Education with an English major</w:t>
      </w:r>
      <w:r>
        <w:rPr>
          <w:rFonts w:ascii="Inter" w:hAnsi="Inter" w:cs="Inter"/>
          <w:b w:val="0"/>
          <w:i w:val="0"/>
          <w:color w:val="1C1E2E"/>
          <w:sz w:val="22"/>
        </w:rPr>
        <w:t xml:space="preserve">, with research lines in curriculum design and English language teaching — the original training is already in curriculum design, which is the object of the thesis. The final-year dissertation, graded </w:t>
      </w:r>
      <w:r>
        <w:rPr>
          <w:rFonts w:ascii="Inter" w:hAnsi="Inter" w:cs="Inter"/>
          <w:b/>
          <w:i w:val="0"/>
          <w:color w:val="1C1E2E"/>
          <w:sz w:val="22"/>
        </w:rPr>
        <w:t>20/20 with a Rector's Diploma of Honour</w:t>
      </w:r>
      <w:r>
        <w:rPr>
          <w:rFonts w:ascii="Inter" w:hAnsi="Inter" w:cs="Inter"/>
          <w:b w:val="0"/>
          <w:i w:val="0"/>
          <w:color w:val="1C1E2E"/>
          <w:sz w:val="22"/>
        </w:rPr>
        <w:t xml:space="preserve">, did not stay in the file: it was peer-reviewed and published in an </w:t>
      </w:r>
      <w:r>
        <w:rPr>
          <w:rFonts w:ascii="Inter" w:hAnsi="Inter" w:cs="Inter"/>
          <w:b/>
          <w:i w:val="0"/>
          <w:color w:val="1C1E2E"/>
          <w:sz w:val="22"/>
        </w:rPr>
        <w:t>indexed journal</w:t>
      </w:r>
      <w:r>
        <w:rPr>
          <w:rFonts w:ascii="Inter" w:hAnsi="Inter" w:cs="Inter"/>
          <w:b w:val="0"/>
          <w:i w:val="0"/>
          <w:color w:val="1C1E2E"/>
          <w:sz w:val="22"/>
        </w:rPr>
        <w:t xml:space="preserve"> (</w:t>
      </w:r>
      <w:r>
        <w:rPr>
          <w:rFonts w:ascii="Inter" w:hAnsi="Inter" w:cs="Inter"/>
          <w:b w:val="0"/>
          <w:i/>
          <w:color w:val="1C1E2E"/>
          <w:sz w:val="22"/>
        </w:rPr>
        <w:t>Kaleidoscopio</w:t>
      </w:r>
      <w:r>
        <w:rPr>
          <w:rFonts w:ascii="Inter" w:hAnsi="Inter" w:cs="Inter"/>
          <w:b w:val="0"/>
          <w:i w:val="0"/>
          <w:color w:val="1C1E2E"/>
          <w:sz w:val="22"/>
        </w:rPr>
        <w:t xml:space="preserve">, ISSN 1690-6054, indexed in CLASE–UNAM) and presented as a </w:t>
      </w:r>
      <w:r>
        <w:rPr>
          <w:rFonts w:ascii="Inter" w:hAnsi="Inter" w:cs="Inter"/>
          <w:b/>
          <w:i w:val="0"/>
          <w:color w:val="1C1E2E"/>
          <w:sz w:val="22"/>
        </w:rPr>
        <w:t>refereed paper at an international conference</w:t>
      </w:r>
      <w:r>
        <w:rPr>
          <w:rFonts w:ascii="Inter" w:hAnsi="Inter" w:cs="Inter"/>
          <w:b w:val="0"/>
          <w:i w:val="0"/>
          <w:color w:val="1C1E2E"/>
          <w:sz w:val="22"/>
        </w:rPr>
        <w:t xml:space="preserve"> (§5.1). That is independent research capacity evidenced from the undergraduate stage onward.</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Doctoral access — resolved.</w:t>
      </w:r>
      <w:r>
        <w:rPr>
          <w:rFonts w:ascii="Inter" w:hAnsi="Inter" w:cs="Inter"/>
          <w:b w:val="0"/>
          <w:i w:val="0"/>
          <w:color w:val="5B5F77"/>
          <w:sz w:val="21"/>
        </w:rPr>
        <w:t xml:space="preserve"> On </w:t>
      </w:r>
      <w:r>
        <w:rPr>
          <w:rFonts w:ascii="Inter" w:hAnsi="Inter" w:cs="Inter"/>
          <w:b/>
          <w:i w:val="0"/>
          <w:color w:val="5B5F77"/>
          <w:sz w:val="21"/>
        </w:rPr>
        <w:t>17 June 2020</w:t>
      </w:r>
      <w:r>
        <w:rPr>
          <w:rFonts w:ascii="Inter" w:hAnsi="Inter" w:cs="Inter"/>
          <w:b w:val="0"/>
          <w:i w:val="0"/>
          <w:color w:val="5B5F77"/>
          <w:sz w:val="21"/>
        </w:rPr>
        <w:t xml:space="preserve"> the Spanish Ministry of Universities declared the </w:t>
      </w:r>
      <w:r>
        <w:rPr>
          <w:rFonts w:ascii="Inter" w:hAnsi="Inter" w:cs="Inter"/>
          <w:b/>
          <w:i w:val="0"/>
          <w:color w:val="5B5F77"/>
          <w:sz w:val="21"/>
        </w:rPr>
        <w:t>degree equivalent to the academic level of *Grado</w:t>
      </w:r>
      <w:r>
        <w:rPr>
          <w:rFonts w:ascii="Inter" w:hAnsi="Inter" w:cs="Inter"/>
          <w:b w:val="0"/>
          <w:i/>
          <w:color w:val="5B5F77"/>
          <w:sz w:val="21"/>
        </w:rPr>
        <w:t xml:space="preserve"> (branch of Arts and Humanities, specific field Languages) under </w:t>
      </w:r>
      <w:r>
        <w:rPr>
          <w:rFonts w:ascii="Inter" w:hAnsi="Inter" w:cs="Inter"/>
          <w:b w:val="0"/>
          <w:i/>
          <w:color w:val="5B5F77"/>
          <w:sz w:val="21"/>
        </w:rPr>
        <w:t>RD 967/2014</w:t>
      </w:r>
      <w:r>
        <w:rPr>
          <w:rFonts w:ascii="Inter" w:hAnsi="Inter" w:cs="Inter"/>
          <w:b w:val="0"/>
          <w:i/>
          <w:color w:val="5B5F77"/>
          <w:sz w:val="21"/>
        </w:rPr>
        <w:t xml:space="preserve"> </w:t>
      </w:r>
      <w:r>
        <w:rPr>
          <w:rFonts w:ascii="Inter" w:hAnsi="Inter" w:cs="Inter"/>
          <w:b w:val="0"/>
          <w:i/>
          <w:color w:val="5B5F77"/>
          <w:sz w:val="21"/>
        </w:rPr>
        <w:t>[DOC-05B]</w:t>
      </w:r>
      <w:r>
        <w:rPr>
          <w:rFonts w:ascii="Inter" w:hAnsi="Inter" w:cs="Inter"/>
          <w:b w:val="0"/>
          <w:i/>
          <w:color w:val="5B5F77"/>
          <w:sz w:val="21"/>
        </w:rPr>
        <w:t xml:space="preserve">. The access route is therefore complete, with nothing outstanding: </w:t>
      </w:r>
      <w:r>
        <w:rPr>
          <w:rFonts w:ascii="Inter" w:hAnsi="Inter" w:cs="Inter"/>
          <w:b w:val="0"/>
          <w:i/>
          <w:color w:val="5B5F77"/>
          <w:sz w:val="21"/>
        </w:rPr>
        <w:t xml:space="preserve">Foreign degree with official equivalence to </w:t>
      </w:r>
      <w:r>
        <w:rPr>
          <w:rFonts w:ascii="Inter" w:hAnsi="Inter" w:cs="Inter"/>
          <w:b w:val="0"/>
          <w:i w:val="0"/>
          <w:color w:val="5B5F77"/>
          <w:sz w:val="21"/>
        </w:rPr>
        <w:t>Grado</w:t>
      </w:r>
      <w:r>
        <w:rPr>
          <w:rFonts w:ascii="Inter" w:hAnsi="Inter" w:cs="Inter"/>
          <w:b w:val="0"/>
          <w:i/>
          <w:color w:val="5B5F77"/>
          <w:sz w:val="21"/>
        </w:rPr>
        <w:t xml:space="preserve"> (Ministry, 2020)</w:t>
      </w:r>
      <w:r>
        <w:rPr>
          <w:rFonts w:ascii="Inter" w:hAnsi="Inter" w:cs="Inter"/>
          <w:b w:val="0"/>
          <w:i/>
          <w:color w:val="5B5F77"/>
          <w:sz w:val="21"/>
        </w:rPr>
        <w:t xml:space="preserve"> + </w:t>
      </w:r>
      <w:r>
        <w:rPr>
          <w:rFonts w:ascii="Inter" w:hAnsi="Inter" w:cs="Inter"/>
          <w:b w:val="0"/>
          <w:i/>
          <w:color w:val="5B5F77"/>
          <w:sz w:val="21"/>
        </w:rPr>
        <w:t>official Spanish Master's Degree in Languages and Technology (UPV, 2026)</w:t>
      </w:r>
      <w:r>
        <w:rPr>
          <w:rFonts w:ascii="Inter" w:hAnsi="Inter" w:cs="Inter"/>
          <w:b w:val="0"/>
          <w:i/>
          <w:color w:val="5B5F77"/>
          <w:sz w:val="21"/>
        </w:rPr>
        <w:t xml:space="preserve"> → </w:t>
      </w:r>
      <w:r>
        <w:rPr>
          <w:rFonts w:ascii="Inter" w:hAnsi="Inter" w:cs="Inter"/>
          <w:b w:val="0"/>
          <w:i/>
          <w:color w:val="5B5F77"/>
          <w:sz w:val="21"/>
        </w:rPr>
        <w:t>general doctoral access under Article 6, RD 99/2011.</w:t>
      </w:r>
      <w:r>
        <w:rPr>
          <w:rFonts w:ascii="Inter" w:hAnsi="Inter" w:cs="Inter"/>
          <w:b w:val="0"/>
          <w:i/>
          <w:color w:val="5B5F77"/>
          <w:sz w:val="21"/>
        </w:rPr>
        <w:t xml:space="preserve"> Two points worth stating precisely in the application: 1. </w:t>
      </w:r>
      <w:r>
        <w:rPr>
          <w:rFonts w:ascii="Inter" w:hAnsi="Inter" w:cs="Inter"/>
          <w:b w:val="0"/>
          <w:i/>
          <w:color w:val="5B5F77"/>
          <w:sz w:val="21"/>
        </w:rPr>
        <w:t xml:space="preserve">The equivalence is to </w:t>
      </w:r>
      <w:r>
        <w:rPr>
          <w:rFonts w:ascii="Inter" w:hAnsi="Inter" w:cs="Inter"/>
          <w:b w:val="0"/>
          <w:i w:val="0"/>
          <w:color w:val="5B5F77"/>
          <w:sz w:val="21"/>
        </w:rPr>
        <w:t>Grado</w:t>
      </w:r>
      <w:r>
        <w:rPr>
          <w:rFonts w:ascii="Inter" w:hAnsi="Inter" w:cs="Inter"/>
          <w:b w:val="0"/>
          <w:i/>
          <w:color w:val="5B5F77"/>
          <w:sz w:val="21"/>
        </w:rPr>
        <w:t xml:space="preserve"> level, not to master's level.</w:t>
      </w:r>
      <w:r>
        <w:rPr>
          <w:rFonts w:ascii="Inter" w:hAnsi="Inter" w:cs="Inter"/>
          <w:b w:val="0"/>
          <w:i/>
          <w:color w:val="5B5F77"/>
          <w:sz w:val="21"/>
        </w:rPr>
        <w:t xml:space="preserve"> The qualification granting access is therefore the </w:t>
      </w:r>
      <w:r>
        <w:rPr>
          <w:rFonts w:ascii="Inter" w:hAnsi="Inter" w:cs="Inter"/>
          <w:b w:val="0"/>
          <w:i/>
          <w:color w:val="5B5F77"/>
          <w:sz w:val="21"/>
        </w:rPr>
        <w:t>official UPV master's</w:t>
      </w:r>
      <w:r>
        <w:rPr>
          <w:rFonts w:ascii="Inter" w:hAnsi="Inter" w:cs="Inter"/>
          <w:b w:val="0"/>
          <w:i/>
          <w:color w:val="5B5F77"/>
          <w:sz w:val="21"/>
        </w:rPr>
        <w:t xml:space="preserve">; the undergraduate degree enters the record as a previously recognised prior qualification. No additional "level verification" from the Doctoral School is required. 2. </w:t>
      </w:r>
      <w:r>
        <w:rPr>
          <w:rFonts w:ascii="Inter" w:hAnsi="Inter" w:cs="Inter"/>
          <w:b w:val="0"/>
          <w:i/>
          <w:color w:val="5B5F77"/>
          <w:sz w:val="21"/>
        </w:rPr>
        <w:t xml:space="preserve">Equivalence ≠ </w:t>
      </w:r>
      <w:r>
        <w:rPr>
          <w:rFonts w:ascii="Inter" w:hAnsi="Inter" w:cs="Inter"/>
          <w:b w:val="0"/>
          <w:i w:val="0"/>
          <w:color w:val="5B5F77"/>
          <w:sz w:val="21"/>
        </w:rPr>
        <w:t>homologación</w:t>
      </w:r>
      <w:r>
        <w:rPr>
          <w:rFonts w:ascii="Inter" w:hAnsi="Inter" w:cs="Inter"/>
          <w:b w:val="0"/>
          <w:i/>
          <w:color w:val="5B5F77"/>
          <w:sz w:val="21"/>
        </w:rPr>
        <w:t>.</w:t>
      </w:r>
      <w:r>
        <w:rPr>
          <w:rFonts w:ascii="Inter" w:hAnsi="Inter" w:cs="Inter"/>
          <w:b w:val="0"/>
          <w:i/>
          <w:color w:val="5B5F77"/>
          <w:sz w:val="21"/>
        </w:rPr>
        <w:t xml:space="preserve"> The grade-average form shows "Título homologado/equivalente: NO" because </w:t>
      </w:r>
      <w:r>
        <w:rPr>
          <w:rFonts w:ascii="Inter" w:hAnsi="Inter" w:cs="Inter"/>
          <w:b w:val="0"/>
          <w:i w:val="0"/>
          <w:color w:val="5B5F77"/>
          <w:sz w:val="21"/>
        </w:rPr>
        <w:t>homologación</w:t>
      </w:r>
      <w:r>
        <w:rPr>
          <w:rFonts w:ascii="Inter" w:hAnsi="Inter" w:cs="Inter"/>
          <w:b w:val="0"/>
          <w:i/>
          <w:color w:val="5B5F77"/>
          <w:sz w:val="21"/>
        </w:rPr>
        <w:t xml:space="preserve"> (to a specific Spanish degree conferring access to a regulated profession) is a different instrument, and the resolution itself states that the equivalence </w:t>
      </w:r>
      <w:r>
        <w:rPr>
          <w:rFonts w:ascii="Inter" w:hAnsi="Inter" w:cs="Inter"/>
          <w:b w:val="0"/>
          <w:i/>
          <w:color w:val="5B5F77"/>
          <w:sz w:val="21"/>
        </w:rPr>
        <w:t>does not confer the right to practise regulated professions</w:t>
      </w:r>
      <w:r>
        <w:rPr>
          <w:rFonts w:ascii="Inter" w:hAnsi="Inter" w:cs="Inter"/>
          <w:b w:val="0"/>
          <w:i w:val="0"/>
          <w:color w:val="5B5F77"/>
          <w:sz w:val="21"/>
        </w:rPr>
        <w:t>*. For doctoral admission that is irrelevant: what is required is the academic level, and it has been declared.</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One administrative detail worth fixing — the identity chain.</w:t>
      </w:r>
      <w:r>
        <w:rPr>
          <w:rFonts w:ascii="Inter" w:hAnsi="Inter" w:cs="Inter"/>
          <w:b w:val="0"/>
          <w:i w:val="0"/>
          <w:color w:val="5B5F77"/>
          <w:sz w:val="21"/>
        </w:rPr>
        <w:t xml:space="preserve"> The documents arrive under </w:t>
      </w:r>
      <w:r>
        <w:rPr>
          <w:rFonts w:ascii="Inter" w:hAnsi="Inter" w:cs="Inter"/>
          <w:b/>
          <w:i w:val="0"/>
          <w:color w:val="5B5F77"/>
          <w:sz w:val="21"/>
        </w:rPr>
        <w:t>two different names</w:t>
      </w:r>
      <w:r>
        <w:rPr>
          <w:rFonts w:ascii="Inter" w:hAnsi="Inter" w:cs="Inter"/>
          <w:b w:val="0"/>
          <w:i w:val="0"/>
          <w:color w:val="5B5F77"/>
          <w:sz w:val="21"/>
        </w:rPr>
        <w:t xml:space="preserve">: - </w:t>
      </w:r>
      <w:r>
        <w:rPr>
          <w:rFonts w:ascii="Inter" w:hAnsi="Inter" w:cs="Inter"/>
          <w:b/>
          <w:i w:val="0"/>
          <w:color w:val="5B5F77"/>
          <w:sz w:val="21"/>
        </w:rPr>
        <w:t>Ana Zoraimy Eslava Graterol</w:t>
      </w:r>
      <w:r>
        <w:rPr>
          <w:rFonts w:ascii="Inter" w:hAnsi="Inter" w:cs="Inter"/>
          <w:b w:val="0"/>
          <w:i w:val="0"/>
          <w:color w:val="5B5F77"/>
          <w:sz w:val="21"/>
        </w:rPr>
        <w:t xml:space="preserve"> — ULA transcript and Academic Rank Certificate, </w:t>
      </w:r>
      <w:r>
        <w:rPr>
          <w:rFonts w:ascii="Inter" w:hAnsi="Inter" w:cs="Inter"/>
          <w:b w:val="0"/>
          <w:i/>
          <w:color w:val="5B5F77"/>
          <w:sz w:val="21"/>
        </w:rPr>
        <w:t>Kaleidoscopio</w:t>
      </w:r>
      <w:r>
        <w:rPr>
          <w:rFonts w:ascii="Inter" w:hAnsi="Inter" w:cs="Inter"/>
          <w:b w:val="0"/>
          <w:i w:val="0"/>
          <w:color w:val="5B5F77"/>
          <w:sz w:val="21"/>
        </w:rPr>
        <w:t xml:space="preserve"> publication, scholarship certificate, "Ribas Dávila" Orders (one carrying the misspelling </w:t>
      </w:r>
      <w:r>
        <w:rPr>
          <w:rFonts w:ascii="Inter" w:hAnsi="Inter" w:cs="Inter"/>
          <w:b/>
          <w:i w:val="0"/>
          <w:color w:val="5B5F77"/>
          <w:sz w:val="21"/>
        </w:rPr>
        <w:t>"Ana Soraymi"</w:t>
      </w:r>
      <w:r>
        <w:rPr>
          <w:rFonts w:ascii="Inter" w:hAnsi="Inter" w:cs="Inter"/>
          <w:b w:val="0"/>
          <w:i w:val="0"/>
          <w:color w:val="5B5F77"/>
          <w:sz w:val="21"/>
        </w:rPr>
        <w:t xml:space="preserve">). - </w:t>
      </w:r>
      <w:r>
        <w:rPr>
          <w:rFonts w:ascii="Inter" w:hAnsi="Inter" w:cs="Inter"/>
          <w:b/>
          <w:i w:val="0"/>
          <w:color w:val="5B5F77"/>
          <w:sz w:val="21"/>
        </w:rPr>
        <w:t>Ana Zoraimy Eslava de Morales</w:t>
      </w:r>
      <w:r>
        <w:rPr>
          <w:rFonts w:ascii="Inter" w:hAnsi="Inter" w:cs="Inter"/>
          <w:b w:val="0"/>
          <w:i w:val="0"/>
          <w:color w:val="5B5F77"/>
          <w:sz w:val="21"/>
        </w:rPr>
        <w:t xml:space="preserve"> — Ministry equivalence resolution (2020) and the international conference letter (2008). These are the </w:t>
      </w:r>
      <w:r>
        <w:rPr>
          <w:rFonts w:ascii="Inter" w:hAnsi="Inter" w:cs="Inter"/>
          <w:b/>
          <w:i w:val="0"/>
          <w:color w:val="5B5F77"/>
          <w:sz w:val="21"/>
        </w:rPr>
        <w:t>maiden</w:t>
      </w:r>
      <w:r>
        <w:rPr>
          <w:rFonts w:ascii="Inter" w:hAnsi="Inter" w:cs="Inter"/>
          <w:b w:val="0"/>
          <w:i w:val="0"/>
          <w:color w:val="5B5F77"/>
          <w:sz w:val="21"/>
        </w:rPr>
        <w:t xml:space="preserve"> and </w:t>
      </w:r>
      <w:r>
        <w:rPr>
          <w:rFonts w:ascii="Inter" w:hAnsi="Inter" w:cs="Inter"/>
          <w:b/>
          <w:i w:val="0"/>
          <w:color w:val="5B5F77"/>
          <w:sz w:val="21"/>
        </w:rPr>
        <w:t>married</w:t>
      </w:r>
      <w:r>
        <w:rPr>
          <w:rFonts w:ascii="Inter" w:hAnsi="Inter" w:cs="Inter"/>
          <w:b w:val="0"/>
          <w:i w:val="0"/>
          <w:color w:val="5B5F77"/>
          <w:sz w:val="21"/>
        </w:rPr>
        <w:t xml:space="preserve"> surnames, and "Soraymi" is a </w:t>
      </w:r>
      <w:r>
        <w:rPr>
          <w:rFonts w:ascii="Inter" w:hAnsi="Inter" w:cs="Inter"/>
          <w:b/>
          <w:i w:val="0"/>
          <w:color w:val="5B5F77"/>
          <w:sz w:val="21"/>
        </w:rPr>
        <w:t>typographical error</w:t>
      </w:r>
      <w:r>
        <w:rPr>
          <w:rFonts w:ascii="Inter" w:hAnsi="Inter" w:cs="Inter"/>
          <w:b w:val="0"/>
          <w:i w:val="0"/>
          <w:color w:val="5B5F77"/>
          <w:sz w:val="21"/>
        </w:rPr>
        <w:t xml:space="preserve"> on the 2003 diploma. The committee has no way of knowing that and will see three forms in one file. </w:t>
      </w:r>
      <w:r>
        <w:rPr>
          <w:rFonts w:ascii="Inter" w:hAnsi="Inter" w:cs="Inter"/>
          <w:b/>
          <w:i w:val="0"/>
          <w:color w:val="5B5F77"/>
          <w:sz w:val="21"/>
        </w:rPr>
        <w:t>Identity note — ready to paste</w:t>
      </w:r>
      <w:r>
        <w:rPr>
          <w:rFonts w:ascii="Inter" w:hAnsi="Inter" w:cs="Inter"/>
          <w:b w:val="0"/>
          <w:i w:val="0"/>
          <w:color w:val="5B5F77"/>
          <w:sz w:val="21"/>
        </w:rPr>
        <w:t xml:space="preserve"> as the first page of the evidence PDF, alongside the document linking both names (national ID or marriage certificate): &gt; </w:t>
      </w:r>
      <w:r>
        <w:rPr>
          <w:rFonts w:ascii="Inter" w:hAnsi="Inter" w:cs="Inter"/>
          <w:b/>
          <w:i w:val="0"/>
          <w:color w:val="5B5F77"/>
          <w:sz w:val="21"/>
        </w:rPr>
        <w:t>Note on name variants.</w:t>
      </w:r>
      <w:r>
        <w:rPr>
          <w:rFonts w:ascii="Inter" w:hAnsi="Inter" w:cs="Inter"/>
          <w:b w:val="0"/>
          <w:i w:val="0"/>
          <w:color w:val="5B5F77"/>
          <w:sz w:val="21"/>
        </w:rPr>
        <w:t xml:space="preserve"> The documents in this file appear under </w:t>
      </w:r>
      <w:r>
        <w:rPr>
          <w:rFonts w:ascii="Inter" w:hAnsi="Inter" w:cs="Inter"/>
          <w:b/>
          <w:i w:val="0"/>
          <w:color w:val="5B5F77"/>
          <w:sz w:val="21"/>
        </w:rPr>
        <w:t>Ana Zoraimy Eslava Graterol</w:t>
      </w:r>
      <w:r>
        <w:rPr>
          <w:rFonts w:ascii="Inter" w:hAnsi="Inter" w:cs="Inter"/>
          <w:b w:val="0"/>
          <w:i w:val="0"/>
          <w:color w:val="5B5F77"/>
          <w:sz w:val="21"/>
        </w:rPr>
        <w:t xml:space="preserve"> (maiden surnames: academic transcript, Academic Rank Certificate, scholarship certificate, "Luis María Ribas Dávila" Orders and the </w:t>
      </w:r>
      <w:r>
        <w:rPr>
          <w:rFonts w:ascii="Inter" w:hAnsi="Inter" w:cs="Inter"/>
          <w:b w:val="0"/>
          <w:i/>
          <w:color w:val="5B5F77"/>
          <w:sz w:val="21"/>
        </w:rPr>
        <w:t>Kaleidoscopio</w:t>
      </w:r>
      <w:r>
        <w:rPr>
          <w:rFonts w:ascii="Inter" w:hAnsi="Inter" w:cs="Inter"/>
          <w:b w:val="0"/>
          <w:i w:val="0"/>
          <w:color w:val="5B5F77"/>
          <w:sz w:val="21"/>
        </w:rPr>
        <w:t xml:space="preserve"> publication) and </w:t>
      </w:r>
      <w:r>
        <w:rPr>
          <w:rFonts w:ascii="Inter" w:hAnsi="Inter" w:cs="Inter"/>
          <w:b/>
          <w:i w:val="0"/>
          <w:color w:val="5B5F77"/>
          <w:sz w:val="21"/>
        </w:rPr>
        <w:t>Ana Zoraimy Eslava de Morales</w:t>
      </w:r>
      <w:r>
        <w:rPr>
          <w:rFonts w:ascii="Inter" w:hAnsi="Inter" w:cs="Inter"/>
          <w:b w:val="0"/>
          <w:i w:val="0"/>
          <w:color w:val="5B5F77"/>
          <w:sz w:val="21"/>
        </w:rPr>
        <w:t xml:space="preserve"> (married surname: the Ministry of Universities equivalence resolution of 2020, the 2008 conference letter, and the acknowledgement in Sotelo-Casas et al., 2019). Both forms refer to the same person, as evidenced by the attached document. The 2003 Order additionally carries a </w:t>
      </w:r>
      <w:r>
        <w:rPr>
          <w:rFonts w:ascii="Inter" w:hAnsi="Inter" w:cs="Inter"/>
          <w:b/>
          <w:i w:val="0"/>
          <w:color w:val="5B5F77"/>
          <w:sz w:val="21"/>
        </w:rPr>
        <w:t>typographical error</w:t>
      </w:r>
      <w:r>
        <w:rPr>
          <w:rFonts w:ascii="Inter" w:hAnsi="Inter" w:cs="Inter"/>
          <w:b w:val="0"/>
          <w:i w:val="0"/>
          <w:color w:val="5B5F77"/>
          <w:sz w:val="21"/>
        </w:rPr>
        <w:t xml:space="preserve"> in the given name ("Ana Soraymi" for "Ana Zoraimy"). And use </w:t>
      </w:r>
      <w:r>
        <w:rPr>
          <w:rFonts w:ascii="Inter" w:hAnsi="Inter" w:cs="Inter"/>
          <w:b/>
          <w:i w:val="0"/>
          <w:color w:val="5B5F77"/>
          <w:sz w:val="21"/>
        </w:rPr>
        <w:t>one name consistently</w:t>
      </w:r>
      <w:r>
        <w:rPr>
          <w:rFonts w:ascii="Inter" w:hAnsi="Inter" w:cs="Inter"/>
          <w:b w:val="0"/>
          <w:i w:val="0"/>
          <w:color w:val="5B5F77"/>
          <w:sz w:val="21"/>
        </w:rPr>
        <w:t xml:space="preserve"> in the CV and the research plan — </w:t>
      </w:r>
      <w:r>
        <w:rPr>
          <w:rFonts w:ascii="Inter" w:hAnsi="Inter" w:cs="Inter"/>
          <w:b/>
          <w:i w:val="0"/>
          <w:color w:val="5B5F77"/>
          <w:sz w:val="21"/>
        </w:rPr>
        <w:t>Ana Zoraimy Eslava Graterol</w:t>
      </w:r>
      <w:r>
        <w:rPr>
          <w:rFonts w:ascii="Inter" w:hAnsi="Inter" w:cs="Inter"/>
          <w:b w:val="0"/>
          <w:i w:val="0"/>
          <w:color w:val="5B5F77"/>
          <w:sz w:val="21"/>
        </w:rPr>
        <w:t xml:space="preserve"> is recommended, being the form on most academic documents and on the publication.</w:t>
      </w:r>
    </w:p>
    <w:p>
      <w:pPr>
        <w:pBdr>
          <w:bottom w:val="single" w:sz="6" w:space="1" w:color="E6E8F2"/>
        </w:pBdr>
      </w:pPr>
    </w:p>
    <w:p>
      <w:pPr>
        <w:spacing w:before="320" w:after="120"/>
      </w:pPr>
      <w:r>
        <w:rPr>
          <w:rFonts w:ascii="Fraunces" w:hAnsi="Fraunces" w:cs="Fraunces"/>
          <w:b/>
          <w:i w:val="0"/>
          <w:color w:val="22307C"/>
          <w:sz w:val="42"/>
        </w:rPr>
        <w:t xml:space="preserve">BLOCK B — OTHER MERITS · </w:t>
      </w:r>
      <w:r>
        <w:rPr>
          <w:rFonts w:ascii="Fraunces" w:hAnsi="Fraunces" w:cs="Fraunces"/>
          <w:b/>
          <w:i w:val="0"/>
          <w:color w:val="22307C"/>
          <w:sz w:val="42"/>
        </w:rPr>
        <w:t>30 %</w:t>
      </w:r>
    </w:p>
    <w:p>
      <w:pPr>
        <w:pBdr>
          <w:left w:val="single" w:sz="18" w:space="8" w:color="9A5B00"/>
        </w:pBdr>
        <w:spacing w:before="120" w:after="200"/>
        <w:ind w:left="317"/>
      </w:pPr>
      <w:r>
        <w:rPr>
          <w:rFonts w:ascii="Inter" w:hAnsi="Inter" w:cs="Inter"/>
          <w:b w:val="0"/>
          <w:i w:val="0"/>
          <w:color w:val="5B5F77"/>
          <w:sz w:val="21"/>
        </w:rPr>
        <w:t xml:space="preserve">The six merits are presented </w:t>
      </w:r>
      <w:r>
        <w:rPr>
          <w:rFonts w:ascii="Inter" w:hAnsi="Inter" w:cs="Inter"/>
          <w:b/>
          <w:i w:val="0"/>
          <w:color w:val="5B5F77"/>
          <w:sz w:val="21"/>
        </w:rPr>
        <w:t>in the same order and wording as the call</w:t>
      </w:r>
      <w:r>
        <w:rPr>
          <w:rFonts w:ascii="Inter" w:hAnsi="Inter" w:cs="Inter"/>
          <w:b w:val="0"/>
          <w:i w:val="0"/>
          <w:color w:val="5B5F77"/>
          <w:sz w:val="21"/>
        </w:rPr>
        <w:t>, each with its weight (5%), status and supporting document.</w:t>
      </w:r>
    </w:p>
    <w:p>
      <w:pPr>
        <w:pBdr>
          <w:bottom w:val="single" w:sz="6" w:space="1" w:color="E6E8F2"/>
        </w:pBdr>
      </w:pPr>
    </w:p>
    <w:p>
      <w:pPr>
        <w:spacing w:before="320" w:after="120"/>
      </w:pPr>
      <w:r>
        <w:rPr>
          <w:rFonts w:ascii="Fraunces" w:hAnsi="Fraunces" w:cs="Fraunces"/>
          <w:b/>
          <w:i w:val="0"/>
          <w:color w:val="22307C"/>
          <w:sz w:val="32"/>
        </w:rPr>
        <w:t xml:space="preserve">B.1 · Extraordinary award for the undergraduate degree — </w:t>
      </w:r>
      <w:r>
        <w:rPr>
          <w:rFonts w:ascii="Fraunces" w:hAnsi="Fraunces" w:cs="Fraunces"/>
          <w:b/>
          <w:i w:val="0"/>
          <w:color w:val="22307C"/>
          <w:sz w:val="32"/>
        </w:rPr>
        <w:t>5 %</w:t>
      </w:r>
      <w:r>
        <w:rPr>
          <w:rFonts w:ascii="Fraunces" w:hAnsi="Fraunces" w:cs="Fraunces"/>
          <w:b/>
          <w:i w:val="0"/>
          <w:color w:val="22307C"/>
          <w:sz w:val="32"/>
        </w:rPr>
        <w:t xml:space="preserve"> ✅ EVIDENCED AND </w:t>
      </w:r>
      <w:r>
        <w:rPr>
          <w:rFonts w:ascii="Fraunces" w:hAnsi="Fraunces" w:cs="Fraunces"/>
          <w:b/>
          <w:i w:val="0"/>
          <w:color w:val="22307C"/>
          <w:sz w:val="32"/>
        </w:rPr>
        <w:t>APOSTILLED</w:t>
      </w:r>
    </w:p>
    <w:p>
      <w:r>
        <w:rPr>
          <w:rFonts w:ascii="Inter" w:hAnsi="Inter" w:cs="Inter"/>
          <w:b/>
          <w:i w:val="0"/>
          <w:color w:val="1C1E2E"/>
          <w:sz w:val="22"/>
        </w:rPr>
        <w:t>First in the graduating class — 1st of 56 graduates</w:t>
      </w:r>
      <w:r>
        <w:rPr>
          <w:rFonts w:ascii="Inter" w:hAnsi="Inter" w:cs="Inter"/>
          <w:b w:val="0"/>
          <w:i w:val="0"/>
          <w:color w:val="1C1E2E"/>
          <w:sz w:val="22"/>
        </w:rPr>
        <w:t>, Degree in Education (English major), ULA – Núcleo Universitario "Dr. Pedro Rincón Gutiérrez", Táchira.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Certified fact</w:t>
            </w:r>
          </w:p>
        </w:tc>
        <w:tc>
          <w:tcPr>
            <w:tcW w:type="dxa" w:w="4824"/>
            <w:shd w:val="clear" w:color="auto" w:fill="EEF2FD"/>
          </w:tcPr>
          <w:p>
            <w:pPr>
              <w:spacing w:after="40"/>
            </w:pPr>
            <w:r/>
            <w:r>
              <w:rPr>
                <w:rFonts w:ascii="Inter" w:hAnsi="Inter" w:cs="Inter"/>
                <w:b/>
                <w:i w:val="0"/>
                <w:color w:val="22307C"/>
                <w:sz w:val="19"/>
              </w:rPr>
              <w:t>Value</w:t>
            </w:r>
          </w:p>
        </w:tc>
      </w:tr>
      <w:tr>
        <w:tc>
          <w:tcPr>
            <w:tcW w:type="dxa" w:w="4824"/>
          </w:tcPr>
          <w:p>
            <w:pPr>
              <w:spacing w:after="40"/>
            </w:pPr>
            <w:r/>
            <w:r>
              <w:rPr>
                <w:rFonts w:ascii="Inter" w:hAnsi="Inter" w:cs="Inter"/>
                <w:b w:val="0"/>
                <w:i w:val="0"/>
                <w:color w:val="1C1E2E"/>
                <w:sz w:val="19"/>
              </w:rPr>
              <w:t>Class ranking</w:t>
            </w:r>
          </w:p>
        </w:tc>
        <w:tc>
          <w:tcPr>
            <w:tcW w:type="dxa" w:w="4824"/>
          </w:tcPr>
          <w:p>
            <w:pPr>
              <w:spacing w:after="40"/>
            </w:pPr>
            <w:r/>
            <w:r>
              <w:rPr>
                <w:rFonts w:ascii="Inter" w:hAnsi="Inter" w:cs="Inter"/>
                <w:b/>
                <w:i w:val="0"/>
                <w:color w:val="1C1E2E"/>
                <w:sz w:val="19"/>
              </w:rPr>
              <w:t>FIRST (1st) of FIFTY-SIX (56) graduates</w:t>
            </w:r>
          </w:p>
        </w:tc>
      </w:tr>
      <w:tr>
        <w:tc>
          <w:tcPr>
            <w:tcW w:type="dxa" w:w="4824"/>
          </w:tcPr>
          <w:p>
            <w:pPr>
              <w:spacing w:after="40"/>
            </w:pPr>
            <w:r/>
            <w:r>
              <w:rPr>
                <w:rFonts w:ascii="Inter" w:hAnsi="Inter" w:cs="Inter"/>
                <w:b w:val="0"/>
                <w:i w:val="0"/>
                <w:color w:val="1C1E2E"/>
                <w:sz w:val="19"/>
              </w:rPr>
              <w:t>Candidate's average</w:t>
            </w:r>
          </w:p>
        </w:tc>
        <w:tc>
          <w:tcPr>
            <w:tcW w:type="dxa" w:w="4824"/>
          </w:tcPr>
          <w:p>
            <w:pPr>
              <w:spacing w:after="40"/>
            </w:pPr>
            <w:r/>
            <w:r>
              <w:rPr>
                <w:rFonts w:ascii="Inter" w:hAnsi="Inter" w:cs="Inter"/>
                <w:b/>
                <w:i w:val="0"/>
                <w:color w:val="1C1E2E"/>
                <w:sz w:val="19"/>
              </w:rPr>
              <w:t>18.97 / 20</w:t>
            </w:r>
          </w:p>
        </w:tc>
      </w:tr>
      <w:tr>
        <w:tc>
          <w:tcPr>
            <w:tcW w:type="dxa" w:w="4824"/>
          </w:tcPr>
          <w:p>
            <w:pPr>
              <w:spacing w:after="40"/>
            </w:pPr>
            <w:r/>
            <w:r>
              <w:rPr>
                <w:rFonts w:ascii="Inter" w:hAnsi="Inter" w:cs="Inter"/>
                <w:b w:val="0"/>
                <w:i w:val="0"/>
                <w:color w:val="1C1E2E"/>
                <w:sz w:val="19"/>
              </w:rPr>
              <w:t>Cohort average</w:t>
            </w:r>
          </w:p>
        </w:tc>
        <w:tc>
          <w:tcPr>
            <w:tcW w:type="dxa" w:w="4824"/>
          </w:tcPr>
          <w:p>
            <w:pPr>
              <w:spacing w:after="40"/>
            </w:pPr>
            <w:r/>
            <w:r>
              <w:rPr>
                <w:rFonts w:ascii="Inter" w:hAnsi="Inter" w:cs="Inter"/>
                <w:b w:val="0"/>
                <w:i w:val="0"/>
                <w:color w:val="1C1E2E"/>
                <w:sz w:val="19"/>
              </w:rPr>
              <w:t>15.77 / 20</w:t>
            </w:r>
          </w:p>
        </w:tc>
      </w:tr>
      <w:tr>
        <w:tc>
          <w:tcPr>
            <w:tcW w:type="dxa" w:w="4824"/>
          </w:tcPr>
          <w:p>
            <w:pPr>
              <w:spacing w:after="40"/>
            </w:pPr>
            <w:r/>
            <w:r>
              <w:rPr>
                <w:rFonts w:ascii="Inter" w:hAnsi="Inter" w:cs="Inter"/>
                <w:b w:val="0"/>
                <w:i w:val="0"/>
                <w:color w:val="1C1E2E"/>
                <w:sz w:val="19"/>
              </w:rPr>
              <w:t>Margin over the cohort</w:t>
            </w:r>
          </w:p>
        </w:tc>
        <w:tc>
          <w:tcPr>
            <w:tcW w:type="dxa" w:w="4824"/>
          </w:tcPr>
          <w:p>
            <w:pPr>
              <w:spacing w:after="40"/>
            </w:pPr>
            <w:r/>
            <w:r>
              <w:rPr>
                <w:rFonts w:ascii="Inter" w:hAnsi="Inter" w:cs="Inter"/>
                <w:b/>
                <w:i w:val="0"/>
                <w:color w:val="1C1E2E"/>
                <w:sz w:val="19"/>
              </w:rPr>
              <w:t>+3.20 points</w:t>
            </w:r>
          </w:p>
        </w:tc>
      </w:tr>
      <w:tr>
        <w:tc>
          <w:tcPr>
            <w:tcW w:type="dxa" w:w="4824"/>
          </w:tcPr>
          <w:p>
            <w:pPr>
              <w:spacing w:after="40"/>
            </w:pPr>
            <w:r/>
            <w:r>
              <w:rPr>
                <w:rFonts w:ascii="Inter" w:hAnsi="Inter" w:cs="Inter"/>
                <w:b w:val="0"/>
                <w:i w:val="0"/>
                <w:color w:val="1C1E2E"/>
                <w:sz w:val="19"/>
              </w:rPr>
              <w:t>Document</w:t>
            </w:r>
          </w:p>
        </w:tc>
        <w:tc>
          <w:tcPr>
            <w:tcW w:type="dxa" w:w="4824"/>
          </w:tcPr>
          <w:p>
            <w:pPr>
              <w:spacing w:after="40"/>
            </w:pPr>
            <w:r/>
            <w:r>
              <w:rPr>
                <w:rFonts w:ascii="Inter" w:hAnsi="Inter" w:cs="Inter"/>
                <w:b/>
                <w:i w:val="0"/>
                <w:color w:val="1C1E2E"/>
                <w:sz w:val="19"/>
              </w:rPr>
              <w:t>Constancia de Rango Académico</w:t>
            </w:r>
            <w:r>
              <w:rPr>
                <w:rFonts w:ascii="Inter" w:hAnsi="Inter" w:cs="Inter"/>
                <w:b w:val="0"/>
                <w:i w:val="0"/>
                <w:color w:val="1C1E2E"/>
                <w:sz w:val="19"/>
              </w:rPr>
              <w:t xml:space="preserve"> (Academic Rank Certificate), Student Records Office, ULA-Táchira, 13 January 2026 — signed by the Acting Head of Student Records and the Vice-Rector-Dean</w:t>
            </w:r>
          </w:p>
        </w:tc>
      </w:tr>
      <w:tr>
        <w:tc>
          <w:tcPr>
            <w:tcW w:type="dxa" w:w="4824"/>
          </w:tcPr>
          <w:p>
            <w:pPr>
              <w:spacing w:after="40"/>
            </w:pPr>
            <w:r/>
            <w:r>
              <w:rPr>
                <w:rFonts w:ascii="Inter" w:hAnsi="Inter" w:cs="Inter"/>
                <w:b w:val="0"/>
                <w:i w:val="0"/>
                <w:color w:val="1C1E2E"/>
                <w:sz w:val="19"/>
              </w:rPr>
              <w:t>Signature certification</w:t>
            </w:r>
          </w:p>
        </w:tc>
        <w:tc>
          <w:tcPr>
            <w:tcW w:type="dxa" w:w="4824"/>
          </w:tcPr>
          <w:p>
            <w:pPr>
              <w:spacing w:after="40"/>
            </w:pPr>
            <w:r/>
            <w:r>
              <w:rPr>
                <w:rFonts w:ascii="Inter" w:hAnsi="Inter" w:cs="Inter"/>
                <w:b w:val="0"/>
                <w:i w:val="0"/>
                <w:color w:val="1C1E2E"/>
                <w:sz w:val="19"/>
              </w:rPr>
              <w:t xml:space="preserve">ULA General Secretariat, security paper </w:t>
            </w:r>
            <w:r>
              <w:rPr>
                <w:rFonts w:ascii="Inter" w:hAnsi="Inter" w:cs="Inter"/>
                <w:b/>
                <w:i w:val="0"/>
                <w:color w:val="1C1E2E"/>
                <w:sz w:val="19"/>
              </w:rPr>
              <w:t>no. ⟨no. in the copy submitted to the committee⟩</w:t>
            </w:r>
            <w:r>
              <w:rPr>
                <w:rFonts w:ascii="Inter" w:hAnsi="Inter" w:cs="Inter"/>
                <w:b w:val="0"/>
                <w:i w:val="0"/>
                <w:color w:val="1C1E2E"/>
                <w:sz w:val="19"/>
              </w:rPr>
              <w:t xml:space="preserve">, 30 January 2026; countersigned by the Rector. Verifiable at  under no. </w:t>
            </w:r>
            <w:r>
              <w:rPr>
                <w:rFonts w:ascii="Inter" w:hAnsi="Inter" w:cs="Inter"/>
                <w:b/>
                <w:i w:val="0"/>
                <w:color w:val="1C1E2E"/>
                <w:sz w:val="19"/>
              </w:rPr>
              <w:t>⟨no. in the copy submitted to the committee⟩</w:t>
            </w:r>
          </w:p>
        </w:tc>
      </w:tr>
      <w:tr>
        <w:tc>
          <w:tcPr>
            <w:tcW w:type="dxa" w:w="4824"/>
          </w:tcPr>
          <w:p>
            <w:pPr>
              <w:spacing w:after="40"/>
            </w:pPr>
            <w:r/>
            <w:r>
              <w:rPr>
                <w:rFonts w:ascii="Inter" w:hAnsi="Inter" w:cs="Inter"/>
                <w:b/>
                <w:i w:val="0"/>
                <w:color w:val="1C1E2E"/>
                <w:sz w:val="19"/>
              </w:rPr>
              <w:t>International legalisation</w:t>
            </w:r>
          </w:p>
        </w:tc>
        <w:tc>
          <w:tcPr>
            <w:tcW w:type="dxa" w:w="4824"/>
          </w:tcPr>
          <w:p>
            <w:pPr>
              <w:spacing w:after="40"/>
            </w:pPr>
            <w:r/>
            <w:r>
              <w:rPr>
                <w:rFonts w:ascii="Inter" w:hAnsi="Inter" w:cs="Inter"/>
                <w:b/>
                <w:i w:val="0"/>
                <w:color w:val="1C1E2E"/>
                <w:sz w:val="19"/>
              </w:rPr>
              <w:t>Hague Apostille no. ⟨no. in the copy submitted to the committee⟩</w:t>
            </w:r>
            <w:r>
              <w:rPr>
                <w:rFonts w:ascii="Inter" w:hAnsi="Inter" w:cs="Inter"/>
                <w:b w:val="0"/>
                <w:i w:val="0"/>
                <w:color w:val="1C1E2E"/>
                <w:sz w:val="19"/>
              </w:rPr>
              <w:t xml:space="preserve">, Ministry of Foreign Affairs, Caracas, 20-03-2026 — validatable with code </w:t>
            </w:r>
            <w:r>
              <w:rPr>
                <w:rFonts w:ascii="Inter" w:hAnsi="Inter" w:cs="Inter"/>
                <w:b/>
                <w:i w:val="0"/>
                <w:color w:val="1C1E2E"/>
                <w:sz w:val="19"/>
              </w:rPr>
              <w:t>⟨code in the copy submitted to the committee⟩</w:t>
            </w:r>
            <w:r>
              <w:rPr>
                <w:rFonts w:ascii="Inter" w:hAnsi="Inter" w:cs="Inter"/>
                <w:b w:val="0"/>
                <w:i w:val="0"/>
                <w:color w:val="1C1E2E"/>
                <w:sz w:val="19"/>
              </w:rPr>
              <w:t xml:space="preserve"> at </w:t>
            </w:r>
          </w:p>
        </w:tc>
      </w:tr>
    </w:tbl>
    <w:p/>
    <w:p>
      <w:r>
        <w:rPr>
          <w:rFonts w:ascii="Inter" w:hAnsi="Inter" w:cs="Inter"/>
          <w:b/>
          <w:i w:val="0"/>
          <w:color w:val="1C1E2E"/>
          <w:sz w:val="22"/>
        </w:rPr>
        <w:t>Associated distinctions:</w:t>
      </w:r>
      <w:r>
        <w:rPr>
          <w:rFonts w:ascii="Inter" w:hAnsi="Inter" w:cs="Inter"/>
          <w:b w:val="0"/>
          <w:i w:val="0"/>
          <w:color w:val="1C1E2E"/>
          <w:sz w:val="22"/>
        </w:rPr>
        <w:t xml:space="preserve"> </w:t>
      </w:r>
      <w:r>
        <w:rPr>
          <w:rFonts w:ascii="Inter" w:hAnsi="Inter" w:cs="Inter"/>
          <w:b/>
          <w:i w:val="0"/>
          <w:color w:val="1C1E2E"/>
          <w:sz w:val="22"/>
        </w:rPr>
        <w:t>Summa Cum Laude</w:t>
      </w:r>
      <w:r>
        <w:rPr>
          <w:rFonts w:ascii="Inter" w:hAnsi="Inter" w:cs="Inter"/>
          <w:b w:val="0"/>
          <w:i w:val="0"/>
          <w:color w:val="1C1E2E"/>
          <w:sz w:val="22"/>
        </w:rPr>
        <w:t xml:space="preserve"> and, for the final-year dissertation, a </w:t>
      </w:r>
      <w:r>
        <w:rPr>
          <w:rFonts w:ascii="Inter" w:hAnsi="Inter" w:cs="Inter"/>
          <w:b/>
          <w:i w:val="0"/>
          <w:color w:val="1C1E2E"/>
          <w:sz w:val="22"/>
        </w:rPr>
        <w:t>Diploma of Honour awarded by the Rector of ULA</w:t>
      </w:r>
      <w:r>
        <w:rPr>
          <w:rFonts w:ascii="Inter" w:hAnsi="Inter" w:cs="Inter"/>
          <w:b w:val="0"/>
          <w:i w:val="0"/>
          <w:color w:val="1C1E2E"/>
          <w:sz w:val="22"/>
        </w:rPr>
        <w:t xml:space="preserve"> with a grade of </w:t>
      </w:r>
      <w:r>
        <w:rPr>
          <w:rFonts w:ascii="Inter" w:hAnsi="Inter" w:cs="Inter"/>
          <w:b/>
          <w:i w:val="0"/>
          <w:color w:val="1C1E2E"/>
          <w:sz w:val="22"/>
        </w:rPr>
        <w:t>twenty (20) points — Sobresaliente</w:t>
      </w:r>
      <w:r>
        <w:rPr>
          <w:rFonts w:ascii="Inter" w:hAnsi="Inter" w:cs="Inter"/>
          <w:b w:val="0"/>
          <w:i w:val="0"/>
          <w:color w:val="1C1E2E"/>
          <w:sz w:val="22"/>
        </w:rPr>
        <w:t xml:space="preserve"> (Mérida, 15 November 2004) </w:t>
      </w:r>
      <w:r>
        <w:rPr>
          <w:rFonts w:ascii="Inter" w:hAnsi="Inter" w:cs="Inter"/>
          <w:b/>
          <w:i w:val="0"/>
          <w:color w:val="1C1E2E"/>
          <w:sz w:val="22"/>
        </w:rPr>
        <w:t>[DOC-07]</w:t>
      </w:r>
      <w:r>
        <w:rPr>
          <w:rFonts w:ascii="Inter" w:hAnsi="Inter" w:cs="Inter"/>
          <w:b w:val="0"/>
          <w:i w:val="0"/>
          <w:color w:val="1C1E2E"/>
          <w:sz w:val="22"/>
        </w:rPr>
        <w:t>.</w:t>
      </w:r>
    </w:p>
    <w:p>
      <w:r>
        <w:rPr>
          <w:rFonts w:ascii="Inter" w:hAnsi="Inter" w:cs="Inter"/>
          <w:b/>
          <w:i w:val="0"/>
          <w:color w:val="1C1E2E"/>
          <w:sz w:val="22"/>
        </w:rPr>
        <w:t>First place was not a one-off result.</w:t>
      </w:r>
      <w:r>
        <w:rPr>
          <w:rFonts w:ascii="Inter" w:hAnsi="Inter" w:cs="Inter"/>
          <w:b w:val="0"/>
          <w:i w:val="0"/>
          <w:color w:val="1C1E2E"/>
          <w:sz w:val="22"/>
        </w:rPr>
        <w:t xml:space="preserve"> ULA conferred the </w:t>
      </w:r>
      <w:r>
        <w:rPr>
          <w:rFonts w:ascii="Inter" w:hAnsi="Inter" w:cs="Inter"/>
          <w:b/>
          <w:i w:val="0"/>
          <w:color w:val="1C1E2E"/>
          <w:sz w:val="22"/>
        </w:rPr>
        <w:t>Order "Luis María Ribas Dávila"</w:t>
      </w:r>
      <w:r>
        <w:rPr>
          <w:rFonts w:ascii="Inter" w:hAnsi="Inter" w:cs="Inter"/>
          <w:b w:val="0"/>
          <w:i w:val="0"/>
          <w:color w:val="1C1E2E"/>
          <w:sz w:val="22"/>
        </w:rPr>
        <w:t xml:space="preserve"> — a rectoral distinction for the </w:t>
      </w:r>
      <w:r>
        <w:rPr>
          <w:rFonts w:ascii="Inter" w:hAnsi="Inter" w:cs="Inter"/>
          <w:b/>
          <w:i w:val="0"/>
          <w:color w:val="1C1E2E"/>
          <w:sz w:val="22"/>
        </w:rPr>
        <w:t>highest academic performance</w:t>
      </w:r>
      <w:r>
        <w:rPr>
          <w:rFonts w:ascii="Inter" w:hAnsi="Inter" w:cs="Inter"/>
          <w:b w:val="0"/>
          <w:i w:val="0"/>
          <w:color w:val="1C1E2E"/>
          <w:sz w:val="22"/>
        </w:rPr>
        <w:t xml:space="preserve"> in the School of Education, Núcleo Universitario del Táchira — in </w:t>
      </w:r>
      <w:r>
        <w:rPr>
          <w:rFonts w:ascii="Inter" w:hAnsi="Inter" w:cs="Inter"/>
          <w:b/>
          <w:i w:val="0"/>
          <w:color w:val="1C1E2E"/>
          <w:sz w:val="22"/>
        </w:rPr>
        <w:t>four consecutive years</w:t>
      </w:r>
      <w:r>
        <w:rPr>
          <w:rFonts w:ascii="Inter" w:hAnsi="Inter" w:cs="Inter"/>
          <w:b w:val="0"/>
          <w:i w:val="0"/>
          <w:color w:val="1C1E2E"/>
          <w:sz w:val="22"/>
        </w:rPr>
        <w:t>:</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Year</w:t>
            </w:r>
          </w:p>
        </w:tc>
        <w:tc>
          <w:tcPr>
            <w:tcW w:type="dxa" w:w="3216"/>
            <w:shd w:val="clear" w:color="auto" w:fill="EEF2FD"/>
          </w:tcPr>
          <w:p>
            <w:pPr>
              <w:spacing w:after="40"/>
            </w:pPr>
            <w:r/>
            <w:r>
              <w:rPr>
                <w:rFonts w:ascii="Inter" w:hAnsi="Inter" w:cs="Inter"/>
                <w:b/>
                <w:i w:val="0"/>
                <w:color w:val="22307C"/>
                <w:sz w:val="19"/>
              </w:rPr>
              <w:t>Distinction</w:t>
            </w:r>
          </w:p>
        </w:tc>
        <w:tc>
          <w:tcPr>
            <w:tcW w:type="dxa" w:w="3216"/>
            <w:shd w:val="clear" w:color="auto" w:fill="EEF2FD"/>
          </w:tcPr>
          <w:p>
            <w:pPr>
              <w:spacing w:after="40"/>
            </w:pPr>
            <w:r/>
            <w:r>
              <w:rPr>
                <w:rFonts w:ascii="Inter" w:hAnsi="Inter" w:cs="Inter"/>
                <w:b/>
                <w:i w:val="0"/>
                <w:color w:val="22307C"/>
                <w:sz w:val="19"/>
              </w:rPr>
              <w:t>Signed by</w:t>
            </w:r>
          </w:p>
        </w:tc>
      </w:tr>
      <w:tr>
        <w:tc>
          <w:tcPr>
            <w:tcW w:type="dxa" w:w="3216"/>
          </w:tcPr>
          <w:p>
            <w:pPr>
              <w:spacing w:after="40"/>
            </w:pPr>
            <w:r/>
            <w:r>
              <w:rPr>
                <w:rFonts w:ascii="Inter" w:hAnsi="Inter" w:cs="Inter"/>
                <w:b/>
                <w:i w:val="0"/>
                <w:color w:val="1C1E2E"/>
                <w:sz w:val="19"/>
              </w:rPr>
              <w:t>2000</w:t>
            </w:r>
          </w:p>
        </w:tc>
        <w:tc>
          <w:tcPr>
            <w:tcW w:type="dxa" w:w="3216"/>
          </w:tcPr>
          <w:p>
            <w:pPr>
              <w:spacing w:after="40"/>
            </w:pPr>
            <w:r/>
            <w:r>
              <w:rPr>
                <w:rFonts w:ascii="Inter" w:hAnsi="Inter" w:cs="Inter"/>
                <w:b w:val="0"/>
                <w:i w:val="0"/>
                <w:color w:val="1C1E2E"/>
                <w:sz w:val="19"/>
              </w:rPr>
              <w:t>Order "Luis María Ribas Dávila" — highest academic performance</w:t>
            </w:r>
          </w:p>
        </w:tc>
        <w:tc>
          <w:tcPr>
            <w:tcW w:type="dxa" w:w="3216"/>
          </w:tcPr>
          <w:p>
            <w:pPr>
              <w:spacing w:after="40"/>
            </w:pPr>
            <w:r/>
            <w:r>
              <w:rPr>
                <w:rFonts w:ascii="Inter" w:hAnsi="Inter" w:cs="Inter"/>
                <w:b w:val="0"/>
                <w:i w:val="0"/>
                <w:color w:val="1C1E2E"/>
                <w:sz w:val="19"/>
              </w:rPr>
              <w:t>Rector and General Secretary of ULA</w:t>
            </w:r>
          </w:p>
        </w:tc>
      </w:tr>
      <w:tr>
        <w:tc>
          <w:tcPr>
            <w:tcW w:type="dxa" w:w="3216"/>
          </w:tcPr>
          <w:p>
            <w:pPr>
              <w:spacing w:after="40"/>
            </w:pPr>
            <w:r/>
            <w:r>
              <w:rPr>
                <w:rFonts w:ascii="Inter" w:hAnsi="Inter" w:cs="Inter"/>
                <w:b/>
                <w:i w:val="0"/>
                <w:color w:val="1C1E2E"/>
                <w:sz w:val="19"/>
              </w:rPr>
              <w:t>2001</w:t>
            </w:r>
          </w:p>
        </w:tc>
        <w:tc>
          <w:tcPr>
            <w:tcW w:type="dxa" w:w="3216"/>
          </w:tcPr>
          <w:p>
            <w:pPr>
              <w:spacing w:after="40"/>
            </w:pPr>
            <w:r/>
            <w:r>
              <w:rPr>
                <w:rFonts w:ascii="Inter" w:hAnsi="Inter" w:cs="Inter"/>
                <w:b w:val="0"/>
                <w:i w:val="0"/>
                <w:color w:val="1C1E2E"/>
                <w:sz w:val="19"/>
              </w:rPr>
              <w:t>Order "Luis María Ribas Dávila" — highest academic performance</w:t>
            </w:r>
          </w:p>
        </w:tc>
        <w:tc>
          <w:tcPr>
            <w:tcW w:type="dxa" w:w="3216"/>
          </w:tcPr>
          <w:p>
            <w:pPr>
              <w:spacing w:after="40"/>
            </w:pPr>
            <w:r/>
            <w:r>
              <w:rPr>
                <w:rFonts w:ascii="Inter" w:hAnsi="Inter" w:cs="Inter"/>
                <w:b w:val="0"/>
                <w:i w:val="0"/>
                <w:color w:val="1C1E2E"/>
                <w:sz w:val="19"/>
              </w:rPr>
              <w:t>Rector and General Secretary of ULA</w:t>
            </w:r>
          </w:p>
        </w:tc>
      </w:tr>
      <w:tr>
        <w:tc>
          <w:tcPr>
            <w:tcW w:type="dxa" w:w="3216"/>
          </w:tcPr>
          <w:p>
            <w:pPr>
              <w:spacing w:after="40"/>
            </w:pPr>
            <w:r/>
            <w:r>
              <w:rPr>
                <w:rFonts w:ascii="Inter" w:hAnsi="Inter" w:cs="Inter"/>
                <w:b/>
                <w:i w:val="0"/>
                <w:color w:val="1C1E2E"/>
                <w:sz w:val="19"/>
              </w:rPr>
              <w:t>2002</w:t>
            </w:r>
          </w:p>
        </w:tc>
        <w:tc>
          <w:tcPr>
            <w:tcW w:type="dxa" w:w="3216"/>
          </w:tcPr>
          <w:p>
            <w:pPr>
              <w:spacing w:after="40"/>
            </w:pPr>
            <w:r/>
            <w:r>
              <w:rPr>
                <w:rFonts w:ascii="Inter" w:hAnsi="Inter" w:cs="Inter"/>
                <w:b w:val="0"/>
                <w:i w:val="0"/>
                <w:color w:val="1C1E2E"/>
                <w:sz w:val="19"/>
              </w:rPr>
              <w:t>Order "Luis María Ribas Dávila" — highest academic performance</w:t>
            </w:r>
          </w:p>
        </w:tc>
        <w:tc>
          <w:tcPr>
            <w:tcW w:type="dxa" w:w="3216"/>
          </w:tcPr>
          <w:p>
            <w:pPr>
              <w:spacing w:after="40"/>
            </w:pPr>
            <w:r/>
            <w:r>
              <w:rPr>
                <w:rFonts w:ascii="Inter" w:hAnsi="Inter" w:cs="Inter"/>
                <w:b w:val="0"/>
                <w:i w:val="0"/>
                <w:color w:val="1C1E2E"/>
                <w:sz w:val="19"/>
              </w:rPr>
              <w:t>Rector and General Secretary of ULA</w:t>
            </w:r>
          </w:p>
        </w:tc>
      </w:tr>
      <w:tr>
        <w:tc>
          <w:tcPr>
            <w:tcW w:type="dxa" w:w="3216"/>
          </w:tcPr>
          <w:p>
            <w:pPr>
              <w:spacing w:after="40"/>
            </w:pPr>
            <w:r/>
            <w:r>
              <w:rPr>
                <w:rFonts w:ascii="Inter" w:hAnsi="Inter" w:cs="Inter"/>
                <w:b/>
                <w:i w:val="0"/>
                <w:color w:val="1C1E2E"/>
                <w:sz w:val="19"/>
              </w:rPr>
              <w:t>2003</w:t>
            </w:r>
          </w:p>
        </w:tc>
        <w:tc>
          <w:tcPr>
            <w:tcW w:type="dxa" w:w="3216"/>
          </w:tcPr>
          <w:p>
            <w:pPr>
              <w:spacing w:after="40"/>
            </w:pPr>
            <w:r/>
            <w:r>
              <w:rPr>
                <w:rFonts w:ascii="Inter" w:hAnsi="Inter" w:cs="Inter"/>
                <w:b w:val="0"/>
                <w:i w:val="0"/>
                <w:color w:val="1C1E2E"/>
                <w:sz w:val="19"/>
              </w:rPr>
              <w:t>Order "Luis María Ribas Dávila" — highest academic performance</w:t>
            </w:r>
          </w:p>
        </w:tc>
        <w:tc>
          <w:tcPr>
            <w:tcW w:type="dxa" w:w="3216"/>
          </w:tcPr>
          <w:p>
            <w:pPr>
              <w:spacing w:after="40"/>
            </w:pPr>
            <w:r/>
            <w:r>
              <w:rPr>
                <w:rFonts w:ascii="Inter" w:hAnsi="Inter" w:cs="Inter"/>
                <w:b w:val="0"/>
                <w:i w:val="0"/>
                <w:color w:val="1C1E2E"/>
                <w:sz w:val="19"/>
              </w:rPr>
              <w:t>Rector and General Secretary of ULA</w:t>
            </w:r>
          </w:p>
        </w:tc>
      </w:tr>
    </w:tbl>
    <w:p/>
    <w:p>
      <w:r>
        <w:rPr>
          <w:rFonts w:ascii="Inter" w:hAnsi="Inter" w:cs="Inter"/>
          <w:b w:val="0"/>
          <w:i w:val="0"/>
          <w:color w:val="1C1E2E"/>
          <w:sz w:val="22"/>
        </w:rPr>
        <w:t xml:space="preserve">Four consecutive rectoral diplomas </w:t>
      </w:r>
      <w:r>
        <w:rPr>
          <w:rFonts w:ascii="Inter" w:hAnsi="Inter" w:cs="Inter"/>
          <w:b/>
          <w:i w:val="0"/>
          <w:color w:val="1C1E2E"/>
          <w:sz w:val="22"/>
        </w:rPr>
        <w:t>[DOC-07B]</w:t>
      </w:r>
      <w:r>
        <w:rPr>
          <w:rFonts w:ascii="Inter" w:hAnsi="Inter" w:cs="Inter"/>
          <w:b w:val="0"/>
          <w:i w:val="0"/>
          <w:color w:val="1C1E2E"/>
          <w:sz w:val="22"/>
        </w:rPr>
        <w:t xml:space="preserve"> show that ranking 1st of 56 at graduation was the culmination of a sustained record, not the result of a single year. This is the argument to lead with if the committee hesitates over the equivalence with the Spanish Extraordinary Award.</w:t>
      </w:r>
    </w:p>
    <w:p>
      <w:pPr>
        <w:pBdr>
          <w:left w:val="single" w:sz="18" w:space="8" w:color="9A5B00"/>
        </w:pBdr>
        <w:spacing w:before="120" w:after="200"/>
        <w:ind w:left="317"/>
      </w:pPr>
      <w:r>
        <w:rPr>
          <w:rFonts w:ascii="Inter" w:hAnsi="Inter" w:cs="Inter"/>
          <w:b/>
          <w:i w:val="0"/>
          <w:color w:val="5B5F77"/>
          <w:sz w:val="21"/>
        </w:rPr>
        <w:t>How to word this for the committee — it matters.</w:t>
      </w:r>
      <w:r>
        <w:rPr>
          <w:rFonts w:ascii="Inter" w:hAnsi="Inter" w:cs="Inter"/>
          <w:b w:val="0"/>
          <w:i w:val="0"/>
          <w:color w:val="5B5F77"/>
          <w:sz w:val="21"/>
        </w:rPr>
        <w:t xml:space="preserve"> The Venezuelan document is </w:t>
      </w:r>
      <w:r>
        <w:rPr>
          <w:rFonts w:ascii="Inter" w:hAnsi="Inter" w:cs="Inter"/>
          <w:b/>
          <w:i w:val="0"/>
          <w:color w:val="5B5F77"/>
          <w:sz w:val="21"/>
        </w:rPr>
        <w:t>not titled "Premio Extraordinario Fin de Carrera"</w:t>
      </w:r>
      <w:r>
        <w:rPr>
          <w:rFonts w:ascii="Inter" w:hAnsi="Inter" w:cs="Inter"/>
          <w:b w:val="0"/>
          <w:i w:val="0"/>
          <w:color w:val="5B5F77"/>
          <w:sz w:val="21"/>
        </w:rPr>
        <w:t xml:space="preserve">, because ULA does not issue an award under that name: it issues the </w:t>
      </w:r>
      <w:r>
        <w:rPr>
          <w:rFonts w:ascii="Inter" w:hAnsi="Inter" w:cs="Inter"/>
          <w:b/>
          <w:i w:val="0"/>
          <w:color w:val="5B5F77"/>
          <w:sz w:val="21"/>
        </w:rPr>
        <w:t>Academic Rank Certificate</w:t>
      </w:r>
      <w:r>
        <w:rPr>
          <w:rFonts w:ascii="Inter" w:hAnsi="Inter" w:cs="Inter"/>
          <w:b w:val="0"/>
          <w:i w:val="0"/>
          <w:color w:val="5B5F77"/>
          <w:sz w:val="21"/>
        </w:rPr>
        <w:t xml:space="preserve">, its functional equivalent, certifying exactly what the Spanish award evidences — </w:t>
      </w:r>
      <w:r>
        <w:rPr>
          <w:rFonts w:ascii="Inter" w:hAnsi="Inter" w:cs="Inter"/>
          <w:b/>
          <w:i w:val="0"/>
          <w:color w:val="5B5F77"/>
          <w:sz w:val="21"/>
        </w:rPr>
        <w:t>having ranked first in the graduating class</w:t>
      </w:r>
      <w:r>
        <w:rPr>
          <w:rFonts w:ascii="Inter" w:hAnsi="Inter" w:cs="Inter"/>
          <w:b w:val="0"/>
          <w:i w:val="0"/>
          <w:color w:val="5B5F77"/>
          <w:sz w:val="21"/>
        </w:rPr>
        <w:t xml:space="preserve">. Present it in those terms and attach the apostilled certificate: the committee then sees a verifiable number (1st of 56; 18.97 against 15.77) instead of a label it would have to interpret. It is also the </w:t>
      </w:r>
      <w:r>
        <w:rPr>
          <w:rFonts w:ascii="Inter" w:hAnsi="Inter" w:cs="Inter"/>
          <w:b/>
          <w:i w:val="0"/>
          <w:color w:val="5B5F77"/>
          <w:sz w:val="21"/>
        </w:rPr>
        <w:t>best-documented merit in the whole file</w:t>
      </w:r>
      <w:r>
        <w:rPr>
          <w:rFonts w:ascii="Inter" w:hAnsi="Inter" w:cs="Inter"/>
          <w:b w:val="0"/>
          <w:i w:val="0"/>
          <w:color w:val="5B5F77"/>
          <w:sz w:val="21"/>
        </w:rPr>
        <w:t>: official certificate + Rectorate signature certification + Hague Apostille with an online validation code. No other rubric item reaches that standard of proof.</w:t>
      </w:r>
    </w:p>
    <w:p>
      <w:r>
        <w:rPr>
          <w:rFonts w:ascii="Inter" w:hAnsi="Inter" w:cs="Inter"/>
          <w:b/>
          <w:i w:val="0"/>
          <w:color w:val="1C1E2E"/>
          <w:sz w:val="22"/>
        </w:rPr>
        <w:t>Evidence:</w:t>
      </w:r>
      <w:r>
        <w:rPr>
          <w:rFonts w:ascii="Inter" w:hAnsi="Inter" w:cs="Inter"/>
          <w:b w:val="0"/>
          <w:i w:val="0"/>
          <w:color w:val="1C1E2E"/>
          <w:sz w:val="22"/>
        </w:rPr>
        <w:t xml:space="preserve"> Academic Rank Certificate with rectoral certification and apostille </w:t>
      </w:r>
      <w:r>
        <w:rPr>
          <w:rFonts w:ascii="Inter" w:hAnsi="Inter" w:cs="Inter"/>
          <w:b/>
          <w:i w:val="0"/>
          <w:color w:val="1C1E2E"/>
          <w:sz w:val="22"/>
        </w:rPr>
        <w:t>[DOC-06]</w:t>
      </w:r>
      <w:r>
        <w:rPr>
          <w:rFonts w:ascii="Inter" w:hAnsi="Inter" w:cs="Inter"/>
          <w:b w:val="0"/>
          <w:i w:val="0"/>
          <w:color w:val="1C1E2E"/>
          <w:sz w:val="22"/>
        </w:rPr>
        <w:t xml:space="preserve"> · Diploma of Honour for the dissertation (20/20 Sobresaliente) </w:t>
      </w:r>
      <w:r>
        <w:rPr>
          <w:rFonts w:ascii="Inter" w:hAnsi="Inter" w:cs="Inter"/>
          <w:b/>
          <w:i w:val="0"/>
          <w:color w:val="1C1E2E"/>
          <w:sz w:val="22"/>
        </w:rPr>
        <w:t>[DOC-07]</w:t>
      </w:r>
      <w:r>
        <w:rPr>
          <w:rFonts w:ascii="Inter" w:hAnsi="Inter" w:cs="Inter"/>
          <w:b w:val="0"/>
          <w:i w:val="0"/>
          <w:color w:val="1C1E2E"/>
          <w:sz w:val="22"/>
        </w:rPr>
        <w:t>.</w:t>
      </w:r>
    </w:p>
    <w:p>
      <w:pPr>
        <w:pBdr>
          <w:bottom w:val="single" w:sz="6" w:space="1" w:color="E6E8F2"/>
        </w:pBdr>
      </w:pPr>
    </w:p>
    <w:p>
      <w:pPr>
        <w:spacing w:before="320" w:after="120"/>
      </w:pPr>
      <w:r>
        <w:rPr>
          <w:rFonts w:ascii="Fraunces" w:hAnsi="Fraunces" w:cs="Fraunces"/>
          <w:b/>
          <w:i w:val="0"/>
          <w:color w:val="22307C"/>
          <w:sz w:val="32"/>
        </w:rPr>
        <w:t xml:space="preserve">B.2 · Extraordinary award for the master's degree — </w:t>
      </w:r>
      <w:r>
        <w:rPr>
          <w:rFonts w:ascii="Fraunces" w:hAnsi="Fraunces" w:cs="Fraunces"/>
          <w:b/>
          <w:i w:val="0"/>
          <w:color w:val="22307C"/>
          <w:sz w:val="32"/>
        </w:rPr>
        <w:t>5 %</w:t>
      </w:r>
      <w:r>
        <w:rPr>
          <w:rFonts w:ascii="Fraunces" w:hAnsi="Fraunces" w:cs="Fraunces"/>
          <w:b/>
          <w:i w:val="0"/>
          <w:color w:val="22307C"/>
          <w:sz w:val="32"/>
        </w:rPr>
        <w:t xml:space="preserve"> ❌ NOT APPLICABLE</w:t>
      </w:r>
    </w:p>
    <w:p>
      <w:r>
        <w:rPr>
          <w:rFonts w:ascii="Inter" w:hAnsi="Inter" w:cs="Inter"/>
          <w:b/>
          <w:i w:val="0"/>
          <w:color w:val="1C1E2E"/>
          <w:sz w:val="22"/>
        </w:rPr>
        <w:t>The Extraordinary Award held is the undergraduate one (§B.1), not a master's award.</w:t>
      </w:r>
      <w:r>
        <w:rPr>
          <w:rFonts w:ascii="Inter" w:hAnsi="Inter" w:cs="Inter"/>
          <w:b w:val="0"/>
          <w:i w:val="0"/>
          <w:color w:val="1C1E2E"/>
          <w:sz w:val="22"/>
        </w:rPr>
        <w:t xml:space="preserve"> No award is declared here.</w:t>
      </w:r>
    </w:p>
    <w:p>
      <w:r>
        <w:rPr>
          <w:rFonts w:ascii="Inter" w:hAnsi="Inter" w:cs="Inter"/>
          <w:b/>
          <w:i w:val="0"/>
          <w:color w:val="1C1E2E"/>
          <w:sz w:val="22"/>
        </w:rPr>
        <w:t>What is declared instead, as the master's academic distinction</w:t>
      </w:r>
      <w:r>
        <w:rPr>
          <w:rFonts w:ascii="Inter" w:hAnsi="Inter" w:cs="Inter"/>
          <w:b w:val="0"/>
          <w:i w:val="0"/>
          <w:color w:val="1C1E2E"/>
          <w:sz w:val="22"/>
        </w:rPr>
        <w:t xml:space="preserve"> — reinforcing Block A, not this item:</w:t>
      </w:r>
    </w:p>
    <w:p>
      <w:pPr>
        <w:pStyle w:val="ListBullet"/>
        <w:spacing w:after="60"/>
        <w:ind w:left="403"/>
      </w:pPr>
      <w:r>
        <w:rPr>
          <w:rFonts w:ascii="Inter" w:hAnsi="Inter" w:cs="Inter"/>
          <w:b/>
          <w:i w:val="0"/>
          <w:color w:val="1C1E2E"/>
          <w:sz w:val="22"/>
        </w:rPr>
        <w:t>2 Matrículas de Honor</w:t>
      </w:r>
      <w:r>
        <w:rPr>
          <w:rFonts w:ascii="Inter" w:hAnsi="Inter" w:cs="Inter"/>
          <w:b w:val="0"/>
          <w:i w:val="0"/>
          <w:color w:val="1C1E2E"/>
          <w:sz w:val="22"/>
        </w:rPr>
        <w:t xml:space="preserve"> in the Master's Degree in Languages and Technology (UPV, 2026).</w:t>
      </w:r>
    </w:p>
    <w:p>
      <w:pPr>
        <w:pStyle w:val="ListBullet"/>
        <w:spacing w:after="60"/>
        <w:ind w:left="403"/>
      </w:pPr>
      <w:r>
        <w:rPr>
          <w:rFonts w:ascii="Inter" w:hAnsi="Inter" w:cs="Inter"/>
          <w:b w:val="0"/>
          <w:i w:val="0"/>
          <w:color w:val="1C1E2E"/>
          <w:sz w:val="22"/>
        </w:rPr>
        <w:t xml:space="preserve">Grade-point average </w:t>
      </w:r>
      <w:r>
        <w:rPr>
          <w:rFonts w:ascii="Inter" w:hAnsi="Inter" w:cs="Inter"/>
          <w:b/>
          <w:i w:val="0"/>
          <w:color w:val="1C1E2E"/>
          <w:sz w:val="22"/>
        </w:rPr>
        <w:t>9.4 / 10</w:t>
      </w:r>
      <w:r>
        <w:rPr>
          <w:rFonts w:ascii="Inter" w:hAnsi="Inter" w:cs="Inter"/>
          <w:b w:val="0"/>
          <w:i w:val="0"/>
          <w:color w:val="1C1E2E"/>
          <w:sz w:val="22"/>
        </w:rPr>
        <w:t>.</w:t>
      </w:r>
    </w:p>
    <w:p>
      <w:pPr>
        <w:pStyle w:val="ListBullet"/>
        <w:spacing w:after="60"/>
        <w:ind w:left="403"/>
      </w:pPr>
      <w:r>
        <w:rPr>
          <w:rFonts w:ascii="Inter" w:hAnsi="Inter" w:cs="Inter"/>
          <w:b/>
          <w:i w:val="0"/>
          <w:color w:val="1C1E2E"/>
          <w:sz w:val="22"/>
        </w:rPr>
        <w:t>10/10</w:t>
      </w:r>
      <w:r>
        <w:rPr>
          <w:rFonts w:ascii="Inter" w:hAnsi="Inter" w:cs="Inter"/>
          <w:b w:val="0"/>
          <w:i w:val="0"/>
          <w:color w:val="1C1E2E"/>
          <w:sz w:val="22"/>
        </w:rPr>
        <w:t xml:space="preserve"> for the </w:t>
      </w:r>
      <w:r>
        <w:rPr>
          <w:rFonts w:ascii="Inter" w:hAnsi="Inter" w:cs="Inter"/>
          <w:b w:val="0"/>
          <w:i/>
          <w:color w:val="1C1E2E"/>
          <w:sz w:val="22"/>
        </w:rPr>
        <w:t>Academic Writing Journey</w:t>
      </w:r>
      <w:r>
        <w:rPr>
          <w:rFonts w:ascii="Inter" w:hAnsi="Inter" w:cs="Inter"/>
          <w:b w:val="0"/>
          <w:i w:val="0"/>
          <w:color w:val="1C1E2E"/>
          <w:sz w:val="22"/>
        </w:rPr>
        <w:t xml:space="preserve"> project.</w:t>
      </w:r>
    </w:p>
    <w:p>
      <w:pPr>
        <w:pBdr>
          <w:left w:val="single" w:sz="18" w:space="8" w:color="9A5B00"/>
        </w:pBdr>
        <w:spacing w:before="120" w:after="200"/>
        <w:ind w:left="317"/>
      </w:pPr>
      <w:r>
        <w:rPr>
          <w:rFonts w:ascii="Inter" w:hAnsi="Inter" w:cs="Inter"/>
          <w:b/>
          <w:i w:val="0"/>
          <w:color w:val="5B5F77"/>
          <w:sz w:val="21"/>
        </w:rPr>
        <w:t>Why leaving this at zero is the right call.</w:t>
      </w:r>
      <w:r>
        <w:rPr>
          <w:rFonts w:ascii="Inter" w:hAnsi="Inter" w:cs="Inter"/>
          <w:b w:val="0"/>
          <w:i w:val="0"/>
          <w:color w:val="5B5F77"/>
          <w:sz w:val="21"/>
        </w:rPr>
        <w:t xml:space="preserve"> A </w:t>
      </w:r>
      <w:r>
        <w:rPr>
          <w:rFonts w:ascii="Inter" w:hAnsi="Inter" w:cs="Inter"/>
          <w:b w:val="0"/>
          <w:i/>
          <w:color w:val="5B5F77"/>
          <w:sz w:val="21"/>
        </w:rPr>
        <w:t>Matrícula de Honor</w:t>
      </w:r>
      <w:r>
        <w:rPr>
          <w:rFonts w:ascii="Inter" w:hAnsi="Inter" w:cs="Inter"/>
          <w:b w:val="0"/>
          <w:i w:val="0"/>
          <w:color w:val="5B5F77"/>
          <w:sz w:val="21"/>
        </w:rPr>
        <w:t xml:space="preserve"> is a course-level grade; the </w:t>
      </w:r>
      <w:r>
        <w:rPr>
          <w:rFonts w:ascii="Inter" w:hAnsi="Inter" w:cs="Inter"/>
          <w:b w:val="0"/>
          <w:i/>
          <w:color w:val="5B5F77"/>
          <w:sz w:val="21"/>
        </w:rPr>
        <w:t>Extraordinary Master's Award</w:t>
      </w:r>
      <w:r>
        <w:rPr>
          <w:rFonts w:ascii="Inter" w:hAnsi="Inter" w:cs="Inter"/>
          <w:b w:val="0"/>
          <w:i w:val="0"/>
          <w:color w:val="5B5F77"/>
          <w:sz w:val="21"/>
        </w:rPr>
        <w:t xml:space="preserve"> is a university resolution recognising the best record of the cohort. Declaring one as the other would void the merit and undercut the credibility of the rest of the CV — precisely when §B.1 does supply a real award, certified and apostilled. Should UPV later resolve the Extraordinary Award in your favour, add the resolution as </w:t>
      </w:r>
      <w:r>
        <w:rPr>
          <w:rFonts w:ascii="Inter" w:hAnsi="Inter" w:cs="Inter"/>
          <w:b/>
          <w:i w:val="0"/>
          <w:color w:val="5B5F77"/>
          <w:sz w:val="21"/>
        </w:rPr>
        <w:t>[DOC-08]</w:t>
      </w:r>
      <w:r>
        <w:rPr>
          <w:rFonts w:ascii="Inter" w:hAnsi="Inter" w:cs="Inter"/>
          <w:b w:val="0"/>
          <w:i w:val="0"/>
          <w:color w:val="5B5F77"/>
          <w:sz w:val="21"/>
        </w:rPr>
        <w:t xml:space="preserve"> and this item begins to score.</w:t>
      </w:r>
    </w:p>
    <w:p>
      <w:r>
        <w:rPr>
          <w:rFonts w:ascii="Inter" w:hAnsi="Inter" w:cs="Inter"/>
          <w:b/>
          <w:i w:val="0"/>
          <w:color w:val="1C1E2E"/>
          <w:sz w:val="22"/>
        </w:rPr>
        <w:t>Evidence:</w:t>
      </w:r>
      <w:r>
        <w:rPr>
          <w:rFonts w:ascii="Inter" w:hAnsi="Inter" w:cs="Inter"/>
          <w:b w:val="0"/>
          <w:i w:val="0"/>
          <w:color w:val="1C1E2E"/>
          <w:sz w:val="22"/>
        </w:rPr>
        <w:t xml:space="preserve"> academic transcript showing the 2 Matrículas de Honor, included in </w:t>
      </w:r>
      <w:r>
        <w:rPr>
          <w:rFonts w:ascii="Inter" w:hAnsi="Inter" w:cs="Inter"/>
          <w:b/>
          <w:i w:val="0"/>
          <w:color w:val="1C1E2E"/>
          <w:sz w:val="22"/>
        </w:rPr>
        <w:t>[DOC-01]</w:t>
      </w:r>
      <w:r>
        <w:rPr>
          <w:rFonts w:ascii="Inter" w:hAnsi="Inter" w:cs="Inter"/>
          <w:b w:val="0"/>
          <w:i w:val="0"/>
          <w:color w:val="1C1E2E"/>
          <w:sz w:val="22"/>
        </w:rPr>
        <w:t>.</w:t>
      </w:r>
    </w:p>
    <w:p>
      <w:pPr>
        <w:pBdr>
          <w:bottom w:val="single" w:sz="6" w:space="1" w:color="E6E8F2"/>
        </w:pBdr>
      </w:pPr>
    </w:p>
    <w:p>
      <w:pPr>
        <w:spacing w:before="320" w:after="120"/>
      </w:pPr>
      <w:r>
        <w:rPr>
          <w:rFonts w:ascii="Fraunces" w:hAnsi="Fraunces" w:cs="Fraunces"/>
          <w:b/>
          <w:i w:val="0"/>
          <w:color w:val="22307C"/>
          <w:sz w:val="32"/>
        </w:rPr>
        <w:t xml:space="preserve">B.3 · A second master's degree — </w:t>
      </w:r>
      <w:r>
        <w:rPr>
          <w:rFonts w:ascii="Fraunces" w:hAnsi="Fraunces" w:cs="Fraunces"/>
          <w:b/>
          <w:i w:val="0"/>
          <w:color w:val="22307C"/>
          <w:sz w:val="32"/>
        </w:rPr>
        <w:t>5 %</w:t>
      </w:r>
      <w:r>
        <w:rPr>
          <w:rFonts w:ascii="Fraunces" w:hAnsi="Fraunces" w:cs="Fraunces"/>
          <w:b/>
          <w:i w:val="0"/>
          <w:color w:val="22307C"/>
          <w:sz w:val="32"/>
        </w:rPr>
        <w:t xml:space="preserve"> ❌ NOT HELD AT PRESENT</w:t>
      </w:r>
    </w:p>
    <w:p>
      <w:r>
        <w:rPr>
          <w:rFonts w:ascii="Inter" w:hAnsi="Inter" w:cs="Inter"/>
          <w:b w:val="0"/>
          <w:i w:val="0"/>
          <w:color w:val="1C1E2E"/>
          <w:sz w:val="22"/>
        </w:rPr>
        <w:t>As of this application, no second official master's degree is held besides the Master's in Languages and Technology (UPV).</w:t>
      </w:r>
    </w:p>
    <w:p>
      <w:r>
        <w:rPr>
          <w:rFonts w:ascii="Inter" w:hAnsi="Inter" w:cs="Inter"/>
          <w:b/>
          <w:i w:val="0"/>
          <w:color w:val="1C1E2E"/>
          <w:sz w:val="22"/>
        </w:rPr>
        <w:t>What can be offered as complementary postgraduate training</w:t>
      </w:r>
      <w:r>
        <w:rPr>
          <w:rFonts w:ascii="Inter" w:hAnsi="Inter" w:cs="Inter"/>
          <w:b w:val="0"/>
          <w:i w:val="0"/>
          <w:color w:val="1C1E2E"/>
          <w:sz w:val="22"/>
        </w:rPr>
        <w:t xml:space="preserve"> (it does not score in this item, but strengthens the file as a whole and is declared in §6):</w:t>
      </w:r>
    </w:p>
    <w:p>
      <w:pPr>
        <w:pStyle w:val="ListBullet"/>
        <w:spacing w:after="60"/>
        <w:ind w:left="403"/>
      </w:pPr>
      <w:r>
        <w:rPr>
          <w:rFonts w:ascii="Inter" w:hAnsi="Inter" w:cs="Inter"/>
          <w:b w:val="0"/>
          <w:i/>
          <w:color w:val="1C1E2E"/>
          <w:sz w:val="22"/>
        </w:rPr>
        <w:t>Instructional Design: Course Planning and Pedagogy</w:t>
      </w:r>
      <w:r>
        <w:rPr>
          <w:rFonts w:ascii="Inter" w:hAnsi="Inter" w:cs="Inter"/>
          <w:b w:val="0"/>
          <w:i w:val="0"/>
          <w:color w:val="1C1E2E"/>
          <w:sz w:val="22"/>
        </w:rPr>
        <w:t xml:space="preserve"> — University of California, Irvine (Division of Continuing Education), January 2025.</w:t>
      </w:r>
    </w:p>
    <w:p>
      <w:pPr>
        <w:pStyle w:val="ListBullet"/>
        <w:spacing w:after="60"/>
        <w:ind w:left="403"/>
      </w:pPr>
      <w:r>
        <w:rPr>
          <w:rFonts w:ascii="Inter" w:hAnsi="Inter" w:cs="Inter"/>
          <w:b w:val="0"/>
          <w:i/>
          <w:color w:val="1C1E2E"/>
          <w:sz w:val="22"/>
        </w:rPr>
        <w:t>Instructional Design Fundamentals</w:t>
      </w:r>
      <w:r>
        <w:rPr>
          <w:rFonts w:ascii="Inter" w:hAnsi="Inter" w:cs="Inter"/>
          <w:b w:val="0"/>
          <w:i w:val="0"/>
          <w:color w:val="1C1E2E"/>
          <w:sz w:val="22"/>
        </w:rPr>
        <w:t xml:space="preserve"> — University of Cambridge (Professional and Continuing Education), March 2025.</w:t>
      </w:r>
    </w:p>
    <w:p>
      <w:pPr>
        <w:pStyle w:val="ListBullet"/>
        <w:spacing w:after="60"/>
        <w:ind w:left="403"/>
      </w:pPr>
      <w:r>
        <w:rPr>
          <w:rFonts w:ascii="Inter" w:hAnsi="Inter" w:cs="Inter"/>
          <w:b w:val="0"/>
          <w:i/>
          <w:color w:val="1C1E2E"/>
          <w:sz w:val="22"/>
        </w:rPr>
        <w:t>AP Stylebook Workshop Certificate</w:t>
      </w:r>
      <w:r>
        <w:rPr>
          <w:rFonts w:ascii="Inter" w:hAnsi="Inter" w:cs="Inter"/>
          <w:b w:val="0"/>
          <w:i w:val="0"/>
          <w:color w:val="1C1E2E"/>
          <w:sz w:val="22"/>
        </w:rPr>
        <w:t xml:space="preserve"> — The Associated Press, May 2024 (valid to December 2034).</w:t>
      </w:r>
    </w:p>
    <w:p>
      <w:pPr>
        <w:pStyle w:val="ListBullet"/>
        <w:spacing w:after="60"/>
        <w:ind w:left="403"/>
      </w:pPr>
      <w:r>
        <w:rPr>
          <w:rFonts w:ascii="Inter" w:hAnsi="Inter" w:cs="Inter"/>
          <w:b w:val="0"/>
          <w:i/>
          <w:color w:val="1C1E2E"/>
          <w:sz w:val="22"/>
        </w:rPr>
        <w:t>Digital Content Creation, Mobile Learning and Gamification</w:t>
      </w:r>
      <w:r>
        <w:rPr>
          <w:rFonts w:ascii="Inter" w:hAnsi="Inter" w:cs="Inter"/>
          <w:b w:val="0"/>
          <w:i w:val="0"/>
          <w:color w:val="1C1E2E"/>
          <w:sz w:val="22"/>
        </w:rPr>
        <w:t xml:space="preserve"> — SEPE, 2024.</w:t>
      </w:r>
    </w:p>
    <w:p>
      <w:pPr>
        <w:pBdr>
          <w:left w:val="single" w:sz="18" w:space="8" w:color="9A5B00"/>
        </w:pBdr>
        <w:spacing w:before="120" w:after="200"/>
        <w:ind w:left="317"/>
      </w:pPr>
      <w:r>
        <w:rPr>
          <w:rFonts w:ascii="Inter" w:hAnsi="Inter" w:cs="Inter"/>
          <w:b/>
          <w:i w:val="0"/>
          <w:color w:val="5B5F77"/>
          <w:sz w:val="21"/>
        </w:rPr>
        <w:t>Strategic note.</w:t>
      </w:r>
      <w:r>
        <w:rPr>
          <w:rFonts w:ascii="Inter" w:hAnsi="Inter" w:cs="Inter"/>
          <w:b w:val="0"/>
          <w:i w:val="0"/>
          <w:color w:val="5B5F77"/>
          <w:sz w:val="21"/>
        </w:rPr>
        <w:t xml:space="preserve"> This is the only one of the six merits currently at zero. Leaving it honestly at zero is the right call: the committee values a coherent file, and the other five items are covered. Passing off specialist short courses as an official master's degree is not worth the risk.</w:t>
      </w:r>
    </w:p>
    <w:p>
      <w:pPr>
        <w:pBdr>
          <w:bottom w:val="single" w:sz="6" w:space="1" w:color="E6E8F2"/>
        </w:pBdr>
      </w:pPr>
    </w:p>
    <w:p>
      <w:pPr>
        <w:spacing w:before="320" w:after="120"/>
      </w:pPr>
      <w:r>
        <w:rPr>
          <w:rFonts w:ascii="Fraunces" w:hAnsi="Fraunces" w:cs="Fraunces"/>
          <w:b/>
          <w:i w:val="0"/>
          <w:color w:val="22307C"/>
          <w:sz w:val="32"/>
        </w:rPr>
        <w:t xml:space="preserve">B.4 · Knowledge of languages other than those of the previous degrees — </w:t>
      </w:r>
      <w:r>
        <w:rPr>
          <w:rFonts w:ascii="Fraunces" w:hAnsi="Fraunces" w:cs="Fraunces"/>
          <w:b/>
          <w:i w:val="0"/>
          <w:color w:val="22307C"/>
          <w:sz w:val="32"/>
        </w:rPr>
        <w:t>5 %</w:t>
      </w:r>
      <w:r>
        <w:rPr>
          <w:rFonts w:ascii="Fraunces" w:hAnsi="Fraunces" w:cs="Fraunces"/>
          <w:b/>
          <w:i w:val="0"/>
          <w:color w:val="22307C"/>
          <w:sz w:val="32"/>
        </w:rPr>
        <w:t xml:space="preserve"> ✅ EVIDENCED</w:t>
      </w:r>
    </w:p>
    <w:p>
      <w:r>
        <w:rPr>
          <w:rFonts w:ascii="Inter" w:hAnsi="Inter" w:cs="Inter"/>
          <w:b/>
          <w:i w:val="0"/>
          <w:color w:val="1C1E2E"/>
          <w:sz w:val="22"/>
        </w:rPr>
        <w:t>Confirmed with the committee: English does count in this item.</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Credential</w:t>
            </w:r>
          </w:p>
        </w:tc>
        <w:tc>
          <w:tcPr>
            <w:tcW w:type="dxa" w:w="2412"/>
            <w:shd w:val="clear" w:color="auto" w:fill="EEF2FD"/>
          </w:tcPr>
          <w:p>
            <w:pPr>
              <w:spacing w:after="40"/>
            </w:pPr>
            <w:r/>
            <w:r>
              <w:rPr>
                <w:rFonts w:ascii="Inter" w:hAnsi="Inter" w:cs="Inter"/>
                <w:b/>
                <w:i w:val="0"/>
                <w:color w:val="22307C"/>
                <w:sz w:val="19"/>
              </w:rPr>
              <w:t>Awarding body</w:t>
            </w:r>
          </w:p>
        </w:tc>
        <w:tc>
          <w:tcPr>
            <w:tcW w:type="dxa" w:w="2412"/>
            <w:shd w:val="clear" w:color="auto" w:fill="EEF2FD"/>
          </w:tcPr>
          <w:p>
            <w:pPr>
              <w:spacing w:after="40"/>
            </w:pPr>
            <w:r/>
            <w:r>
              <w:rPr>
                <w:rFonts w:ascii="Inter" w:hAnsi="Inter" w:cs="Inter"/>
                <w:b/>
                <w:i w:val="0"/>
                <w:color w:val="22307C"/>
                <w:sz w:val="19"/>
              </w:rPr>
              <w:t>Level / status</w:t>
            </w:r>
          </w:p>
        </w:tc>
        <w:tc>
          <w:tcPr>
            <w:tcW w:type="dxa" w:w="2412"/>
            <w:shd w:val="clear" w:color="auto" w:fill="EEF2FD"/>
          </w:tcPr>
          <w:p>
            <w:pPr>
              <w:spacing w:after="40"/>
            </w:pPr>
            <w:r/>
            <w:r>
              <w:rPr>
                <w:rFonts w:ascii="Inter" w:hAnsi="Inter" w:cs="Inter"/>
                <w:b/>
                <w:i w:val="0"/>
                <w:color w:val="22307C"/>
                <w:sz w:val="19"/>
              </w:rPr>
              <w:t>Doc.</w:t>
            </w:r>
          </w:p>
        </w:tc>
      </w:tr>
      <w:tr>
        <w:tc>
          <w:tcPr>
            <w:tcW w:type="dxa" w:w="2412"/>
          </w:tcPr>
          <w:p>
            <w:pPr>
              <w:spacing w:after="40"/>
            </w:pPr>
            <w:r/>
            <w:r>
              <w:rPr>
                <w:rFonts w:ascii="Inter" w:hAnsi="Inter" w:cs="Inter"/>
                <w:b/>
                <w:i w:val="0"/>
                <w:color w:val="1C1E2E"/>
                <w:sz w:val="19"/>
              </w:rPr>
              <w:t>C1 Advanced (CAE)</w:t>
            </w:r>
          </w:p>
        </w:tc>
        <w:tc>
          <w:tcPr>
            <w:tcW w:type="dxa" w:w="2412"/>
          </w:tcPr>
          <w:p>
            <w:pPr>
              <w:spacing w:after="40"/>
            </w:pPr>
            <w:r/>
            <w:r>
              <w:rPr>
                <w:rFonts w:ascii="Inter" w:hAnsi="Inter" w:cs="Inter"/>
                <w:b w:val="0"/>
                <w:i w:val="0"/>
                <w:color w:val="1C1E2E"/>
                <w:sz w:val="19"/>
              </w:rPr>
              <w:t>Cambridge English Assessment</w:t>
            </w:r>
          </w:p>
        </w:tc>
        <w:tc>
          <w:tcPr>
            <w:tcW w:type="dxa" w:w="2412"/>
          </w:tcPr>
          <w:p>
            <w:pPr>
              <w:spacing w:after="40"/>
            </w:pPr>
            <w:r/>
            <w:r>
              <w:rPr>
                <w:rFonts w:ascii="Inter" w:hAnsi="Inter" w:cs="Inter"/>
                <w:b/>
                <w:i w:val="0"/>
                <w:color w:val="1C1E2E"/>
                <w:sz w:val="19"/>
              </w:rPr>
              <w:t>C1</w:t>
            </w:r>
            <w:r>
              <w:rPr>
                <w:rFonts w:ascii="Inter" w:hAnsi="Inter" w:cs="Inter"/>
                <w:b w:val="0"/>
                <w:i w:val="0"/>
                <w:color w:val="1C1E2E"/>
                <w:sz w:val="19"/>
              </w:rPr>
              <w:t xml:space="preserve"> — official proficiency certificate</w:t>
            </w:r>
          </w:p>
        </w:tc>
        <w:tc>
          <w:tcPr>
            <w:tcW w:type="dxa" w:w="2412"/>
          </w:tcPr>
          <w:p>
            <w:pPr>
              <w:spacing w:after="40"/>
            </w:pPr>
            <w:r/>
            <w:r>
              <w:rPr>
                <w:rFonts w:ascii="Inter" w:hAnsi="Inter" w:cs="Inter"/>
                <w:b/>
                <w:i w:val="0"/>
                <w:color w:val="1C1E2E"/>
                <w:sz w:val="19"/>
              </w:rPr>
              <w:t>[DOC-09]</w:t>
            </w:r>
          </w:p>
        </w:tc>
      </w:tr>
      <w:tr>
        <w:tc>
          <w:tcPr>
            <w:tcW w:type="dxa" w:w="2412"/>
          </w:tcPr>
          <w:p>
            <w:pPr>
              <w:spacing w:after="40"/>
            </w:pPr>
            <w:r/>
            <w:r>
              <w:rPr>
                <w:rFonts w:ascii="Inter" w:hAnsi="Inter" w:cs="Inter"/>
                <w:b/>
                <w:i w:val="0"/>
                <w:color w:val="1C1E2E"/>
                <w:sz w:val="19"/>
              </w:rPr>
              <w:t>CELTA</w:t>
            </w:r>
          </w:p>
        </w:tc>
        <w:tc>
          <w:tcPr>
            <w:tcW w:type="dxa" w:w="2412"/>
          </w:tcPr>
          <w:p>
            <w:pPr>
              <w:spacing w:after="40"/>
            </w:pPr>
            <w:r/>
            <w:r>
              <w:rPr>
                <w:rFonts w:ascii="Inter" w:hAnsi="Inter" w:cs="Inter"/>
                <w:b w:val="0"/>
                <w:i w:val="0"/>
                <w:color w:val="1C1E2E"/>
                <w:sz w:val="19"/>
              </w:rPr>
              <w:t>Cambridge English Assessment</w:t>
            </w:r>
          </w:p>
        </w:tc>
        <w:tc>
          <w:tcPr>
            <w:tcW w:type="dxa" w:w="2412"/>
          </w:tcPr>
          <w:p>
            <w:pPr>
              <w:spacing w:after="40"/>
            </w:pPr>
            <w:r/>
            <w:r>
              <w:rPr>
                <w:rFonts w:ascii="Inter" w:hAnsi="Inter" w:cs="Inter"/>
                <w:b w:val="0"/>
                <w:i w:val="0"/>
                <w:color w:val="1C1E2E"/>
                <w:sz w:val="19"/>
              </w:rPr>
              <w:t>International certificate qualifying the holder to teach English</w:t>
            </w:r>
          </w:p>
        </w:tc>
        <w:tc>
          <w:tcPr>
            <w:tcW w:type="dxa" w:w="2412"/>
          </w:tcPr>
          <w:p>
            <w:pPr>
              <w:spacing w:after="40"/>
            </w:pPr>
            <w:r/>
            <w:r>
              <w:rPr>
                <w:rFonts w:ascii="Inter" w:hAnsi="Inter" w:cs="Inter"/>
                <w:b/>
                <w:i w:val="0"/>
                <w:color w:val="1C1E2E"/>
                <w:sz w:val="19"/>
              </w:rPr>
              <w:t>[DOC-10]</w:t>
            </w:r>
          </w:p>
        </w:tc>
      </w:tr>
      <w:tr>
        <w:tc>
          <w:tcPr>
            <w:tcW w:type="dxa" w:w="2412"/>
          </w:tcPr>
          <w:p>
            <w:pPr>
              <w:spacing w:after="40"/>
            </w:pPr>
            <w:r/>
            <w:r>
              <w:rPr>
                <w:rFonts w:ascii="Inter" w:hAnsi="Inter" w:cs="Inter"/>
                <w:b/>
                <w:i w:val="0"/>
                <w:color w:val="1C1E2E"/>
                <w:sz w:val="19"/>
              </w:rPr>
              <w:t>Accredited DELE examiner</w:t>
            </w:r>
          </w:p>
        </w:tc>
        <w:tc>
          <w:tcPr>
            <w:tcW w:type="dxa" w:w="2412"/>
          </w:tcPr>
          <w:p>
            <w:pPr>
              <w:spacing w:after="40"/>
            </w:pPr>
            <w:r/>
            <w:r>
              <w:rPr>
                <w:rFonts w:ascii="Inter" w:hAnsi="Inter" w:cs="Inter"/>
                <w:b w:val="0"/>
                <w:i w:val="0"/>
                <w:color w:val="1C1E2E"/>
                <w:sz w:val="19"/>
              </w:rPr>
              <w:t>Instituto Cervantes</w:t>
            </w:r>
          </w:p>
        </w:tc>
        <w:tc>
          <w:tcPr>
            <w:tcW w:type="dxa" w:w="2412"/>
          </w:tcPr>
          <w:p>
            <w:pPr>
              <w:spacing w:after="40"/>
            </w:pPr>
            <w:r/>
            <w:r>
              <w:rPr>
                <w:rFonts w:ascii="Inter" w:hAnsi="Inter" w:cs="Inter"/>
                <w:b w:val="0"/>
                <w:i w:val="0"/>
                <w:color w:val="1C1E2E"/>
                <w:sz w:val="19"/>
              </w:rPr>
              <w:t>Current accreditation as an official Spanish examiner</w:t>
            </w:r>
          </w:p>
        </w:tc>
        <w:tc>
          <w:tcPr>
            <w:tcW w:type="dxa" w:w="2412"/>
          </w:tcPr>
          <w:p>
            <w:pPr>
              <w:spacing w:after="40"/>
            </w:pPr>
            <w:r/>
            <w:r>
              <w:rPr>
                <w:rFonts w:ascii="Inter" w:hAnsi="Inter" w:cs="Inter"/>
                <w:b/>
                <w:i w:val="0"/>
                <w:color w:val="1C1E2E"/>
                <w:sz w:val="19"/>
              </w:rPr>
              <w:t>[DOC-11]</w:t>
            </w:r>
          </w:p>
        </w:tc>
      </w:tr>
    </w:tbl>
    <w:p/>
    <w:p>
      <w:r>
        <w:rPr>
          <w:rFonts w:ascii="Inter" w:hAnsi="Inter" w:cs="Inter"/>
          <w:b/>
          <w:i w:val="0"/>
          <w:color w:val="1C1E2E"/>
          <w:sz w:val="22"/>
        </w:rPr>
        <w:t>How to present it.</w:t>
      </w:r>
      <w:r>
        <w:rPr>
          <w:rFonts w:ascii="Inter" w:hAnsi="Inter" w:cs="Inter"/>
          <w:b w:val="0"/>
          <w:i w:val="0"/>
          <w:color w:val="1C1E2E"/>
          <w:sz w:val="22"/>
        </w:rPr>
        <w:t xml:space="preserve"> These are not three certificates of the same kind, and the committee should see that: </w:t>
      </w:r>
      <w:r>
        <w:rPr>
          <w:rFonts w:ascii="Inter" w:hAnsi="Inter" w:cs="Inter"/>
          <w:b/>
          <w:i w:val="0"/>
          <w:color w:val="1C1E2E"/>
          <w:sz w:val="22"/>
        </w:rPr>
        <w:t>C1 Advanced</w:t>
      </w:r>
      <w:r>
        <w:rPr>
          <w:rFonts w:ascii="Inter" w:hAnsi="Inter" w:cs="Inter"/>
          <w:b w:val="0"/>
          <w:i w:val="0"/>
          <w:color w:val="1C1E2E"/>
          <w:sz w:val="22"/>
        </w:rPr>
        <w:t xml:space="preserve"> evidences </w:t>
      </w:r>
      <w:r>
        <w:rPr>
          <w:rFonts w:ascii="Inter" w:hAnsi="Inter" w:cs="Inter"/>
          <w:b/>
          <w:i w:val="0"/>
          <w:color w:val="1C1E2E"/>
          <w:sz w:val="22"/>
        </w:rPr>
        <w:t>command of the language</w:t>
      </w:r>
      <w:r>
        <w:rPr>
          <w:rFonts w:ascii="Inter" w:hAnsi="Inter" w:cs="Inter"/>
          <w:b w:val="0"/>
          <w:i w:val="0"/>
          <w:color w:val="1C1E2E"/>
          <w:sz w:val="22"/>
        </w:rPr>
        <w:t xml:space="preserve">; </w:t>
      </w:r>
      <w:r>
        <w:rPr>
          <w:rFonts w:ascii="Inter" w:hAnsi="Inter" w:cs="Inter"/>
          <w:b/>
          <w:i w:val="0"/>
          <w:color w:val="1C1E2E"/>
          <w:sz w:val="22"/>
        </w:rPr>
        <w:t>CELTA</w:t>
      </w:r>
      <w:r>
        <w:rPr>
          <w:rFonts w:ascii="Inter" w:hAnsi="Inter" w:cs="Inter"/>
          <w:b w:val="0"/>
          <w:i w:val="0"/>
          <w:color w:val="1C1E2E"/>
          <w:sz w:val="22"/>
        </w:rPr>
        <w:t xml:space="preserve"> evidences a </w:t>
      </w:r>
      <w:r>
        <w:rPr>
          <w:rFonts w:ascii="Inter" w:hAnsi="Inter" w:cs="Inter"/>
          <w:b/>
          <w:i w:val="0"/>
          <w:color w:val="1C1E2E"/>
          <w:sz w:val="22"/>
        </w:rPr>
        <w:t>teaching qualification</w:t>
      </w:r>
      <w:r>
        <w:rPr>
          <w:rFonts w:ascii="Inter" w:hAnsi="Inter" w:cs="Inter"/>
          <w:b w:val="0"/>
          <w:i w:val="0"/>
          <w:color w:val="1C1E2E"/>
          <w:sz w:val="22"/>
        </w:rPr>
        <w:t xml:space="preserve"> from a body outside the degree syllabus; and the </w:t>
      </w:r>
      <w:r>
        <w:rPr>
          <w:rFonts w:ascii="Inter" w:hAnsi="Inter" w:cs="Inter"/>
          <w:b/>
          <w:i w:val="0"/>
          <w:color w:val="1C1E2E"/>
          <w:sz w:val="22"/>
        </w:rPr>
        <w:t>DELE accreditation</w:t>
      </w:r>
      <w:r>
        <w:rPr>
          <w:rFonts w:ascii="Inter" w:hAnsi="Inter" w:cs="Inter"/>
          <w:b w:val="0"/>
          <w:i w:val="0"/>
          <w:color w:val="1C1E2E"/>
          <w:sz w:val="22"/>
        </w:rPr>
        <w:t xml:space="preserve"> evidences the </w:t>
      </w:r>
      <w:r>
        <w:rPr>
          <w:rFonts w:ascii="Inter" w:hAnsi="Inter" w:cs="Inter"/>
          <w:b/>
          <w:i w:val="0"/>
          <w:color w:val="1C1E2E"/>
          <w:sz w:val="22"/>
        </w:rPr>
        <w:t>capacity to assess others</w:t>
      </w:r>
      <w:r>
        <w:rPr>
          <w:rFonts w:ascii="Inter" w:hAnsi="Inter" w:cs="Inter"/>
          <w:b w:val="0"/>
          <w:i w:val="0"/>
          <w:color w:val="1C1E2E"/>
          <w:sz w:val="22"/>
        </w:rPr>
        <w:t xml:space="preserve"> against the CEFR. That third level — assessing — bears directly on a thesis whose object is CEFR-anchored assessment: it is not merely a languages merit, it is expert criterion for the validity study itself.</w:t>
      </w:r>
    </w:p>
    <w:p>
      <w:pPr>
        <w:pBdr>
          <w:left w:val="single" w:sz="18" w:space="8" w:color="9A5B00"/>
        </w:pBdr>
        <w:spacing w:before="120" w:after="200"/>
        <w:ind w:left="317"/>
      </w:pPr>
      <w:r>
        <w:rPr>
          <w:rFonts w:ascii="Inter" w:hAnsi="Inter" w:cs="Inter"/>
          <w:b/>
          <w:i w:val="0"/>
          <w:color w:val="5B5F77"/>
          <w:sz w:val="21"/>
        </w:rPr>
        <w:t>Future improvement.</w:t>
      </w:r>
      <w:r>
        <w:rPr>
          <w:rFonts w:ascii="Inter" w:hAnsi="Inter" w:cs="Inter"/>
          <w:b w:val="0"/>
          <w:i w:val="0"/>
          <w:color w:val="5B5F77"/>
          <w:sz w:val="21"/>
        </w:rPr>
        <w:t xml:space="preserve"> A certificate in a third language (Valencian A2–B1 through JQCV or CIEACOVA is the quickest and cheapest route in the Valencian context) would reinforce this item independently of any interpretation.</w:t>
      </w:r>
    </w:p>
    <w:p>
      <w:pPr>
        <w:pBdr>
          <w:bottom w:val="single" w:sz="6" w:space="1" w:color="E6E8F2"/>
        </w:pBdr>
      </w:pPr>
    </w:p>
    <w:p>
      <w:pPr>
        <w:spacing w:before="320" w:after="120"/>
      </w:pPr>
      <w:r>
        <w:rPr>
          <w:rFonts w:ascii="Fraunces" w:hAnsi="Fraunces" w:cs="Fraunces"/>
          <w:b/>
          <w:i w:val="0"/>
          <w:color w:val="22307C"/>
          <w:sz w:val="32"/>
        </w:rPr>
        <w:t xml:space="preserve">B.5 · Scholarships and grants obtained — </w:t>
      </w:r>
      <w:r>
        <w:rPr>
          <w:rFonts w:ascii="Fraunces" w:hAnsi="Fraunces" w:cs="Fraunces"/>
          <w:b/>
          <w:i w:val="0"/>
          <w:color w:val="22307C"/>
          <w:sz w:val="32"/>
        </w:rPr>
        <w:t>5 %</w:t>
      </w:r>
      <w:r>
        <w:rPr>
          <w:rFonts w:ascii="Fraunces" w:hAnsi="Fraunces" w:cs="Fraunces"/>
          <w:b/>
          <w:i w:val="0"/>
          <w:color w:val="22307C"/>
          <w:sz w:val="32"/>
        </w:rPr>
        <w:t xml:space="preserve"> ✅ EVIDENCED</w:t>
      </w:r>
    </w:p>
    <w:p>
      <w:r>
        <w:rPr>
          <w:rFonts w:ascii="Inter" w:hAnsi="Inter" w:cs="Inter"/>
          <w:b/>
          <w:i w:val="0"/>
          <w:color w:val="1C1E2E"/>
          <w:sz w:val="22"/>
        </w:rPr>
        <w:t>High Academic Performance Scholarship — Universidad de Los Andes, Núcleo Táchira.</w:t>
      </w:r>
      <w:r>
        <w:rPr>
          <w:rFonts w:ascii="Inter" w:hAnsi="Inter" w:cs="Inter"/>
          <w:b w:val="0"/>
          <w:i w:val="0"/>
          <w:color w:val="1C1E2E"/>
          <w:sz w:val="22"/>
        </w:rPr>
        <w:t xml:space="preserve"> A </w:t>
      </w:r>
      <w:r>
        <w:rPr>
          <w:rFonts w:ascii="Inter" w:hAnsi="Inter" w:cs="Inter"/>
          <w:b/>
          <w:i w:val="0"/>
          <w:color w:val="1C1E2E"/>
          <w:sz w:val="22"/>
        </w:rPr>
        <w:t>merit scholarship, not need-based aid</w:t>
      </w:r>
      <w:r>
        <w:rPr>
          <w:rFonts w:ascii="Inter" w:hAnsi="Inter" w:cs="Inter"/>
          <w:b w:val="0"/>
          <w:i w:val="0"/>
          <w:color w:val="1C1E2E"/>
          <w:sz w:val="22"/>
        </w:rPr>
        <w:t>: it is awarded on academic performance, and here it follows directly from the four "Luis María Ribas Dávila" Orders (§B.1).</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Certified fact</w:t>
            </w:r>
          </w:p>
        </w:tc>
        <w:tc>
          <w:tcPr>
            <w:tcW w:type="dxa" w:w="4824"/>
            <w:shd w:val="clear" w:color="auto" w:fill="EEF2FD"/>
          </w:tcPr>
          <w:p>
            <w:pPr>
              <w:spacing w:after="40"/>
            </w:pPr>
            <w:r/>
            <w:r>
              <w:rPr>
                <w:rFonts w:ascii="Inter" w:hAnsi="Inter" w:cs="Inter"/>
                <w:b/>
                <w:i w:val="0"/>
                <w:color w:val="22307C"/>
                <w:sz w:val="19"/>
              </w:rPr>
              <w:t>Value</w:t>
            </w:r>
          </w:p>
        </w:tc>
      </w:tr>
      <w:tr>
        <w:tc>
          <w:tcPr>
            <w:tcW w:type="dxa" w:w="4824"/>
          </w:tcPr>
          <w:p>
            <w:pPr>
              <w:spacing w:after="40"/>
            </w:pPr>
            <w:r/>
            <w:r>
              <w:rPr>
                <w:rFonts w:ascii="Inter" w:hAnsi="Inter" w:cs="Inter"/>
                <w:b w:val="0"/>
                <w:i w:val="0"/>
                <w:color w:val="1C1E2E"/>
                <w:sz w:val="19"/>
              </w:rPr>
              <w:t>Name</w:t>
            </w:r>
          </w:p>
        </w:tc>
        <w:tc>
          <w:tcPr>
            <w:tcW w:type="dxa" w:w="4824"/>
          </w:tcPr>
          <w:p>
            <w:pPr>
              <w:spacing w:after="40"/>
            </w:pPr>
            <w:r/>
            <w:r>
              <w:rPr>
                <w:rFonts w:ascii="Inter" w:hAnsi="Inter" w:cs="Inter"/>
                <w:b/>
                <w:i w:val="0"/>
                <w:color w:val="1C1E2E"/>
                <w:sz w:val="19"/>
              </w:rPr>
              <w:t>Beca de Alto Rendimiento</w:t>
            </w:r>
            <w:r>
              <w:rPr>
                <w:rFonts w:ascii="Inter" w:hAnsi="Inter" w:cs="Inter"/>
                <w:b w:val="0"/>
                <w:i w:val="0"/>
                <w:color w:val="1C1E2E"/>
                <w:sz w:val="19"/>
              </w:rPr>
              <w:t xml:space="preserve"> (High Academic Performance Scholarship)</w:t>
            </w:r>
          </w:p>
        </w:tc>
      </w:tr>
      <w:tr>
        <w:tc>
          <w:tcPr>
            <w:tcW w:type="dxa" w:w="4824"/>
          </w:tcPr>
          <w:p>
            <w:pPr>
              <w:spacing w:after="40"/>
            </w:pPr>
            <w:r/>
            <w:r>
              <w:rPr>
                <w:rFonts w:ascii="Inter" w:hAnsi="Inter" w:cs="Inter"/>
                <w:b w:val="0"/>
                <w:i w:val="0"/>
                <w:color w:val="1C1E2E"/>
                <w:sz w:val="19"/>
              </w:rPr>
              <w:t>Awarding body</w:t>
            </w:r>
          </w:p>
        </w:tc>
        <w:tc>
          <w:tcPr>
            <w:tcW w:type="dxa" w:w="4824"/>
          </w:tcPr>
          <w:p>
            <w:pPr>
              <w:spacing w:after="40"/>
            </w:pPr>
            <w:r/>
            <w:r>
              <w:rPr>
                <w:rFonts w:ascii="Inter" w:hAnsi="Inter" w:cs="Inter"/>
                <w:b w:val="0"/>
                <w:i w:val="0"/>
                <w:color w:val="1C1E2E"/>
                <w:sz w:val="19"/>
              </w:rPr>
              <w:t xml:space="preserve">Universidad de Los Andes – Táchira, </w:t>
            </w:r>
            <w:r>
              <w:rPr>
                <w:rFonts w:ascii="Inter" w:hAnsi="Inter" w:cs="Inter"/>
                <w:b/>
                <w:i w:val="0"/>
                <w:color w:val="1C1E2E"/>
                <w:sz w:val="19"/>
              </w:rPr>
              <w:t>Directorate of Student Affairs</w:t>
            </w:r>
            <w:r>
              <w:rPr>
                <w:rFonts w:ascii="Inter" w:hAnsi="Inter" w:cs="Inter"/>
                <w:b w:val="0"/>
                <w:i w:val="0"/>
                <w:color w:val="1C1E2E"/>
                <w:sz w:val="19"/>
              </w:rPr>
              <w:t>, Socio-Economic Student Assistance Office</w:t>
            </w:r>
          </w:p>
        </w:tc>
      </w:tr>
      <w:tr>
        <w:tc>
          <w:tcPr>
            <w:tcW w:type="dxa" w:w="4824"/>
          </w:tcPr>
          <w:p>
            <w:pPr>
              <w:spacing w:after="40"/>
            </w:pPr>
            <w:r/>
            <w:r>
              <w:rPr>
                <w:rFonts w:ascii="Inter" w:hAnsi="Inter" w:cs="Inter"/>
                <w:b w:val="0"/>
                <w:i w:val="0"/>
                <w:color w:val="1C1E2E"/>
                <w:sz w:val="19"/>
              </w:rPr>
              <w:t>Degree</w:t>
            </w:r>
          </w:p>
        </w:tc>
        <w:tc>
          <w:tcPr>
            <w:tcW w:type="dxa" w:w="4824"/>
          </w:tcPr>
          <w:p>
            <w:pPr>
              <w:spacing w:after="40"/>
            </w:pPr>
            <w:r/>
            <w:r>
              <w:rPr>
                <w:rFonts w:ascii="Inter" w:hAnsi="Inter" w:cs="Inter"/>
                <w:b w:val="0"/>
                <w:i w:val="0"/>
                <w:color w:val="1C1E2E"/>
                <w:sz w:val="19"/>
              </w:rPr>
              <w:t>Education, English major</w:t>
            </w:r>
          </w:p>
        </w:tc>
      </w:tr>
      <w:tr>
        <w:tc>
          <w:tcPr>
            <w:tcW w:type="dxa" w:w="4824"/>
          </w:tcPr>
          <w:p>
            <w:pPr>
              <w:spacing w:after="40"/>
            </w:pPr>
            <w:r/>
            <w:r>
              <w:rPr>
                <w:rFonts w:ascii="Inter" w:hAnsi="Inter" w:cs="Inter"/>
                <w:b w:val="0"/>
                <w:i w:val="0"/>
                <w:color w:val="1C1E2E"/>
                <w:sz w:val="19"/>
              </w:rPr>
              <w:t>Certified period</w:t>
            </w:r>
          </w:p>
        </w:tc>
        <w:tc>
          <w:tcPr>
            <w:tcW w:type="dxa" w:w="4824"/>
          </w:tcPr>
          <w:p>
            <w:pPr>
              <w:spacing w:after="40"/>
            </w:pPr>
            <w:r/>
            <w:r>
              <w:rPr>
                <w:rFonts w:ascii="Inter" w:hAnsi="Inter" w:cs="Inter"/>
                <w:b/>
                <w:i w:val="0"/>
                <w:color w:val="1C1E2E"/>
                <w:sz w:val="19"/>
              </w:rPr>
              <w:t>July – December 2003</w:t>
            </w:r>
            <w:r>
              <w:rPr>
                <w:rFonts w:ascii="Inter" w:hAnsi="Inter" w:cs="Inter"/>
                <w:b w:val="0"/>
                <w:i w:val="0"/>
                <w:color w:val="1C1E2E"/>
                <w:sz w:val="19"/>
              </w:rPr>
              <w:t xml:space="preserve">, and </w:t>
            </w:r>
            <w:r>
              <w:rPr>
                <w:rFonts w:ascii="Inter" w:hAnsi="Inter" w:cs="Inter"/>
                <w:b/>
                <w:i w:val="0"/>
                <w:color w:val="1C1E2E"/>
                <w:sz w:val="19"/>
              </w:rPr>
              <w:t>still current</w:t>
            </w:r>
            <w:r>
              <w:rPr>
                <w:rFonts w:ascii="Inter" w:hAnsi="Inter" w:cs="Inter"/>
                <w:b w:val="0"/>
                <w:i w:val="0"/>
                <w:color w:val="1C1E2E"/>
                <w:sz w:val="19"/>
              </w:rPr>
              <w:t xml:space="preserve"> at the date of issue</w:t>
            </w:r>
          </w:p>
        </w:tc>
      </w:tr>
      <w:tr>
        <w:tc>
          <w:tcPr>
            <w:tcW w:type="dxa" w:w="4824"/>
          </w:tcPr>
          <w:p>
            <w:pPr>
              <w:spacing w:after="40"/>
            </w:pPr>
            <w:r/>
            <w:r>
              <w:rPr>
                <w:rFonts w:ascii="Inter" w:hAnsi="Inter" w:cs="Inter"/>
                <w:b w:val="0"/>
                <w:i w:val="0"/>
                <w:color w:val="1C1E2E"/>
                <w:sz w:val="19"/>
              </w:rPr>
              <w:t>Document</w:t>
            </w:r>
          </w:p>
        </w:tc>
        <w:tc>
          <w:tcPr>
            <w:tcW w:type="dxa" w:w="4824"/>
          </w:tcPr>
          <w:p>
            <w:pPr>
              <w:spacing w:after="40"/>
            </w:pPr>
            <w:r/>
            <w:r>
              <w:rPr>
                <w:rFonts w:ascii="Inter" w:hAnsi="Inter" w:cs="Inter"/>
                <w:b/>
                <w:i w:val="0"/>
                <w:color w:val="1C1E2E"/>
                <w:sz w:val="19"/>
              </w:rPr>
              <w:t>Certificate</w:t>
            </w:r>
            <w:r>
              <w:rPr>
                <w:rFonts w:ascii="Inter" w:hAnsi="Inter" w:cs="Inter"/>
                <w:b w:val="0"/>
                <w:i w:val="0"/>
                <w:color w:val="1C1E2E"/>
                <w:sz w:val="19"/>
              </w:rPr>
              <w:t xml:space="preserve"> signed by the ULA-Táchira Social Worker, San Cristóbal, </w:t>
            </w:r>
            <w:r>
              <w:rPr>
                <w:rFonts w:ascii="Inter" w:hAnsi="Inter" w:cs="Inter"/>
                <w:b/>
                <w:i w:val="0"/>
                <w:color w:val="1C1E2E"/>
                <w:sz w:val="19"/>
              </w:rPr>
              <w:t>13 May 2004</w:t>
            </w:r>
            <w:r>
              <w:rPr>
                <w:rFonts w:ascii="Inter" w:hAnsi="Inter" w:cs="Inter"/>
                <w:b w:val="0"/>
                <w:i w:val="0"/>
                <w:color w:val="1C1E2E"/>
                <w:sz w:val="19"/>
              </w:rPr>
              <w:t xml:space="preserve"> </w:t>
            </w:r>
            <w:r>
              <w:rPr>
                <w:rFonts w:ascii="Inter" w:hAnsi="Inter" w:cs="Inter"/>
                <w:b/>
                <w:i w:val="0"/>
                <w:color w:val="1C1E2E"/>
                <w:sz w:val="19"/>
              </w:rPr>
              <w:t>[DOC-12]</w:t>
            </w:r>
          </w:p>
        </w:tc>
      </w:tr>
    </w:tbl>
    <w:p/>
    <w:p>
      <w:r>
        <w:rPr>
          <w:rFonts w:ascii="Inter" w:hAnsi="Inter" w:cs="Inter"/>
          <w:b/>
          <w:i w:val="0"/>
          <w:color w:val="1C1E2E"/>
          <w:sz w:val="22"/>
        </w:rPr>
        <w:t>General scholarship, Spanish Ministry of Education, Vocational Training and Sport — academic year 2025/2026.</w:t>
      </w:r>
    </w:p>
    <w:p>
      <w:r>
        <w:rPr>
          <w:rFonts w:ascii="Inter" w:hAnsi="Inter" w:cs="Inter"/>
          <w:b w:val="0"/>
          <w:i w:val="0"/>
          <w:color w:val="1C1E2E"/>
          <w:sz w:val="22"/>
        </w:rPr>
        <w:t xml:space="preserve">Awarded for the </w:t>
      </w:r>
      <w:r>
        <w:rPr>
          <w:rFonts w:ascii="Inter" w:hAnsi="Inter" w:cs="Inter"/>
          <w:b/>
          <w:i w:val="0"/>
          <w:color w:val="1C1E2E"/>
          <w:sz w:val="22"/>
        </w:rPr>
        <w:t>Master's Degree in Languages and Technology (UPV, Department of Applied Linguistics)</w:t>
      </w:r>
      <w:r>
        <w:rPr>
          <w:rFonts w:ascii="Inter" w:hAnsi="Inter" w:cs="Inter"/>
          <w:b w:val="0"/>
          <w:i w:val="0"/>
          <w:color w:val="1C1E2E"/>
          <w:sz w:val="22"/>
        </w:rPr>
        <w:t xml:space="preserve"> under the general scholarship call, </w:t>
      </w:r>
      <w:r>
        <w:rPr>
          <w:rFonts w:ascii="Inter" w:hAnsi="Inter" w:cs="Inter"/>
          <w:b/>
          <w:i w:val="0"/>
          <w:color w:val="1C1E2E"/>
          <w:sz w:val="22"/>
        </w:rPr>
        <w:t>Order EFD/335/25 of 3 April</w:t>
      </w:r>
      <w:r>
        <w:rPr>
          <w:rFonts w:ascii="Inter" w:hAnsi="Inter" w:cs="Inter"/>
          <w:b w:val="0"/>
          <w:i w:val="0"/>
          <w:color w:val="1C1E2E"/>
          <w:sz w:val="22"/>
        </w:rPr>
        <w:t xml:space="preserve"> (BOE, 7 April). Processing unit: Universitat Politècnica de València. Variable-amount award resolution </w:t>
      </w:r>
      <w:r>
        <w:rPr>
          <w:rFonts w:ascii="Inter" w:hAnsi="Inter" w:cs="Inter"/>
          <w:b/>
          <w:i w:val="0"/>
          <w:color w:val="1C1E2E"/>
          <w:sz w:val="22"/>
        </w:rPr>
        <w:t>[DOC-13]</w:t>
      </w:r>
      <w:r>
        <w:rPr>
          <w:rFonts w:ascii="Inter" w:hAnsi="Inter" w:cs="Inter"/>
          <w:b w:val="0"/>
          <w:i w:val="0"/>
          <w:color w:val="1C1E2E"/>
          <w:sz w:val="22"/>
        </w:rPr>
        <w:t>.</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Component awarded</w:t>
            </w:r>
          </w:p>
        </w:tc>
        <w:tc>
          <w:tcPr>
            <w:tcW w:type="dxa" w:w="4824"/>
            <w:shd w:val="clear" w:color="auto" w:fill="EEF2FD"/>
          </w:tcPr>
          <w:p>
            <w:pPr>
              <w:spacing w:after="40"/>
            </w:pPr>
            <w:r/>
            <w:r>
              <w:rPr>
                <w:rFonts w:ascii="Inter" w:hAnsi="Inter" w:cs="Inter"/>
                <w:b/>
                <w:i w:val="0"/>
                <w:color w:val="22307C"/>
                <w:sz w:val="19"/>
              </w:rPr>
              <w:t>Amount</w:t>
            </w:r>
          </w:p>
        </w:tc>
      </w:tr>
      <w:tr>
        <w:tc>
          <w:tcPr>
            <w:tcW w:type="dxa" w:w="4824"/>
          </w:tcPr>
          <w:p>
            <w:pPr>
              <w:spacing w:after="40"/>
            </w:pPr>
            <w:r/>
            <w:r>
              <w:rPr>
                <w:rFonts w:ascii="Inter" w:hAnsi="Inter" w:cs="Inter"/>
                <w:b w:val="0"/>
                <w:i w:val="0"/>
                <w:color w:val="1C1E2E"/>
                <w:sz w:val="19"/>
              </w:rPr>
              <w:t>Fixed income-linked amount</w:t>
            </w:r>
          </w:p>
        </w:tc>
        <w:tc>
          <w:tcPr>
            <w:tcW w:type="dxa" w:w="4824"/>
          </w:tcPr>
          <w:p>
            <w:pPr>
              <w:spacing w:after="40"/>
            </w:pPr>
            <w:r/>
            <w:r>
              <w:rPr>
                <w:rFonts w:ascii="Inter" w:hAnsi="Inter" w:cs="Inter"/>
                <w:b w:val="0"/>
                <w:i w:val="0"/>
                <w:color w:val="1C1E2E"/>
                <w:sz w:val="19"/>
              </w:rPr>
              <w:t>€1,700.00</w:t>
            </w:r>
          </w:p>
        </w:tc>
      </w:tr>
      <w:tr>
        <w:tc>
          <w:tcPr>
            <w:tcW w:type="dxa" w:w="4824"/>
          </w:tcPr>
          <w:p>
            <w:pPr>
              <w:spacing w:after="40"/>
            </w:pPr>
            <w:r/>
            <w:r>
              <w:rPr>
                <w:rFonts w:ascii="Inter" w:hAnsi="Inter" w:cs="Inter"/>
                <w:b/>
                <w:i w:val="0"/>
                <w:color w:val="1C1E2E"/>
                <w:sz w:val="19"/>
              </w:rPr>
              <w:t>Academic excellence — grade-average band 9 to 9.49</w:t>
            </w:r>
          </w:p>
        </w:tc>
        <w:tc>
          <w:tcPr>
            <w:tcW w:type="dxa" w:w="4824"/>
          </w:tcPr>
          <w:p>
            <w:pPr>
              <w:spacing w:after="40"/>
            </w:pPr>
            <w:r/>
            <w:r>
              <w:rPr>
                <w:rFonts w:ascii="Inter" w:hAnsi="Inter" w:cs="Inter"/>
                <w:b/>
                <w:i w:val="0"/>
                <w:color w:val="1C1E2E"/>
                <w:sz w:val="19"/>
              </w:rPr>
              <w:t>€100.00</w:t>
            </w:r>
          </w:p>
        </w:tc>
      </w:tr>
      <w:tr>
        <w:tc>
          <w:tcPr>
            <w:tcW w:type="dxa" w:w="4824"/>
          </w:tcPr>
          <w:p>
            <w:pPr>
              <w:spacing w:after="40"/>
            </w:pPr>
            <w:r/>
            <w:r>
              <w:rPr>
                <w:rFonts w:ascii="Inter" w:hAnsi="Inter" w:cs="Inter"/>
                <w:b w:val="0"/>
                <w:i w:val="0"/>
                <w:color w:val="1C1E2E"/>
                <w:sz w:val="19"/>
              </w:rPr>
              <w:t>Variable amount</w:t>
            </w:r>
          </w:p>
        </w:tc>
        <w:tc>
          <w:tcPr>
            <w:tcW w:type="dxa" w:w="4824"/>
          </w:tcPr>
          <w:p>
            <w:pPr>
              <w:spacing w:after="40"/>
            </w:pPr>
            <w:r/>
            <w:r>
              <w:rPr>
                <w:rFonts w:ascii="Inter" w:hAnsi="Inter" w:cs="Inter"/>
                <w:b w:val="0"/>
                <w:i w:val="0"/>
                <w:color w:val="1C1E2E"/>
                <w:sz w:val="19"/>
              </w:rPr>
              <w:t>€2,131.72</w:t>
            </w:r>
          </w:p>
        </w:tc>
      </w:tr>
      <w:tr>
        <w:tc>
          <w:tcPr>
            <w:tcW w:type="dxa" w:w="4824"/>
          </w:tcPr>
          <w:p>
            <w:pPr>
              <w:spacing w:after="40"/>
            </w:pPr>
            <w:r/>
            <w:r>
              <w:rPr>
                <w:rFonts w:ascii="Inter" w:hAnsi="Inter" w:cs="Inter"/>
                <w:b/>
                <w:i w:val="0"/>
                <w:color w:val="1C1E2E"/>
                <w:sz w:val="19"/>
              </w:rPr>
              <w:t>Tuition scholarship</w:t>
            </w:r>
          </w:p>
        </w:tc>
        <w:tc>
          <w:tcPr>
            <w:tcW w:type="dxa" w:w="4824"/>
          </w:tcPr>
          <w:p>
            <w:pPr>
              <w:spacing w:after="40"/>
            </w:pPr>
            <w:r/>
            <w:r>
              <w:rPr>
                <w:rFonts w:ascii="Inter" w:hAnsi="Inter" w:cs="Inter"/>
                <w:b w:val="0"/>
                <w:i w:val="0"/>
                <w:color w:val="1C1E2E"/>
                <w:sz w:val="19"/>
              </w:rPr>
              <w:t>Settled directly with the university</w:t>
            </w:r>
          </w:p>
        </w:tc>
      </w:tr>
    </w:tbl>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The detail to point out to the committee.</w:t>
      </w:r>
      <w:r>
        <w:rPr>
          <w:rFonts w:ascii="Inter" w:hAnsi="Inter" w:cs="Inter"/>
          <w:b w:val="0"/>
          <w:i w:val="0"/>
          <w:color w:val="5B5F77"/>
          <w:sz w:val="21"/>
        </w:rPr>
        <w:t xml:space="preserve"> The resolution includes a specific </w:t>
      </w:r>
      <w:r>
        <w:rPr>
          <w:rFonts w:ascii="Inter" w:hAnsi="Inter" w:cs="Inter"/>
          <w:b/>
          <w:i w:val="0"/>
          <w:color w:val="5B5F77"/>
          <w:sz w:val="21"/>
        </w:rPr>
        <w:t>"Academic Excellence" component for the grade-average band 9 to 9.49</w:t>
      </w:r>
      <w:r>
        <w:rPr>
          <w:rFonts w:ascii="Inter" w:hAnsi="Inter" w:cs="Inter"/>
          <w:b w:val="0"/>
          <w:i w:val="0"/>
          <w:color w:val="5B5F77"/>
          <w:sz w:val="21"/>
        </w:rPr>
        <w:t xml:space="preserve">. In other words, </w:t>
      </w:r>
      <w:r>
        <w:rPr>
          <w:rFonts w:ascii="Inter" w:hAnsi="Inter" w:cs="Inter"/>
          <w:b/>
          <w:i w:val="0"/>
          <w:color w:val="5B5F77"/>
          <w:sz w:val="21"/>
        </w:rPr>
        <w:t>the Ministry itself certifies, in an independent administrative act, that the master's record falls in that band.</w:t>
      </w:r>
      <w:r>
        <w:rPr>
          <w:rFonts w:ascii="Inter" w:hAnsi="Inter" w:cs="Inter"/>
          <w:b w:val="0"/>
          <w:i w:val="0"/>
          <w:color w:val="5B5F77"/>
          <w:sz w:val="21"/>
        </w:rPr>
        <w:t xml:space="preserve"> It confirms the 9.4/10 from a source other than the UPV transcript. Cite it explicitly as a "general Ministry scholarship with an academic excellence component", not as a generic grant.</w:t>
      </w:r>
    </w:p>
    <w:p>
      <w:r>
        <w:rPr>
          <w:rFonts w:ascii="Inter" w:hAnsi="Inter" w:cs="Inter"/>
          <w:b/>
          <w:i w:val="0"/>
          <w:color w:val="1C1E2E"/>
          <w:sz w:val="22"/>
        </w:rPr>
        <w:t>Why this item is worth more than its 5%.</w:t>
      </w:r>
      <w:r>
        <w:rPr>
          <w:rFonts w:ascii="Inter" w:hAnsi="Inter" w:cs="Inter"/>
          <w:b w:val="0"/>
          <w:i w:val="0"/>
          <w:color w:val="1C1E2E"/>
          <w:sz w:val="22"/>
        </w:rPr>
        <w:t xml:space="preserve"> Both scholarships evidence performance, one at each end of the trajectory, and </w:t>
      </w:r>
      <w:r>
        <w:rPr>
          <w:rFonts w:ascii="Inter" w:hAnsi="Inter" w:cs="Inter"/>
          <w:b/>
          <w:i w:val="0"/>
          <w:color w:val="1C1E2E"/>
          <w:sz w:val="22"/>
        </w:rPr>
        <w:t>each from an administration other than the one issuing the grades</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The ULA </w:t>
      </w:r>
      <w:r>
        <w:rPr>
          <w:rFonts w:ascii="Inter" w:hAnsi="Inter" w:cs="Inter"/>
          <w:b/>
          <w:i w:val="0"/>
          <w:color w:val="1C1E2E"/>
          <w:sz w:val="22"/>
        </w:rPr>
        <w:t>High Academic Performance Scholarship</w:t>
      </w:r>
      <w:r>
        <w:rPr>
          <w:rFonts w:ascii="Inter" w:hAnsi="Inter" w:cs="Inter"/>
          <w:b w:val="0"/>
          <w:i w:val="0"/>
          <w:color w:val="1C1E2E"/>
          <w:sz w:val="22"/>
        </w:rPr>
        <w:t xml:space="preserve"> (2003–04) certifies undergraduate performance, from the Directorate of Student Affairs.</w:t>
      </w:r>
    </w:p>
    <w:p>
      <w:pPr>
        <w:pStyle w:val="ListBullet"/>
        <w:spacing w:after="60"/>
        <w:ind w:left="403"/>
      </w:pPr>
      <w:r>
        <w:rPr>
          <w:rFonts w:ascii="Inter" w:hAnsi="Inter" w:cs="Inter"/>
          <w:b w:val="0"/>
          <w:i w:val="0"/>
          <w:color w:val="1C1E2E"/>
          <w:sz w:val="22"/>
        </w:rPr>
        <w:t xml:space="preserve">The </w:t>
      </w:r>
      <w:r>
        <w:rPr>
          <w:rFonts w:ascii="Inter" w:hAnsi="Inter" w:cs="Inter"/>
          <w:b/>
          <w:i w:val="0"/>
          <w:color w:val="1C1E2E"/>
          <w:sz w:val="22"/>
        </w:rPr>
        <w:t>Ministry scholarship</w:t>
      </w:r>
      <w:r>
        <w:rPr>
          <w:rFonts w:ascii="Inter" w:hAnsi="Inter" w:cs="Inter"/>
          <w:b w:val="0"/>
          <w:i w:val="0"/>
          <w:color w:val="1C1E2E"/>
          <w:sz w:val="22"/>
        </w:rPr>
        <w:t xml:space="preserve"> (2025/26), through its academic excellence component, certifies that the master's average falls in the </w:t>
      </w:r>
      <w:r>
        <w:rPr>
          <w:rFonts w:ascii="Inter" w:hAnsi="Inter" w:cs="Inter"/>
          <w:b/>
          <w:i w:val="0"/>
          <w:color w:val="1C1E2E"/>
          <w:sz w:val="22"/>
        </w:rPr>
        <w:t>9–9.49</w:t>
      </w:r>
      <w:r>
        <w:rPr>
          <w:rFonts w:ascii="Inter" w:hAnsi="Inter" w:cs="Inter"/>
          <w:b w:val="0"/>
          <w:i w:val="0"/>
          <w:color w:val="1C1E2E"/>
          <w:sz w:val="22"/>
        </w:rPr>
        <w:t xml:space="preserve"> band.</w:t>
      </w:r>
    </w:p>
    <w:p>
      <w:r>
        <w:rPr>
          <w:rFonts w:ascii="Inter" w:hAnsi="Inter" w:cs="Inter"/>
          <w:b w:val="0"/>
          <w:i w:val="0"/>
          <w:color w:val="1C1E2E"/>
          <w:sz w:val="22"/>
        </w:rPr>
        <w:t xml:space="preserve">So the 70% academic record — 9.07 in the undergraduate degree and 9.4 in the master's — is corroborated </w:t>
      </w:r>
      <w:r>
        <w:rPr>
          <w:rFonts w:ascii="Inter" w:hAnsi="Inter" w:cs="Inter"/>
          <w:b/>
          <w:i w:val="0"/>
          <w:color w:val="1C1E2E"/>
          <w:sz w:val="22"/>
        </w:rPr>
        <w:t>twice</w:t>
      </w:r>
      <w:r>
        <w:rPr>
          <w:rFonts w:ascii="Inter" w:hAnsi="Inter" w:cs="Inter"/>
          <w:b w:val="0"/>
          <w:i w:val="0"/>
          <w:color w:val="1C1E2E"/>
          <w:sz w:val="22"/>
        </w:rPr>
        <w:t>, by two administrations, twenty years apart. Say so explicitly in the application.</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Before scanning the Ministry resolution:</w:t>
      </w:r>
      <w:r>
        <w:rPr>
          <w:rFonts w:ascii="Inter" w:hAnsi="Inter" w:cs="Inter"/>
          <w:b w:val="0"/>
          <w:i w:val="0"/>
          <w:color w:val="5B5F77"/>
          <w:sz w:val="21"/>
        </w:rPr>
        <w:t xml:space="preserve"> the document carries your </w:t>
      </w:r>
      <w:r>
        <w:rPr>
          <w:rFonts w:ascii="Inter" w:hAnsi="Inter" w:cs="Inter"/>
          <w:b/>
          <w:i w:val="0"/>
          <w:color w:val="5B5F77"/>
          <w:sz w:val="21"/>
        </w:rPr>
        <w:t>national ID number, home address and full bank account number</w:t>
      </w:r>
      <w:r>
        <w:rPr>
          <w:rFonts w:ascii="Inter" w:hAnsi="Inter" w:cs="Inter"/>
          <w:b w:val="0"/>
          <w:i w:val="0"/>
          <w:color w:val="5B5F77"/>
          <w:sz w:val="21"/>
        </w:rPr>
        <w:t xml:space="preserve">. </w:t>
      </w:r>
      <w:r>
        <w:rPr>
          <w:rFonts w:ascii="Inter" w:hAnsi="Inter" w:cs="Inter"/>
          <w:b/>
          <w:i w:val="0"/>
          <w:color w:val="5B5F77"/>
          <w:sz w:val="21"/>
        </w:rPr>
        <w:t>Redact the account number</w:t>
      </w:r>
      <w:r>
        <w:rPr>
          <w:rFonts w:ascii="Inter" w:hAnsi="Inter" w:cs="Inter"/>
          <w:b w:val="0"/>
          <w:i w:val="0"/>
          <w:color w:val="5B5F77"/>
          <w:sz w:val="21"/>
        </w:rPr>
        <w:t xml:space="preserve"> before attaching it — the committee does not need it and it should not circulate in a file that passes through several hands.</w:t>
      </w:r>
    </w:p>
    <w:p>
      <w:pPr>
        <w:pBdr>
          <w:bottom w:val="single" w:sz="6" w:space="1" w:color="E6E8F2"/>
        </w:pBdr>
      </w:pPr>
    </w:p>
    <w:p>
      <w:pPr>
        <w:spacing w:before="320" w:after="120"/>
      </w:pPr>
      <w:r>
        <w:rPr>
          <w:rFonts w:ascii="Fraunces" w:hAnsi="Fraunces" w:cs="Fraunces"/>
          <w:b/>
          <w:i w:val="0"/>
          <w:color w:val="22307C"/>
          <w:sz w:val="32"/>
        </w:rPr>
        <w:t xml:space="preserve">B.6 · Professional experience in the field of the doctorate — </w:t>
      </w:r>
      <w:r>
        <w:rPr>
          <w:rFonts w:ascii="Fraunces" w:hAnsi="Fraunces" w:cs="Fraunces"/>
          <w:b/>
          <w:i w:val="0"/>
          <w:color w:val="22307C"/>
          <w:sz w:val="32"/>
        </w:rPr>
        <w:t>5 %</w:t>
      </w:r>
      <w:r>
        <w:rPr>
          <w:rFonts w:ascii="Fraunces" w:hAnsi="Fraunces" w:cs="Fraunces"/>
          <w:b/>
          <w:i w:val="0"/>
          <w:color w:val="22307C"/>
          <w:sz w:val="32"/>
        </w:rPr>
        <w:t xml:space="preserve"> ✅ EVIDENCED — STRONGEST MERIT</w:t>
      </w:r>
    </w:p>
    <w:p>
      <w:r>
        <w:rPr>
          <w:rFonts w:ascii="Inter" w:hAnsi="Inter" w:cs="Inter"/>
          <w:b/>
          <w:i w:val="0"/>
          <w:color w:val="1C1E2E"/>
          <w:sz w:val="22"/>
        </w:rPr>
        <w:t>More than 20 years of continuous experience in the exact field of the thesis, including 1,568 accredited university teaching hours:</w:t>
      </w:r>
      <w:r>
        <w:rPr>
          <w:rFonts w:ascii="Inter" w:hAnsi="Inter" w:cs="Inter"/>
          <w:b w:val="0"/>
          <w:i w:val="0"/>
          <w:color w:val="1C1E2E"/>
          <w:sz w:val="22"/>
        </w:rPr>
        <w:t xml:space="preserve"> CEFR-aligned language teaching, curriculum and instructional design, and educational technology for language learning.</w:t>
      </w:r>
    </w:p>
    <w:p>
      <w:pPr>
        <w:spacing w:before="240" w:after="120"/>
      </w:pPr>
      <w:r>
        <w:rPr>
          <w:rFonts w:ascii="Inter" w:hAnsi="Inter" w:cs="Inter"/>
          <w:b/>
          <w:i w:val="0"/>
          <w:color w:val="1C1E2E"/>
          <w:sz w:val="26"/>
        </w:rPr>
        <w:t>B.6.1 · University teaching and research</w:t>
      </w:r>
    </w:p>
    <w:p>
      <w:r>
        <w:rPr>
          <w:rFonts w:ascii="Inter" w:hAnsi="Inter" w:cs="Inter"/>
          <w:b/>
          <w:i w:val="0"/>
          <w:color w:val="1C1E2E"/>
          <w:sz w:val="22"/>
        </w:rPr>
        <w:t>Scientific English Lecturer &amp; Scientific Content Writer</w:t>
      </w:r>
      <w:r>
        <w:rPr>
          <w:rFonts w:ascii="Inter" w:hAnsi="Inter" w:cs="Inter"/>
          <w:b w:val="0"/>
          <w:i w:val="0"/>
          <w:color w:val="1C1E2E"/>
          <w:sz w:val="22"/>
        </w:rPr>
        <w:t xml:space="preserve"> — Universidad de Oriente (UDO), Núcleo Nueva Esparta, Venezuela · </w:t>
      </w:r>
      <w:r>
        <w:rPr>
          <w:rFonts w:ascii="Inter" w:hAnsi="Inter" w:cs="Inter"/>
          <w:b/>
          <w:i w:val="0"/>
          <w:color w:val="1C1E2E"/>
          <w:sz w:val="22"/>
        </w:rPr>
        <w:t>2005 – 2015</w:t>
      </w:r>
    </w:p>
    <w:p>
      <w:pPr>
        <w:pStyle w:val="ListBullet"/>
        <w:spacing w:after="60"/>
        <w:ind w:left="403"/>
      </w:pPr>
      <w:r>
        <w:rPr>
          <w:rFonts w:ascii="Inter" w:hAnsi="Inter" w:cs="Inter"/>
          <w:b/>
          <w:i w:val="0"/>
          <w:color w:val="1C1E2E"/>
          <w:sz w:val="22"/>
        </w:rPr>
        <w:t>1,568 accredited university teaching hours</w:t>
      </w:r>
      <w:r>
        <w:rPr>
          <w:rFonts w:ascii="Inter" w:hAnsi="Inter" w:cs="Inter"/>
          <w:b w:val="0"/>
          <w:i w:val="0"/>
          <w:color w:val="1C1E2E"/>
          <w:sz w:val="22"/>
        </w:rPr>
        <w:t xml:space="preserve"> (service certificate, </w:t>
      </w:r>
      <w:r>
        <w:rPr>
          <w:rFonts w:ascii="Inter" w:hAnsi="Inter" w:cs="Inter"/>
          <w:b/>
          <w:i w:val="0"/>
          <w:color w:val="1C1E2E"/>
          <w:sz w:val="22"/>
        </w:rPr>
        <w:t>[DOC-16]</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Taught scientific English within science degree programmes.</w:t>
      </w:r>
    </w:p>
    <w:p>
      <w:pPr>
        <w:pStyle w:val="ListBullet"/>
        <w:spacing w:after="60"/>
        <w:ind w:left="403"/>
      </w:pPr>
      <w:r>
        <w:rPr>
          <w:rFonts w:ascii="Inter" w:hAnsi="Inter" w:cs="Inter"/>
          <w:b w:val="0"/>
          <w:i w:val="0"/>
          <w:color w:val="1C1E2E"/>
          <w:sz w:val="22"/>
        </w:rPr>
        <w:t>Wrote and reviewed scientific content in English (dentistry, marine biology) for high-impact peer-reviewed journals.</w:t>
      </w:r>
    </w:p>
    <w:p>
      <w:pPr>
        <w:pStyle w:val="ListBullet"/>
        <w:spacing w:after="60"/>
        <w:ind w:left="403"/>
      </w:pPr>
      <w:r>
        <w:rPr>
          <w:rFonts w:ascii="Inter" w:hAnsi="Inter" w:cs="Inter"/>
          <w:b/>
          <w:i w:val="0"/>
          <w:color w:val="1C1E2E"/>
          <w:sz w:val="22"/>
        </w:rPr>
        <w:t>Named in the acknowledgements</w:t>
      </w:r>
      <w:r>
        <w:rPr>
          <w:rFonts w:ascii="Inter" w:hAnsi="Inter" w:cs="Inter"/>
          <w:b w:val="0"/>
          <w:i w:val="0"/>
          <w:color w:val="1C1E2E"/>
          <w:sz w:val="22"/>
        </w:rPr>
        <w:t xml:space="preserve"> of Sotelo-Casas et al. (2019), </w:t>
      </w:r>
      <w:r>
        <w:rPr>
          <w:rFonts w:ascii="Inter" w:hAnsi="Inter" w:cs="Inter"/>
          <w:b w:val="0"/>
          <w:i/>
          <w:color w:val="1C1E2E"/>
          <w:sz w:val="22"/>
        </w:rPr>
        <w:t>Estuarine, Coastal and Shelf Science</w:t>
      </w:r>
      <w:r>
        <w:rPr>
          <w:rFonts w:ascii="Inter" w:hAnsi="Inter" w:cs="Inter"/>
          <w:b w:val="0"/>
          <w:i w:val="0"/>
          <w:color w:val="1C1E2E"/>
          <w:sz w:val="22"/>
        </w:rPr>
        <w:t xml:space="preserve"> (Elsevier), p. 8, for the manuscript's English and scientific content. </w:t>
      </w:r>
      <w:r>
        <w:rPr>
          <w:rFonts w:ascii="Inter" w:hAnsi="Inter" w:cs="Inter"/>
          <w:b/>
          <w:i w:val="0"/>
          <w:color w:val="1C1E2E"/>
          <w:sz w:val="22"/>
        </w:rPr>
        <w:t>[DOC-14]</w:t>
      </w:r>
    </w:p>
    <w:p>
      <w:pPr>
        <w:spacing w:before="240" w:after="120"/>
      </w:pPr>
      <w:r>
        <w:rPr>
          <w:rFonts w:ascii="Inter" w:hAnsi="Inter" w:cs="Inter"/>
          <w:b/>
          <w:i w:val="0"/>
          <w:color w:val="1C1E2E"/>
          <w:sz w:val="26"/>
        </w:rPr>
        <w:t>B.6.2 · Instructional design and eLearning architecture</w:t>
      </w:r>
    </w:p>
    <w:p>
      <w:r>
        <w:rPr>
          <w:rFonts w:ascii="Inter" w:hAnsi="Inter" w:cs="Inter"/>
          <w:b/>
          <w:i w:val="0"/>
          <w:color w:val="1C1E2E"/>
          <w:sz w:val="22"/>
        </w:rPr>
        <w:t>Instructional Designer &amp; eLearning Architect</w:t>
      </w:r>
      <w:r>
        <w:rPr>
          <w:rFonts w:ascii="Inter" w:hAnsi="Inter" w:cs="Inter"/>
          <w:b w:val="0"/>
          <w:i w:val="0"/>
          <w:color w:val="1C1E2E"/>
          <w:sz w:val="22"/>
        </w:rPr>
        <w:t xml:space="preserve"> — self-employed (Spain) · </w:t>
      </w:r>
      <w:r>
        <w:rPr>
          <w:rFonts w:ascii="Inter" w:hAnsi="Inter" w:cs="Inter"/>
          <w:b/>
          <w:i w:val="0"/>
          <w:color w:val="1C1E2E"/>
          <w:sz w:val="22"/>
        </w:rPr>
        <w:t>October 2019 – present</w:t>
      </w:r>
      <w:r>
        <w:rPr>
          <w:rFonts w:ascii="Inter" w:hAnsi="Inter" w:cs="Inter"/>
          <w:b w:val="0"/>
          <w:i w:val="0"/>
          <w:color w:val="1C1E2E"/>
          <w:sz w:val="22"/>
        </w:rPr>
        <w:t xml:space="preserve"> · remote</w:t>
      </w:r>
    </w:p>
    <w:p>
      <w:pPr>
        <w:pStyle w:val="ListBullet"/>
        <w:spacing w:after="60"/>
        <w:ind w:left="403"/>
      </w:pPr>
      <w:r>
        <w:rPr>
          <w:rFonts w:ascii="Inter" w:hAnsi="Inter" w:cs="Inter"/>
          <w:b/>
          <w:i w:val="0"/>
          <w:color w:val="1C1E2E"/>
          <w:sz w:val="22"/>
        </w:rPr>
        <w:t>Academic Writing Journey (AWJ):</w:t>
      </w:r>
      <w:r>
        <w:rPr>
          <w:rFonts w:ascii="Inter" w:hAnsi="Inter" w:cs="Inter"/>
          <w:b w:val="0"/>
          <w:i w:val="0"/>
          <w:color w:val="1C1E2E"/>
          <w:sz w:val="22"/>
        </w:rPr>
        <w:t xml:space="preserve"> 6-level gamified course in academic English B2→C1, </w:t>
      </w:r>
      <w:r>
        <w:rPr>
          <w:rFonts w:ascii="Inter" w:hAnsi="Inter" w:cs="Inter"/>
          <w:b/>
          <w:i w:val="0"/>
          <w:color w:val="1C1E2E"/>
          <w:sz w:val="22"/>
        </w:rPr>
        <w:t>rated 10/10 for inclusive design (UPV, 2026)</w:t>
      </w:r>
      <w:r>
        <w:rPr>
          <w:rFonts w:ascii="Inter" w:hAnsi="Inter" w:cs="Inter"/>
          <w:b w:val="0"/>
          <w:i w:val="0"/>
          <w:color w:val="1C1E2E"/>
          <w:sz w:val="22"/>
        </w:rPr>
        <w:t xml:space="preserve">. </w:t>
      </w:r>
      <w:r>
        <w:rPr>
          <w:rFonts w:ascii="Inter" w:hAnsi="Inter" w:cs="Inter"/>
          <w:b/>
          <w:i w:val="0"/>
          <w:color w:val="1C1E2E"/>
          <w:sz w:val="22"/>
        </w:rPr>
        <w:t>[DOC-15]</w:t>
      </w:r>
    </w:p>
    <w:p>
      <w:pPr>
        <w:pStyle w:val="ListBullet"/>
        <w:spacing w:after="60"/>
        <w:ind w:left="403"/>
      </w:pPr>
      <w:r>
        <w:rPr>
          <w:rFonts w:ascii="Inter" w:hAnsi="Inter" w:cs="Inter"/>
          <w:b w:val="0"/>
          <w:i w:val="0"/>
          <w:color w:val="1C1E2E"/>
          <w:sz w:val="22"/>
        </w:rPr>
        <w:t>Full module scripting and a professional High-Level Design Document (HDD).</w:t>
      </w:r>
    </w:p>
    <w:p>
      <w:pPr>
        <w:pStyle w:val="ListBullet"/>
        <w:spacing w:after="60"/>
        <w:ind w:left="403"/>
      </w:pPr>
      <w:r>
        <w:rPr>
          <w:rFonts w:ascii="Inter" w:hAnsi="Inter" w:cs="Inter"/>
          <w:b/>
          <w:i w:val="0"/>
          <w:color w:val="1C1E2E"/>
          <w:sz w:val="22"/>
        </w:rPr>
        <w:t>Documented human–AI governance model</w:t>
      </w:r>
      <w:r>
        <w:rPr>
          <w:rFonts w:ascii="Inter" w:hAnsi="Inter" w:cs="Inter"/>
          <w:b w:val="0"/>
          <w:i w:val="0"/>
          <w:color w:val="1C1E2E"/>
          <w:sz w:val="22"/>
        </w:rPr>
        <w:t xml:space="preserve"> for content and code generation — the direct antecedent of the thesis's </w:t>
      </w:r>
      <w:r>
        <w:rPr>
          <w:rFonts w:ascii="Inter" w:hAnsi="Inter" w:cs="Inter"/>
          <w:b/>
          <w:i w:val="0"/>
          <w:color w:val="1C1E2E"/>
          <w:sz w:val="22"/>
        </w:rPr>
        <w:t>*Measure ≠ Decide</w:t>
      </w:r>
      <w:r>
        <w:rPr>
          <w:rFonts w:ascii="Inter" w:hAnsi="Inter" w:cs="Inter"/>
          <w:b w:val="0"/>
          <w:i w:val="0"/>
          <w:color w:val="1C1E2E"/>
          <w:sz w:val="22"/>
        </w:rPr>
        <w:t>* principle: who observes, who decides, and what gets recorded.</w:t>
      </w:r>
    </w:p>
    <w:p>
      <w:pPr>
        <w:pStyle w:val="ListBullet"/>
        <w:spacing w:after="60"/>
        <w:ind w:left="403"/>
      </w:pPr>
      <w:r>
        <w:rPr>
          <w:rFonts w:ascii="Inter" w:hAnsi="Inter" w:cs="Inter"/>
          <w:b w:val="0"/>
          <w:i w:val="0"/>
          <w:color w:val="1C1E2E"/>
          <w:sz w:val="22"/>
        </w:rPr>
        <w:t xml:space="preserve">Native accessibility layer (voice dictation, high contrast, audio read-back) compliant with </w:t>
      </w:r>
      <w:r>
        <w:rPr>
          <w:rFonts w:ascii="Inter" w:hAnsi="Inter" w:cs="Inter"/>
          <w:b/>
          <w:i w:val="0"/>
          <w:color w:val="1C1E2E"/>
          <w:sz w:val="22"/>
        </w:rPr>
        <w:t>WCAG</w:t>
      </w:r>
      <w:r>
        <w:rPr>
          <w:rFonts w:ascii="Inter" w:hAnsi="Inter" w:cs="Inter"/>
          <w:b w:val="0"/>
          <w:i w:val="0"/>
          <w:color w:val="1C1E2E"/>
          <w:sz w:val="22"/>
        </w:rPr>
        <w:t xml:space="preserve"> and the </w:t>
      </w:r>
      <w:r>
        <w:rPr>
          <w:rFonts w:ascii="Inter" w:hAnsi="Inter" w:cs="Inter"/>
          <w:b/>
          <w:i w:val="0"/>
          <w:color w:val="1C1E2E"/>
          <w:sz w:val="22"/>
        </w:rPr>
        <w:t>European Accessibility Act</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Migrated AWJ from Canva to </w:t>
      </w:r>
      <w:r>
        <w:rPr>
          <w:rFonts w:ascii="Inter" w:hAnsi="Inter" w:cs="Inter"/>
          <w:b/>
          <w:i w:val="0"/>
          <w:color w:val="1C1E2E"/>
          <w:sz w:val="22"/>
        </w:rPr>
        <w:t>Articulate 360 (Rise)</w:t>
      </w:r>
      <w:r>
        <w:rPr>
          <w:rFonts w:ascii="Inter" w:hAnsi="Inter" w:cs="Inter"/>
          <w:b w:val="0"/>
          <w:i w:val="0"/>
          <w:color w:val="1C1E2E"/>
          <w:sz w:val="22"/>
        </w:rPr>
        <w:t xml:space="preserve"> with </w:t>
      </w:r>
      <w:r>
        <w:rPr>
          <w:rFonts w:ascii="Inter" w:hAnsi="Inter" w:cs="Inter"/>
          <w:b/>
          <w:i w:val="0"/>
          <w:color w:val="1C1E2E"/>
          <w:sz w:val="22"/>
        </w:rPr>
        <w:t>SCORM / xAPI</w:t>
      </w:r>
      <w:r>
        <w:rPr>
          <w:rFonts w:ascii="Inter" w:hAnsi="Inter" w:cs="Inter"/>
          <w:b w:val="0"/>
          <w:i w:val="0"/>
          <w:color w:val="1C1E2E"/>
          <w:sz w:val="22"/>
        </w:rPr>
        <w:t xml:space="preserve"> packaging — technical competence directly reusable in the thesis's measurement module.</w:t>
      </w:r>
    </w:p>
    <w:p>
      <w:pPr>
        <w:spacing w:before="240" w:after="120"/>
      </w:pPr>
      <w:r>
        <w:rPr>
          <w:rFonts w:ascii="Inter" w:hAnsi="Inter" w:cs="Inter"/>
          <w:b/>
          <w:i w:val="0"/>
          <w:color w:val="1C1E2E"/>
          <w:sz w:val="26"/>
        </w:rPr>
        <w:t>B.6.3 · Own venture and LMS administration</w:t>
      </w:r>
    </w:p>
    <w:p>
      <w:r>
        <w:rPr>
          <w:rFonts w:ascii="Inter" w:hAnsi="Inter" w:cs="Inter"/>
          <w:b/>
          <w:i w:val="0"/>
          <w:color w:val="1C1E2E"/>
          <w:sz w:val="22"/>
        </w:rPr>
        <w:t>Founder &amp; eLearning Content Designer — Talkétika</w:t>
      </w:r>
      <w:r>
        <w:rPr>
          <w:rFonts w:ascii="Inter" w:hAnsi="Inter" w:cs="Inter"/>
          <w:b w:val="0"/>
          <w:i w:val="0"/>
          <w:color w:val="1C1E2E"/>
          <w:sz w:val="22"/>
        </w:rPr>
        <w:t xml:space="preserve"> · </w:t>
      </w:r>
      <w:r>
        <w:rPr>
          <w:rFonts w:ascii="Inter" w:hAnsi="Inter" w:cs="Inter"/>
          <w:b/>
          <w:i w:val="0"/>
          <w:color w:val="1C1E2E"/>
          <w:sz w:val="22"/>
        </w:rPr>
        <w:t>2019 – present</w:t>
      </w:r>
      <w:r>
        <w:rPr>
          <w:rFonts w:ascii="Inter" w:hAnsi="Inter" w:cs="Inter"/>
          <w:b w:val="0"/>
          <w:i w:val="0"/>
          <w:color w:val="1C1E2E"/>
          <w:sz w:val="22"/>
        </w:rPr>
        <w:t xml:space="preserve"> · remote</w:t>
      </w:r>
    </w:p>
    <w:p>
      <w:pPr>
        <w:pStyle w:val="ListBullet"/>
        <w:spacing w:after="60"/>
        <w:ind w:left="403"/>
      </w:pPr>
      <w:r>
        <w:rPr>
          <w:rFonts w:ascii="Inter" w:hAnsi="Inter" w:cs="Inter"/>
          <w:b/>
          <w:i w:val="0"/>
          <w:color w:val="1C1E2E"/>
          <w:sz w:val="22"/>
        </w:rPr>
        <w:t>Chamilo (LMS) administrator since 2019</w:t>
      </w:r>
      <w:r>
        <w:rPr>
          <w:rFonts w:ascii="Inter" w:hAnsi="Inter" w:cs="Inter"/>
          <w:b w:val="0"/>
          <w:i w:val="0"/>
          <w:color w:val="1C1E2E"/>
          <w:sz w:val="22"/>
        </w:rPr>
        <w:t xml:space="preserve">; gamified content on </w:t>
      </w:r>
      <w:r>
        <w:rPr>
          <w:rFonts w:ascii="Inter" w:hAnsi="Inter" w:cs="Inter"/>
          <w:b/>
          <w:i w:val="0"/>
          <w:color w:val="1C1E2E"/>
          <w:sz w:val="22"/>
        </w:rPr>
        <w:t>Moodle, Canvas LMS and Chamilo</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Audiobook production in </w:t>
      </w:r>
      <w:r>
        <w:rPr>
          <w:rFonts w:ascii="Inter" w:hAnsi="Inter" w:cs="Inter"/>
          <w:b/>
          <w:i w:val="0"/>
          <w:color w:val="1C1E2E"/>
          <w:sz w:val="22"/>
        </w:rPr>
        <w:t>Adobe Podcast</w:t>
      </w:r>
      <w:r>
        <w:rPr>
          <w:rFonts w:ascii="Inter" w:hAnsi="Inter" w:cs="Inter"/>
          <w:b w:val="0"/>
          <w:i w:val="0"/>
          <w:color w:val="1C1E2E"/>
          <w:sz w:val="22"/>
        </w:rPr>
        <w:t xml:space="preserve"> (scripting, editing, publishing).</w:t>
      </w:r>
    </w:p>
    <w:p>
      <w:pPr>
        <w:pStyle w:val="ListBullet"/>
        <w:spacing w:after="60"/>
        <w:ind w:left="403"/>
      </w:pPr>
      <w:r>
        <w:rPr>
          <w:rFonts w:ascii="Inter" w:hAnsi="Inter" w:cs="Inter"/>
          <w:b w:val="0"/>
          <w:i/>
          <w:color w:val="1C1E2E"/>
          <w:sz w:val="22"/>
        </w:rPr>
        <w:t>TK Coach Review</w:t>
      </w:r>
      <w:r>
        <w:rPr>
          <w:rFonts w:ascii="Inter" w:hAnsi="Inter" w:cs="Inter"/>
          <w:b w:val="0"/>
          <w:i w:val="0"/>
          <w:color w:val="1C1E2E"/>
          <w:sz w:val="22"/>
        </w:rPr>
        <w:t xml:space="preserve"> — EdTech product evaluation site (mobile responsiveness and technology): https://profeanaeslava.my.canva.site/tkcoachreview</w:t>
      </w:r>
    </w:p>
    <w:p>
      <w:pPr>
        <w:spacing w:before="240" w:after="120"/>
      </w:pPr>
      <w:r>
        <w:rPr>
          <w:rFonts w:ascii="Inter" w:hAnsi="Inter" w:cs="Inter"/>
          <w:b/>
          <w:i w:val="0"/>
          <w:color w:val="1C1E2E"/>
          <w:sz w:val="26"/>
        </w:rPr>
        <w:t>B.6.4 · CEFR-aligned language teaching</w:t>
      </w:r>
    </w:p>
    <w:p>
      <w:r>
        <w:rPr>
          <w:rFonts w:ascii="Inter" w:hAnsi="Inter" w:cs="Inter"/>
          <w:b/>
          <w:i w:val="0"/>
          <w:color w:val="1C1E2E"/>
          <w:sz w:val="22"/>
        </w:rPr>
        <w:t>Language Teacher — ESL, Cambridge and DELE</w:t>
      </w:r>
      <w:r>
        <w:rPr>
          <w:rFonts w:ascii="Inter" w:hAnsi="Inter" w:cs="Inter"/>
          <w:b w:val="0"/>
          <w:i w:val="0"/>
          <w:color w:val="1C1E2E"/>
          <w:sz w:val="22"/>
        </w:rPr>
        <w:t xml:space="preserve"> — various institutions · </w:t>
      </w:r>
      <w:r>
        <w:rPr>
          <w:rFonts w:ascii="Inter" w:hAnsi="Inter" w:cs="Inter"/>
          <w:b/>
          <w:i w:val="0"/>
          <w:color w:val="1C1E2E"/>
          <w:sz w:val="22"/>
        </w:rPr>
        <w:t>July 2004 – present</w:t>
      </w:r>
    </w:p>
    <w:p>
      <w:pPr>
        <w:pStyle w:val="ListBullet"/>
        <w:spacing w:after="60"/>
        <w:ind w:left="403"/>
      </w:pPr>
      <w:r>
        <w:rPr>
          <w:rFonts w:ascii="Inter" w:hAnsi="Inter" w:cs="Inter"/>
          <w:b w:val="0"/>
          <w:i w:val="0"/>
          <w:color w:val="1C1E2E"/>
          <w:sz w:val="22"/>
        </w:rPr>
        <w:t>20+ years teaching English and Spanish to adults, in person and online.</w:t>
      </w:r>
    </w:p>
    <w:p>
      <w:pPr>
        <w:pStyle w:val="ListBullet"/>
        <w:spacing w:after="60"/>
        <w:ind w:left="403"/>
      </w:pPr>
      <w:r>
        <w:rPr>
          <w:rFonts w:ascii="Inter" w:hAnsi="Inter" w:cs="Inter"/>
          <w:b/>
          <w:i w:val="0"/>
          <w:color w:val="1C1E2E"/>
          <w:sz w:val="22"/>
        </w:rPr>
        <w:t>Tutor on AVE Global</w:t>
      </w:r>
      <w:r>
        <w:rPr>
          <w:rFonts w:ascii="Inter" w:hAnsi="Inter" w:cs="Inter"/>
          <w:b w:val="0"/>
          <w:i w:val="0"/>
          <w:color w:val="1C1E2E"/>
          <w:sz w:val="22"/>
        </w:rPr>
        <w:t xml:space="preserve"> (Instituto Cervantes online Spanish classroom / LMS).</w:t>
      </w:r>
    </w:p>
    <w:p>
      <w:pPr>
        <w:pStyle w:val="ListBullet"/>
        <w:spacing w:after="60"/>
        <w:ind w:left="403"/>
      </w:pPr>
      <w:r>
        <w:rPr>
          <w:rFonts w:ascii="Inter" w:hAnsi="Inter" w:cs="Inter"/>
          <w:b/>
          <w:i w:val="0"/>
          <w:color w:val="1C1E2E"/>
          <w:sz w:val="22"/>
        </w:rPr>
        <w:t>CEFR-aligned learning paths and rubrics</w:t>
      </w:r>
      <w:r>
        <w:rPr>
          <w:rFonts w:ascii="Inter" w:hAnsi="Inter" w:cs="Inter"/>
          <w:b w:val="0"/>
          <w:i w:val="0"/>
          <w:color w:val="1C1E2E"/>
          <w:sz w:val="22"/>
        </w:rPr>
        <w:t xml:space="preserve">; </w:t>
      </w:r>
      <w:r>
        <w:rPr>
          <w:rFonts w:ascii="Inter" w:hAnsi="Inter" w:cs="Inter"/>
          <w:b/>
          <w:i w:val="0"/>
          <w:color w:val="1C1E2E"/>
          <w:sz w:val="22"/>
        </w:rPr>
        <w:t>Cambridge (B2 First, C1 Advanced)</w:t>
      </w:r>
      <w:r>
        <w:rPr>
          <w:rFonts w:ascii="Inter" w:hAnsi="Inter" w:cs="Inter"/>
          <w:b w:val="0"/>
          <w:i w:val="0"/>
          <w:color w:val="1C1E2E"/>
          <w:sz w:val="22"/>
        </w:rPr>
        <w:t xml:space="preserve"> and </w:t>
      </w:r>
      <w:r>
        <w:rPr>
          <w:rFonts w:ascii="Inter" w:hAnsi="Inter" w:cs="Inter"/>
          <w:b/>
          <w:i w:val="0"/>
          <w:color w:val="1C1E2E"/>
          <w:sz w:val="22"/>
        </w:rPr>
        <w:t>DELE</w:t>
      </w:r>
      <w:r>
        <w:rPr>
          <w:rFonts w:ascii="Inter" w:hAnsi="Inter" w:cs="Inter"/>
          <w:b w:val="0"/>
          <w:i w:val="0"/>
          <w:color w:val="1C1E2E"/>
          <w:sz w:val="22"/>
        </w:rPr>
        <w:t xml:space="preserve"> exam preparation.</w:t>
      </w:r>
    </w:p>
    <w:p>
      <w:r>
        <w:rPr>
          <w:rFonts w:ascii="Inter" w:hAnsi="Inter" w:cs="Inter"/>
          <w:b/>
          <w:i w:val="0"/>
          <w:color w:val="1C1E2E"/>
          <w:sz w:val="22"/>
        </w:rPr>
        <w:t>Evidence:</w:t>
      </w:r>
      <w:r>
        <w:rPr>
          <w:rFonts w:ascii="Inter" w:hAnsi="Inter" w:cs="Inter"/>
          <w:b w:val="0"/>
          <w:i w:val="0"/>
          <w:color w:val="1C1E2E"/>
          <w:sz w:val="22"/>
        </w:rPr>
        <w:t xml:space="preserve"> UDO service certificates </w:t>
      </w:r>
      <w:r>
        <w:rPr>
          <w:rFonts w:ascii="Inter" w:hAnsi="Inter" w:cs="Inter"/>
          <w:b/>
          <w:i w:val="0"/>
          <w:color w:val="1C1E2E"/>
          <w:sz w:val="22"/>
        </w:rPr>
        <w:t>[DOC-16]</w:t>
      </w:r>
      <w:r>
        <w:rPr>
          <w:rFonts w:ascii="Inter" w:hAnsi="Inter" w:cs="Inter"/>
          <w:b w:val="0"/>
          <w:i w:val="0"/>
          <w:color w:val="1C1E2E"/>
          <w:sz w:val="22"/>
        </w:rPr>
        <w:t xml:space="preserve"> · Spanish employment history / self-employment certificate </w:t>
      </w:r>
      <w:r>
        <w:rPr>
          <w:rFonts w:ascii="Inter" w:hAnsi="Inter" w:cs="Inter"/>
          <w:b/>
          <w:i w:val="0"/>
          <w:color w:val="1C1E2E"/>
          <w:sz w:val="22"/>
        </w:rPr>
        <w:t>[DOC-17]</w:t>
      </w:r>
      <w:r>
        <w:rPr>
          <w:rFonts w:ascii="Inter" w:hAnsi="Inter" w:cs="Inter"/>
          <w:b w:val="0"/>
          <w:i w:val="0"/>
          <w:color w:val="1C1E2E"/>
          <w:sz w:val="22"/>
        </w:rPr>
        <w:t xml:space="preserve"> · AVE Global tutoring accreditation </w:t>
      </w:r>
      <w:r>
        <w:rPr>
          <w:rFonts w:ascii="Inter" w:hAnsi="Inter" w:cs="Inter"/>
          <w:b/>
          <w:i w:val="0"/>
          <w:color w:val="1C1E2E"/>
          <w:sz w:val="22"/>
        </w:rPr>
        <w:t>[DOC-18]</w:t>
      </w:r>
      <w:r>
        <w:rPr>
          <w:rFonts w:ascii="Inter" w:hAnsi="Inter" w:cs="Inter"/>
          <w:b w:val="0"/>
          <w:i w:val="0"/>
          <w:color w:val="1C1E2E"/>
          <w:sz w:val="22"/>
        </w:rPr>
        <w:t xml:space="preserve"> · online portfolio (link in §0).</w:t>
      </w:r>
    </w:p>
    <w:p>
      <w:pPr>
        <w:pBdr>
          <w:left w:val="single" w:sz="18" w:space="8" w:color="9A5B00"/>
        </w:pBdr>
        <w:spacing w:before="120" w:after="200"/>
        <w:ind w:left="317"/>
      </w:pPr>
      <w:r>
        <w:rPr>
          <w:rFonts w:ascii="Inter" w:hAnsi="Inter" w:cs="Inter"/>
          <w:b/>
          <w:i w:val="0"/>
          <w:color w:val="5B5F77"/>
          <w:sz w:val="21"/>
        </w:rPr>
        <w:t>Fit with the thesis.</w:t>
      </w:r>
      <w:r>
        <w:rPr>
          <w:rFonts w:ascii="Inter" w:hAnsi="Inter" w:cs="Inter"/>
          <w:b w:val="0"/>
          <w:i w:val="0"/>
          <w:color w:val="5B5F77"/>
          <w:sz w:val="21"/>
        </w:rPr>
        <w:t xml:space="preserve"> The four experience blocks map one-to-one onto MLLDE's components: CEFR-aligned teaching → standard anchoring and the human assessment criterion; instructional design → the modality-declared design pillar; documented human–AI governance → the </w:t>
      </w:r>
      <w:r>
        <w:rPr>
          <w:rFonts w:ascii="Inter" w:hAnsi="Inter" w:cs="Inter"/>
          <w:b w:val="0"/>
          <w:i/>
          <w:color w:val="5B5F77"/>
          <w:sz w:val="21"/>
        </w:rPr>
        <w:t>Measure ≠ Decide</w:t>
      </w:r>
      <w:r>
        <w:rPr>
          <w:rFonts w:ascii="Inter" w:hAnsi="Inter" w:cs="Inter"/>
          <w:b w:val="0"/>
          <w:i w:val="0"/>
          <w:color w:val="5B5F77"/>
          <w:sz w:val="21"/>
        </w:rPr>
        <w:t xml:space="preserve"> principle; SCORM/xAPI and LMS administration → the Measurement Module and its traceability.</w:t>
      </w:r>
    </w:p>
    <w:p>
      <w:pPr>
        <w:pBdr>
          <w:bottom w:val="single" w:sz="6" w:space="1" w:color="E6E8F2"/>
        </w:pBdr>
      </w:pPr>
    </w:p>
    <w:p>
      <w:pPr>
        <w:spacing w:before="320" w:after="120"/>
      </w:pPr>
      <w:r>
        <w:rPr>
          <w:rFonts w:ascii="Fraunces" w:hAnsi="Fraunces" w:cs="Fraunces"/>
          <w:b/>
          <w:i w:val="0"/>
          <w:color w:val="22307C"/>
          <w:sz w:val="32"/>
        </w:rPr>
        <w:t>RUBRIC SUMMARY — SELF-ASSESSMENT</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Item</w:t>
            </w:r>
          </w:p>
        </w:tc>
        <w:tc>
          <w:tcPr>
            <w:tcW w:type="dxa" w:w="2412"/>
            <w:shd w:val="clear" w:color="auto" w:fill="EEF2FD"/>
          </w:tcPr>
          <w:p>
            <w:pPr>
              <w:spacing w:after="40"/>
            </w:pPr>
            <w:r/>
            <w:r>
              <w:rPr>
                <w:rFonts w:ascii="Inter" w:hAnsi="Inter" w:cs="Inter"/>
                <w:b/>
                <w:i w:val="0"/>
                <w:color w:val="22307C"/>
                <w:sz w:val="19"/>
              </w:rPr>
              <w:t>Weight</w:t>
            </w:r>
          </w:p>
        </w:tc>
        <w:tc>
          <w:tcPr>
            <w:tcW w:type="dxa" w:w="2412"/>
            <w:shd w:val="clear" w:color="auto" w:fill="EEF2FD"/>
          </w:tcPr>
          <w:p>
            <w:pPr>
              <w:spacing w:after="40"/>
            </w:pPr>
            <w:r/>
            <w:r>
              <w:rPr>
                <w:rFonts w:ascii="Inter" w:hAnsi="Inter" w:cs="Inter"/>
                <w:b/>
                <w:i w:val="0"/>
                <w:color w:val="22307C"/>
                <w:sz w:val="19"/>
              </w:rPr>
              <w:t>Status</w:t>
            </w:r>
          </w:p>
        </w:tc>
        <w:tc>
          <w:tcPr>
            <w:tcW w:type="dxa" w:w="2412"/>
            <w:shd w:val="clear" w:color="auto" w:fill="EEF2FD"/>
          </w:tcPr>
          <w:p>
            <w:pPr>
              <w:spacing w:after="40"/>
            </w:pPr>
            <w:r/>
            <w:r>
              <w:rPr>
                <w:rFonts w:ascii="Inter" w:hAnsi="Inter" w:cs="Inter"/>
                <w:b/>
                <w:i w:val="0"/>
                <w:color w:val="22307C"/>
                <w:sz w:val="19"/>
              </w:rPr>
              <w:t>Main evidence</w:t>
            </w:r>
          </w:p>
        </w:tc>
      </w:tr>
      <w:tr>
        <w:tc>
          <w:tcPr>
            <w:tcW w:type="dxa" w:w="2412"/>
          </w:tcPr>
          <w:p>
            <w:pPr>
              <w:spacing w:after="40"/>
            </w:pPr>
            <w:r/>
            <w:r>
              <w:rPr>
                <w:rFonts w:ascii="Inter" w:hAnsi="Inter" w:cs="Inter"/>
                <w:b/>
                <w:i w:val="0"/>
                <w:color w:val="1C1E2E"/>
                <w:sz w:val="19"/>
              </w:rPr>
              <w:t>Academic record</w:t>
            </w:r>
          </w:p>
        </w:tc>
        <w:tc>
          <w:tcPr>
            <w:tcW w:type="dxa" w:w="2412"/>
          </w:tcPr>
          <w:p>
            <w:pPr>
              <w:spacing w:after="40"/>
            </w:pPr>
            <w:r/>
            <w:r>
              <w:rPr>
                <w:rFonts w:ascii="Inter" w:hAnsi="Inter" w:cs="Inter"/>
                <w:b/>
                <w:i w:val="0"/>
                <w:color w:val="1C1E2E"/>
                <w:sz w:val="19"/>
              </w:rPr>
              <w:t>70 %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 xml:space="preserve">UPV master's </w:t>
            </w:r>
            <w:r>
              <w:rPr>
                <w:rFonts w:ascii="Inter" w:hAnsi="Inter" w:cs="Inter"/>
                <w:b/>
                <w:i w:val="0"/>
                <w:color w:val="1C1E2E"/>
                <w:sz w:val="19"/>
              </w:rPr>
              <w:t>9.4/10</w:t>
            </w:r>
            <w:r>
              <w:rPr>
                <w:rFonts w:ascii="Inter" w:hAnsi="Inter" w:cs="Inter"/>
                <w:b w:val="0"/>
                <w:i w:val="0"/>
                <w:color w:val="1C1E2E"/>
                <w:sz w:val="19"/>
              </w:rPr>
              <w:t xml:space="preserve"> with 2 distinctions · Undergraduate </w:t>
            </w:r>
            <w:r>
              <w:rPr>
                <w:rFonts w:ascii="Inter" w:hAnsi="Inter" w:cs="Inter"/>
                <w:b/>
                <w:i w:val="0"/>
                <w:color w:val="1C1E2E"/>
                <w:sz w:val="19"/>
              </w:rPr>
              <w:t>9.07/10</w:t>
            </w:r>
            <w:r>
              <w:rPr>
                <w:rFonts w:ascii="Inter" w:hAnsi="Inter" w:cs="Inter"/>
                <w:b w:val="0"/>
                <w:i w:val="0"/>
                <w:color w:val="1C1E2E"/>
                <w:sz w:val="19"/>
              </w:rPr>
              <w:t xml:space="preserve"> (official grade equivalence) · degree with </w:t>
            </w:r>
            <w:r>
              <w:rPr>
                <w:rFonts w:ascii="Inter" w:hAnsi="Inter" w:cs="Inter"/>
                <w:b/>
                <w:i w:val="0"/>
                <w:color w:val="1C1E2E"/>
                <w:sz w:val="19"/>
              </w:rPr>
              <w:t>official equivalence to *Grado</w:t>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B.1 Extraordinary undergraduate award</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1st of 56 graduates</w:t>
            </w:r>
            <w:r>
              <w:rPr>
                <w:rFonts w:ascii="Inter" w:hAnsi="Inter" w:cs="Inter"/>
                <w:b w:val="0"/>
                <w:i w:val="0"/>
                <w:color w:val="1C1E2E"/>
                <w:sz w:val="19"/>
              </w:rPr>
              <w:t xml:space="preserve"> (apostilled) + </w:t>
            </w:r>
            <w:r>
              <w:rPr>
                <w:rFonts w:ascii="Inter" w:hAnsi="Inter" w:cs="Inter"/>
                <w:b/>
                <w:i w:val="0"/>
                <w:color w:val="1C1E2E"/>
                <w:sz w:val="19"/>
              </w:rPr>
              <w:t>"Ribas Dávila" Order four years running</w:t>
            </w:r>
          </w:p>
        </w:tc>
      </w:tr>
      <w:tr>
        <w:tc>
          <w:tcPr>
            <w:tcW w:type="dxa" w:w="2412"/>
          </w:tcPr>
          <w:p>
            <w:pPr>
              <w:spacing w:after="40"/>
            </w:pPr>
            <w:r/>
            <w:r>
              <w:rPr>
                <w:rFonts w:ascii="Inter" w:hAnsi="Inter" w:cs="Inter"/>
                <w:b w:val="0"/>
                <w:i w:val="0"/>
                <w:color w:val="1C1E2E"/>
                <w:sz w:val="19"/>
              </w:rPr>
              <w:t>B.2 Extraordinary master's award</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Not applicable — the award is the undergraduate one</w:t>
            </w:r>
          </w:p>
        </w:tc>
      </w:tr>
      <w:tr>
        <w:tc>
          <w:tcPr>
            <w:tcW w:type="dxa" w:w="2412"/>
          </w:tcPr>
          <w:p>
            <w:pPr>
              <w:spacing w:after="40"/>
            </w:pPr>
            <w:r/>
            <w:r>
              <w:rPr>
                <w:rFonts w:ascii="Inter" w:hAnsi="Inter" w:cs="Inter"/>
                <w:b w:val="0"/>
                <w:i w:val="0"/>
                <w:color w:val="1C1E2E"/>
                <w:sz w:val="19"/>
              </w:rPr>
              <w:t>B.3 Second master's degree</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Not applicable</w:t>
            </w:r>
          </w:p>
        </w:tc>
      </w:tr>
      <w:tr>
        <w:tc>
          <w:tcPr>
            <w:tcW w:type="dxa" w:w="2412"/>
          </w:tcPr>
          <w:p>
            <w:pPr>
              <w:spacing w:after="40"/>
            </w:pPr>
            <w:r/>
            <w:r>
              <w:rPr>
                <w:rFonts w:ascii="Inter" w:hAnsi="Inter" w:cs="Inter"/>
                <w:b w:val="0"/>
                <w:i w:val="0"/>
                <w:color w:val="1C1E2E"/>
                <w:sz w:val="19"/>
              </w:rPr>
              <w:t>B.4 Languages beyond the degrees</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English confirmed as eligible</w:t>
            </w:r>
            <w:r>
              <w:rPr>
                <w:rFonts w:ascii="Inter" w:hAnsi="Inter" w:cs="Inter"/>
                <w:b w:val="0"/>
                <w:i w:val="0"/>
                <w:color w:val="1C1E2E"/>
                <w:sz w:val="19"/>
              </w:rPr>
              <w:t xml:space="preserve"> · C1 CAE · CELTA · DELE examiner</w:t>
            </w:r>
          </w:p>
        </w:tc>
      </w:tr>
      <w:tr>
        <w:tc>
          <w:tcPr>
            <w:tcW w:type="dxa" w:w="2412"/>
          </w:tcPr>
          <w:p>
            <w:pPr>
              <w:spacing w:after="40"/>
            </w:pPr>
            <w:r/>
            <w:r>
              <w:rPr>
                <w:rFonts w:ascii="Inter" w:hAnsi="Inter" w:cs="Inter"/>
                <w:b w:val="0"/>
                <w:i w:val="0"/>
                <w:color w:val="1C1E2E"/>
                <w:sz w:val="19"/>
              </w:rPr>
              <w:t>B.5 Scholarships</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High Academic Performance Scholarship</w:t>
            </w:r>
            <w:r>
              <w:rPr>
                <w:rFonts w:ascii="Inter" w:hAnsi="Inter" w:cs="Inter"/>
                <w:b w:val="0"/>
                <w:i w:val="0"/>
                <w:color w:val="1C1E2E"/>
                <w:sz w:val="19"/>
              </w:rPr>
              <w:t xml:space="preserve"> evidenced (ULA, 2003-04) · Ministry scholarship (master's)</w:t>
            </w:r>
          </w:p>
        </w:tc>
      </w:tr>
      <w:tr>
        <w:tc>
          <w:tcPr>
            <w:tcW w:type="dxa" w:w="2412"/>
          </w:tcPr>
          <w:p>
            <w:pPr>
              <w:spacing w:after="40"/>
            </w:pPr>
            <w:r/>
            <w:r>
              <w:rPr>
                <w:rFonts w:ascii="Inter" w:hAnsi="Inter" w:cs="Inter"/>
                <w:b w:val="0"/>
                <w:i w:val="0"/>
                <w:color w:val="1C1E2E"/>
                <w:sz w:val="19"/>
              </w:rPr>
              <w:t>B.6 Professional experience in the field</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1,568 accredited university teaching hours</w:t>
            </w:r>
            <w:r>
              <w:rPr>
                <w:rFonts w:ascii="Inter" w:hAnsi="Inter" w:cs="Inter"/>
                <w:b w:val="0"/>
                <w:i w:val="0"/>
                <w:color w:val="1C1E2E"/>
                <w:sz w:val="19"/>
              </w:rPr>
              <w:t xml:space="preserve"> · 20+ years · ID 2019–present</w:t>
            </w:r>
          </w:p>
        </w:tc>
      </w:tr>
    </w:tbl>
    <w:p/>
    <w:p>
      <w:r>
        <w:rPr>
          <w:rFonts w:ascii="Inter" w:hAnsi="Inter" w:cs="Inter"/>
          <w:b/>
          <w:i w:val="0"/>
          <w:color w:val="1C1E2E"/>
          <w:sz w:val="22"/>
        </w:rPr>
        <w:t>Honest reading.</w:t>
      </w:r>
      <w:r>
        <w:rPr>
          <w:rFonts w:ascii="Inter" w:hAnsi="Inter" w:cs="Inter"/>
          <w:b w:val="0"/>
          <w:i w:val="0"/>
          <w:color w:val="1C1E2E"/>
          <w:sz w:val="22"/>
        </w:rPr>
        <w:t xml:space="preserve"> </w:t>
      </w:r>
      <w:r>
        <w:rPr>
          <w:rFonts w:ascii="Inter" w:hAnsi="Inter" w:cs="Inter"/>
          <w:b/>
          <w:i w:val="0"/>
          <w:color w:val="1C1E2E"/>
          <w:sz w:val="22"/>
        </w:rPr>
        <w:t>Four of the six merits are fully evidenced</w:t>
      </w:r>
      <w:r>
        <w:rPr>
          <w:rFonts w:ascii="Inter" w:hAnsi="Inter" w:cs="Inter"/>
          <w:b w:val="0"/>
          <w:i w:val="0"/>
          <w:color w:val="1C1E2E"/>
          <w:sz w:val="22"/>
        </w:rPr>
        <w:t xml:space="preserve"> (B.1, B.4, B.5, B.6) and two do not apply (B.2, B.3): </w:t>
      </w:r>
      <w:r>
        <w:rPr>
          <w:rFonts w:ascii="Inter" w:hAnsi="Inter" w:cs="Inter"/>
          <w:b/>
          <w:i w:val="0"/>
          <w:color w:val="1C1E2E"/>
          <w:sz w:val="22"/>
        </w:rPr>
        <w:t>20 of the 30 points</w:t>
      </w:r>
      <w:r>
        <w:rPr>
          <w:rFonts w:ascii="Inter" w:hAnsi="Inter" w:cs="Inter"/>
          <w:b w:val="0"/>
          <w:i w:val="0"/>
          <w:color w:val="1C1E2E"/>
          <w:sz w:val="22"/>
        </w:rPr>
        <w:t xml:space="preserve">, with the 70% academic record in the upper band (9.4 and 9.07 out of 10). The strength here is not the number of boxes ticked but the </w:t>
      </w:r>
      <w:r>
        <w:rPr>
          <w:rFonts w:ascii="Inter" w:hAnsi="Inter" w:cs="Inter"/>
          <w:b/>
          <w:i w:val="0"/>
          <w:color w:val="1C1E2E"/>
          <w:sz w:val="22"/>
        </w:rPr>
        <w:t>quality of the proof</w:t>
      </w:r>
      <w:r>
        <w:rPr>
          <w:rFonts w:ascii="Inter" w:hAnsi="Inter" w:cs="Inter"/>
          <w:b w:val="0"/>
          <w:i w:val="0"/>
          <w:color w:val="1C1E2E"/>
          <w:sz w:val="22"/>
        </w:rPr>
        <w:t>: the B.1 merit arrives apostilled with an online validation code, and the undergraduate record comes with its grade average already computed by the Spanish administration.</w:t>
      </w:r>
    </w:p>
    <w:p>
      <w:r>
        <w:rPr>
          <w:rFonts w:ascii="Inter" w:hAnsi="Inter" w:cs="Inter"/>
          <w:b/>
          <w:i w:val="0"/>
          <w:color w:val="1C1E2E"/>
          <w:sz w:val="22"/>
        </w:rPr>
        <w:t>Where margin remains.</w:t>
      </w:r>
      <w:r>
        <w:rPr>
          <w:rFonts w:ascii="Inter" w:hAnsi="Inter" w:cs="Inter"/>
          <w:b w:val="0"/>
          <w:i w:val="0"/>
          <w:color w:val="1C1E2E"/>
          <w:sz w:val="22"/>
        </w:rPr>
        <w:t xml:space="preserve"> The two items at zero — the extraordinary master's award and a second master's — are not within short-term reach. The record compensates: 9.4 and 9.07 out of 10, with </w:t>
      </w:r>
      <w:r>
        <w:rPr>
          <w:rFonts w:ascii="Inter" w:hAnsi="Inter" w:cs="Inter"/>
          <w:b/>
          <w:i w:val="0"/>
          <w:color w:val="1C1E2E"/>
          <w:sz w:val="22"/>
        </w:rPr>
        <w:t>four separate administrations</w:t>
      </w:r>
      <w:r>
        <w:rPr>
          <w:rFonts w:ascii="Inter" w:hAnsi="Inter" w:cs="Inter"/>
          <w:b w:val="0"/>
          <w:i w:val="0"/>
          <w:color w:val="1C1E2E"/>
          <w:sz w:val="22"/>
        </w:rPr>
        <w:t xml:space="preserve"> certifying that performance (the home university, the Ministry of Universities, ULA's Directorate of Student Affairs and the Ministry of Education).</w:t>
      </w:r>
    </w:p>
    <w:p>
      <w:pPr>
        <w:pBdr>
          <w:bottom w:val="single" w:sz="6" w:space="1" w:color="E6E8F2"/>
        </w:pBdr>
      </w:pPr>
    </w:p>
    <w:p>
      <w:pPr>
        <w:spacing w:before="320" w:after="120"/>
      </w:pPr>
      <w:r>
        <w:rPr>
          <w:rFonts w:ascii="Fraunces" w:hAnsi="Fraunces" w:cs="Fraunces"/>
          <w:b/>
          <w:i w:val="0"/>
          <w:color w:val="22307C"/>
          <w:sz w:val="42"/>
        </w:rPr>
        <w:t>5. Research output and dissemination</w:t>
      </w:r>
    </w:p>
    <w:p>
      <w:pPr>
        <w:spacing w:before="320" w:after="120"/>
      </w:pPr>
      <w:r>
        <w:rPr>
          <w:rFonts w:ascii="Fraunces" w:hAnsi="Fraunces" w:cs="Fraunces"/>
          <w:b/>
          <w:i w:val="0"/>
          <w:color w:val="22307C"/>
          <w:sz w:val="32"/>
        </w:rPr>
        <w:t>5.1 · A research trajectory that began with the final-year dissertation</w:t>
      </w:r>
    </w:p>
    <w:p>
      <w:r>
        <w:rPr>
          <w:rFonts w:ascii="Inter" w:hAnsi="Inter" w:cs="Inter"/>
          <w:b w:val="0"/>
          <w:i w:val="0"/>
          <w:color w:val="1C1E2E"/>
          <w:sz w:val="22"/>
        </w:rPr>
        <w:t xml:space="preserve">The dissertation did not stay in the file: it ran the full research cycle — </w:t>
      </w:r>
      <w:r>
        <w:rPr>
          <w:rFonts w:ascii="Inter" w:hAnsi="Inter" w:cs="Inter"/>
          <w:b/>
          <w:i w:val="0"/>
          <w:color w:val="1C1E2E"/>
          <w:sz w:val="22"/>
        </w:rPr>
        <w:t>defence with the top grade → peer review and publication in an indexed journal → refereed paper at an international conference</w:t>
      </w:r>
      <w:r>
        <w:rPr>
          <w:rFonts w:ascii="Inter" w:hAnsi="Inter" w:cs="Inter"/>
          <w:b w:val="0"/>
          <w:i w:val="0"/>
          <w:color w:val="1C1E2E"/>
          <w:sz w:val="22"/>
        </w:rPr>
        <w:t>. It is the most direct evidence of independent research capacity that a doctoral application can carry.</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Stage</w:t>
            </w:r>
          </w:p>
        </w:tc>
        <w:tc>
          <w:tcPr>
            <w:tcW w:type="dxa" w:w="2412"/>
            <w:shd w:val="clear" w:color="auto" w:fill="EEF2FD"/>
          </w:tcPr>
          <w:p>
            <w:pPr>
              <w:spacing w:after="40"/>
            </w:pPr>
            <w:r/>
            <w:r>
              <w:rPr>
                <w:rFonts w:ascii="Inter" w:hAnsi="Inter" w:cs="Inter"/>
                <w:b/>
                <w:i w:val="0"/>
                <w:color w:val="22307C"/>
                <w:sz w:val="19"/>
              </w:rPr>
              <w:t>Milestone</w:t>
            </w:r>
          </w:p>
        </w:tc>
        <w:tc>
          <w:tcPr>
            <w:tcW w:type="dxa" w:w="2412"/>
            <w:shd w:val="clear" w:color="auto" w:fill="EEF2FD"/>
          </w:tcPr>
          <w:p>
            <w:pPr>
              <w:spacing w:after="40"/>
            </w:pPr>
            <w:r/>
            <w:r>
              <w:rPr>
                <w:rFonts w:ascii="Inter" w:hAnsi="Inter" w:cs="Inter"/>
                <w:b/>
                <w:i w:val="0"/>
                <w:color w:val="22307C"/>
                <w:sz w:val="19"/>
              </w:rPr>
              <w:t>Date</w:t>
            </w:r>
          </w:p>
        </w:tc>
        <w:tc>
          <w:tcPr>
            <w:tcW w:type="dxa" w:w="2412"/>
            <w:shd w:val="clear" w:color="auto" w:fill="EEF2FD"/>
          </w:tcPr>
          <w:p>
            <w:pPr>
              <w:spacing w:after="40"/>
            </w:pPr>
            <w:r/>
            <w:r>
              <w:rPr>
                <w:rFonts w:ascii="Inter" w:hAnsi="Inter" w:cs="Inter"/>
                <w:b/>
                <w:i w:val="0"/>
                <w:color w:val="22307C"/>
                <w:sz w:val="19"/>
              </w:rPr>
              <w:t>Doc.</w:t>
            </w:r>
          </w:p>
        </w:tc>
      </w:tr>
      <w:tr>
        <w:tc>
          <w:tcPr>
            <w:tcW w:type="dxa" w:w="2412"/>
          </w:tcPr>
          <w:p>
            <w:pPr>
              <w:spacing w:after="40"/>
            </w:pPr>
            <w:r/>
            <w:r>
              <w:rPr>
                <w:rFonts w:ascii="Inter" w:hAnsi="Inter" w:cs="Inter"/>
                <w:b/>
                <w:i w:val="0"/>
                <w:color w:val="1C1E2E"/>
                <w:sz w:val="19"/>
              </w:rPr>
              <w:t>1 · Defence</w:t>
            </w:r>
          </w:p>
        </w:tc>
        <w:tc>
          <w:tcPr>
            <w:tcW w:type="dxa" w:w="2412"/>
          </w:tcPr>
          <w:p>
            <w:pPr>
              <w:spacing w:after="40"/>
            </w:pPr>
            <w:r/>
            <w:r>
              <w:rPr>
                <w:rFonts w:ascii="Inter" w:hAnsi="Inter" w:cs="Inter"/>
                <w:b w:val="0"/>
                <w:i w:val="0"/>
                <w:color w:val="1C1E2E"/>
                <w:sz w:val="19"/>
              </w:rPr>
              <w:t xml:space="preserve">Final-year dissertation graded </w:t>
            </w:r>
            <w:r>
              <w:rPr>
                <w:rFonts w:ascii="Inter" w:hAnsi="Inter" w:cs="Inter"/>
                <w:b/>
                <w:i w:val="0"/>
                <w:color w:val="1C1E2E"/>
                <w:sz w:val="19"/>
              </w:rPr>
              <w:t>20/20 — Sobresaliente</w:t>
            </w:r>
            <w:r>
              <w:rPr>
                <w:rFonts w:ascii="Inter" w:hAnsi="Inter" w:cs="Inter"/>
                <w:b w:val="0"/>
                <w:i w:val="0"/>
                <w:color w:val="1C1E2E"/>
                <w:sz w:val="19"/>
              </w:rPr>
              <w:t xml:space="preserve">; </w:t>
            </w:r>
            <w:r>
              <w:rPr>
                <w:rFonts w:ascii="Inter" w:hAnsi="Inter" w:cs="Inter"/>
                <w:b/>
                <w:i w:val="0"/>
                <w:color w:val="1C1E2E"/>
                <w:sz w:val="19"/>
              </w:rPr>
              <w:t>Diploma of Honour</w:t>
            </w:r>
            <w:r>
              <w:rPr>
                <w:rFonts w:ascii="Inter" w:hAnsi="Inter" w:cs="Inter"/>
                <w:b w:val="0"/>
                <w:i w:val="0"/>
                <w:color w:val="1C1E2E"/>
                <w:sz w:val="19"/>
              </w:rPr>
              <w:t xml:space="preserve"> awarded by the Rector of Universidad de Los Andes</w:t>
            </w:r>
          </w:p>
        </w:tc>
        <w:tc>
          <w:tcPr>
            <w:tcW w:type="dxa" w:w="2412"/>
          </w:tcPr>
          <w:p>
            <w:pPr>
              <w:spacing w:after="40"/>
            </w:pPr>
            <w:r/>
            <w:r>
              <w:rPr>
                <w:rFonts w:ascii="Inter" w:hAnsi="Inter" w:cs="Inter"/>
                <w:b w:val="0"/>
                <w:i w:val="0"/>
                <w:color w:val="1C1E2E"/>
                <w:sz w:val="19"/>
              </w:rPr>
              <w:t>15 Nov 2004</w:t>
            </w:r>
          </w:p>
        </w:tc>
        <w:tc>
          <w:tcPr>
            <w:tcW w:type="dxa" w:w="2412"/>
          </w:tcPr>
          <w:p>
            <w:pPr>
              <w:spacing w:after="40"/>
            </w:pPr>
            <w:r/>
            <w:r>
              <w:rPr>
                <w:rFonts w:ascii="Inter" w:hAnsi="Inter" w:cs="Inter"/>
                <w:b/>
                <w:i w:val="0"/>
                <w:color w:val="1C1E2E"/>
                <w:sz w:val="19"/>
              </w:rPr>
              <w:t>[DOC-07]</w:t>
            </w:r>
          </w:p>
        </w:tc>
      </w:tr>
      <w:tr>
        <w:tc>
          <w:tcPr>
            <w:tcW w:type="dxa" w:w="2412"/>
          </w:tcPr>
          <w:p>
            <w:pPr>
              <w:spacing w:after="40"/>
            </w:pPr>
            <w:r/>
            <w:r>
              <w:rPr>
                <w:rFonts w:ascii="Inter" w:hAnsi="Inter" w:cs="Inter"/>
                <w:b/>
                <w:i w:val="0"/>
                <w:color w:val="1C1E2E"/>
                <w:sz w:val="19"/>
              </w:rPr>
              <w:t>2 · Peer review</w:t>
            </w:r>
          </w:p>
        </w:tc>
        <w:tc>
          <w:tcPr>
            <w:tcW w:type="dxa" w:w="2412"/>
          </w:tcPr>
          <w:p>
            <w:pPr>
              <w:spacing w:after="40"/>
            </w:pPr>
            <w:r/>
            <w:r>
              <w:rPr>
                <w:rFonts w:ascii="Inter" w:hAnsi="Inter" w:cs="Inter"/>
                <w:b w:val="0"/>
                <w:i w:val="0"/>
                <w:color w:val="1C1E2E"/>
                <w:sz w:val="19"/>
              </w:rPr>
              <w:t xml:space="preserve">Article received (13-06-2004) and </w:t>
            </w:r>
            <w:r>
              <w:rPr>
                <w:rFonts w:ascii="Inter" w:hAnsi="Inter" w:cs="Inter"/>
                <w:b/>
                <w:i w:val="0"/>
                <w:color w:val="1C1E2E"/>
                <w:sz w:val="19"/>
              </w:rPr>
              <w:t>accepted after peer review</w:t>
            </w:r>
            <w:r>
              <w:rPr>
                <w:rFonts w:ascii="Inter" w:hAnsi="Inter" w:cs="Inter"/>
                <w:b w:val="0"/>
                <w:i w:val="0"/>
                <w:color w:val="1C1E2E"/>
                <w:sz w:val="19"/>
              </w:rPr>
              <w:t xml:space="preserve"> (19-07-2004) by </w:t>
            </w:r>
            <w:r>
              <w:rPr>
                <w:rFonts w:ascii="Inter" w:hAnsi="Inter" w:cs="Inter"/>
                <w:b w:val="0"/>
                <w:i/>
                <w:color w:val="1C1E2E"/>
                <w:sz w:val="19"/>
              </w:rPr>
              <w:t>Kaleidoscopio</w:t>
            </w:r>
            <w:r>
              <w:rPr>
                <w:rFonts w:ascii="Inter" w:hAnsi="Inter" w:cs="Inter"/>
                <w:b w:val="0"/>
                <w:i w:val="0"/>
                <w:color w:val="1C1E2E"/>
                <w:sz w:val="19"/>
              </w:rPr>
              <w:t xml:space="preserve">, refereed journal of Education, Humanities and Arts of </w:t>
            </w:r>
            <w:r>
              <w:rPr>
                <w:rFonts w:ascii="Inter" w:hAnsi="Inter" w:cs="Inter"/>
                <w:b/>
                <w:i w:val="0"/>
                <w:color w:val="1C1E2E"/>
                <w:sz w:val="19"/>
              </w:rPr>
              <w:t>Universidad Nacional Experimental de Guayana (UNEG)</w:t>
            </w:r>
          </w:p>
        </w:tc>
        <w:tc>
          <w:tcPr>
            <w:tcW w:type="dxa" w:w="2412"/>
          </w:tcPr>
          <w:p>
            <w:pPr>
              <w:spacing w:after="40"/>
            </w:pPr>
            <w:r/>
            <w:r>
              <w:rPr>
                <w:rFonts w:ascii="Inter" w:hAnsi="Inter" w:cs="Inter"/>
                <w:b w:val="0"/>
                <w:i w:val="0"/>
                <w:color w:val="1C1E2E"/>
                <w:sz w:val="19"/>
              </w:rPr>
              <w:t>2004–2005</w:t>
            </w:r>
          </w:p>
        </w:tc>
        <w:tc>
          <w:tcPr>
            <w:tcW w:type="dxa" w:w="2412"/>
          </w:tcPr>
          <w:p>
            <w:pPr>
              <w:spacing w:after="40"/>
            </w:pPr>
            <w:r/>
            <w:r>
              <w:rPr>
                <w:rFonts w:ascii="Inter" w:hAnsi="Inter" w:cs="Inter"/>
                <w:b/>
                <w:i w:val="0"/>
                <w:color w:val="1C1E2E"/>
                <w:sz w:val="19"/>
              </w:rPr>
              <w:t>[DOC-19]</w:t>
            </w:r>
          </w:p>
        </w:tc>
      </w:tr>
      <w:tr>
        <w:tc>
          <w:tcPr>
            <w:tcW w:type="dxa" w:w="2412"/>
          </w:tcPr>
          <w:p>
            <w:pPr>
              <w:spacing w:after="40"/>
            </w:pPr>
            <w:r/>
            <w:r>
              <w:rPr>
                <w:rFonts w:ascii="Inter" w:hAnsi="Inter" w:cs="Inter"/>
                <w:b/>
                <w:i w:val="0"/>
                <w:color w:val="1C1E2E"/>
                <w:sz w:val="19"/>
              </w:rPr>
              <w:t>3 · Publication</w:t>
            </w:r>
          </w:p>
        </w:tc>
        <w:tc>
          <w:tcPr>
            <w:tcW w:type="dxa" w:w="2412"/>
          </w:tcPr>
          <w:p>
            <w:pPr>
              <w:spacing w:after="40"/>
            </w:pPr>
            <w:r/>
            <w:r>
              <w:rPr>
                <w:rFonts w:ascii="Inter" w:hAnsi="Inter" w:cs="Inter"/>
                <w:b w:val="0"/>
                <w:i w:val="0"/>
                <w:color w:val="1C1E2E"/>
                <w:sz w:val="19"/>
              </w:rPr>
              <w:t xml:space="preserve">Published in </w:t>
            </w:r>
            <w:r>
              <w:rPr>
                <w:rFonts w:ascii="Inter" w:hAnsi="Inter" w:cs="Inter"/>
                <w:b/>
                <w:i w:val="0"/>
                <w:color w:val="1C1E2E"/>
                <w:sz w:val="19"/>
              </w:rPr>
              <w:t>Kaleidoscopio, vol. 2, no. 3 (Jan–Jun 2005), pp. 51–56</w:t>
            </w:r>
            <w:r>
              <w:rPr>
                <w:rFonts w:ascii="Inter" w:hAnsi="Inter" w:cs="Inter"/>
                <w:b w:val="0"/>
                <w:i w:val="0"/>
                <w:color w:val="1C1E2E"/>
                <w:sz w:val="19"/>
              </w:rPr>
              <w:t xml:space="preserve">, with a bilingual Spanish/English abstract. ISSN 1690-6054. </w:t>
            </w:r>
            <w:r>
              <w:rPr>
                <w:rFonts w:ascii="Inter" w:hAnsi="Inter" w:cs="Inter"/>
                <w:b/>
                <w:i w:val="0"/>
                <w:color w:val="1C1E2E"/>
                <w:sz w:val="19"/>
              </w:rPr>
              <w:t>Indexed in CLASE (UNAM)</w:t>
            </w:r>
          </w:p>
        </w:tc>
        <w:tc>
          <w:tcPr>
            <w:tcW w:type="dxa" w:w="2412"/>
          </w:tcPr>
          <w:p>
            <w:pPr>
              <w:spacing w:after="40"/>
            </w:pPr>
            <w:r/>
            <w:r>
              <w:rPr>
                <w:rFonts w:ascii="Inter" w:hAnsi="Inter" w:cs="Inter"/>
                <w:b w:val="0"/>
                <w:i w:val="0"/>
                <w:color w:val="1C1E2E"/>
                <w:sz w:val="19"/>
              </w:rPr>
              <w:t>2005</w:t>
            </w:r>
          </w:p>
        </w:tc>
        <w:tc>
          <w:tcPr>
            <w:tcW w:type="dxa" w:w="2412"/>
          </w:tcPr>
          <w:p>
            <w:pPr>
              <w:spacing w:after="40"/>
            </w:pPr>
            <w:r/>
            <w:r>
              <w:rPr>
                <w:rFonts w:ascii="Inter" w:hAnsi="Inter" w:cs="Inter"/>
                <w:b/>
                <w:i w:val="0"/>
                <w:color w:val="1C1E2E"/>
                <w:sz w:val="19"/>
              </w:rPr>
              <w:t>[DOC-19]</w:t>
            </w:r>
          </w:p>
        </w:tc>
      </w:tr>
      <w:tr>
        <w:tc>
          <w:tcPr>
            <w:tcW w:type="dxa" w:w="2412"/>
          </w:tcPr>
          <w:p>
            <w:pPr>
              <w:spacing w:after="40"/>
            </w:pPr>
            <w:r/>
            <w:r>
              <w:rPr>
                <w:rFonts w:ascii="Inter" w:hAnsi="Inter" w:cs="Inter"/>
                <w:b/>
                <w:i w:val="0"/>
                <w:color w:val="1C1E2E"/>
                <w:sz w:val="19"/>
              </w:rPr>
              <w:t>4 · International conference</w:t>
            </w:r>
          </w:p>
        </w:tc>
        <w:tc>
          <w:tcPr>
            <w:tcW w:type="dxa" w:w="2412"/>
          </w:tcPr>
          <w:p>
            <w:pPr>
              <w:spacing w:after="40"/>
            </w:pPr>
            <w:r/>
            <w:r>
              <w:rPr>
                <w:rFonts w:ascii="Inter" w:hAnsi="Inter" w:cs="Inter"/>
                <w:b w:val="0"/>
                <w:i w:val="0"/>
                <w:color w:val="1C1E2E"/>
                <w:sz w:val="19"/>
              </w:rPr>
              <w:t xml:space="preserve">Abstract </w:t>
            </w:r>
            <w:r>
              <w:rPr>
                <w:rFonts w:ascii="Inter" w:hAnsi="Inter" w:cs="Inter"/>
                <w:b/>
                <w:i w:val="0"/>
                <w:color w:val="1C1E2E"/>
                <w:sz w:val="19"/>
              </w:rPr>
              <w:t>accepted by the refereeing committee</w:t>
            </w:r>
            <w:r>
              <w:rPr>
                <w:rFonts w:ascii="Inter" w:hAnsi="Inter" w:cs="Inter"/>
                <w:b w:val="0"/>
                <w:i w:val="0"/>
                <w:color w:val="1C1E2E"/>
                <w:sz w:val="19"/>
              </w:rPr>
              <w:t xml:space="preserve"> and paper presented at the </w:t>
            </w:r>
            <w:r>
              <w:rPr>
                <w:rFonts w:ascii="Inter" w:hAnsi="Inter" w:cs="Inter"/>
                <w:b/>
                <w:i w:val="0"/>
                <w:color w:val="1C1E2E"/>
                <w:sz w:val="19"/>
              </w:rPr>
              <w:t>2nd International Conference on Higher Education, "Trends and Perspectives of Higher Education in Latin America / in the 21st Century"</w:t>
            </w:r>
            <w:r>
              <w:rPr>
                <w:rFonts w:ascii="Inter" w:hAnsi="Inter" w:cs="Inter"/>
                <w:b w:val="0"/>
                <w:i w:val="0"/>
                <w:color w:val="1C1E2E"/>
                <w:sz w:val="19"/>
              </w:rPr>
              <w:t xml:space="preserve">, Association of Educators of Latin America and the Caribbean + Universidad de Oriente, </w:t>
            </w:r>
            <w:r>
              <w:rPr>
                <w:rFonts w:ascii="Inter" w:hAnsi="Inter" w:cs="Inter"/>
                <w:b/>
                <w:i w:val="0"/>
                <w:color w:val="1C1E2E"/>
                <w:sz w:val="19"/>
              </w:rPr>
              <w:t>Cumaná, 31 Jul – 2 Aug 2008</w:t>
            </w:r>
            <w:r>
              <w:rPr>
                <w:rFonts w:ascii="Inter" w:hAnsi="Inter" w:cs="Inter"/>
                <w:b w:val="0"/>
                <w:i w:val="0"/>
                <w:color w:val="1C1E2E"/>
                <w:sz w:val="19"/>
              </w:rPr>
              <w:t xml:space="preserve"> (ref. CIES/P 048)</w:t>
            </w:r>
          </w:p>
        </w:tc>
        <w:tc>
          <w:tcPr>
            <w:tcW w:type="dxa" w:w="2412"/>
          </w:tcPr>
          <w:p>
            <w:pPr>
              <w:spacing w:after="40"/>
            </w:pPr>
            <w:r/>
            <w:r>
              <w:rPr>
                <w:rFonts w:ascii="Inter" w:hAnsi="Inter" w:cs="Inter"/>
                <w:b w:val="0"/>
                <w:i w:val="0"/>
                <w:color w:val="1C1E2E"/>
                <w:sz w:val="19"/>
              </w:rPr>
              <w:t>2008</w:t>
            </w:r>
          </w:p>
        </w:tc>
        <w:tc>
          <w:tcPr>
            <w:tcW w:type="dxa" w:w="2412"/>
          </w:tcPr>
          <w:p>
            <w:pPr>
              <w:spacing w:after="40"/>
            </w:pPr>
            <w:r/>
            <w:r>
              <w:rPr>
                <w:rFonts w:ascii="Inter" w:hAnsi="Inter" w:cs="Inter"/>
                <w:b/>
                <w:i w:val="0"/>
                <w:color w:val="1C1E2E"/>
                <w:sz w:val="19"/>
              </w:rPr>
              <w:t>[DOC-24]</w:t>
            </w:r>
          </w:p>
        </w:tc>
      </w:tr>
    </w:tbl>
    <w:p/>
    <w:p>
      <w:r>
        <w:rPr>
          <w:rFonts w:ascii="Inter" w:hAnsi="Inter" w:cs="Inter"/>
          <w:b/>
          <w:i w:val="0"/>
          <w:color w:val="1C1E2E"/>
          <w:sz w:val="22"/>
        </w:rPr>
        <w:t>Full citation:</w:t>
      </w:r>
    </w:p>
    <w:p>
      <w:pPr>
        <w:pBdr>
          <w:left w:val="single" w:sz="18" w:space="8" w:color="9A5B00"/>
        </w:pBdr>
        <w:spacing w:before="120" w:after="200"/>
        <w:ind w:left="317"/>
      </w:pPr>
      <w:r>
        <w:rPr>
          <w:rFonts w:ascii="Inter" w:hAnsi="Inter" w:cs="Inter"/>
          <w:b w:val="0"/>
          <w:i w:val="0"/>
          <w:color w:val="5B5F77"/>
          <w:sz w:val="21"/>
        </w:rPr>
        <w:t xml:space="preserve">Eslava Graterol, A. Z. (2005). Estudio sobre el perfil del alumno en Educación Mención Inglés de la ULA-Táchira. </w:t>
      </w:r>
      <w:r>
        <w:rPr>
          <w:rFonts w:ascii="Inter" w:hAnsi="Inter" w:cs="Inter"/>
          <w:b w:val="0"/>
          <w:i/>
          <w:color w:val="5B5F77"/>
          <w:sz w:val="21"/>
        </w:rPr>
        <w:t>Kaleidoscopio, 2</w:t>
      </w:r>
      <w:r>
        <w:rPr>
          <w:rFonts w:ascii="Inter" w:hAnsi="Inter" w:cs="Inter"/>
          <w:b w:val="0"/>
          <w:i w:val="0"/>
          <w:color w:val="5B5F77"/>
          <w:sz w:val="21"/>
        </w:rPr>
        <w:t xml:space="preserve">(3), 51–56. Universidad Nacional Experimental de Guayana. ISSN 1690-6054. Indexed in </w:t>
      </w:r>
      <w:r>
        <w:rPr>
          <w:rFonts w:ascii="Inter" w:hAnsi="Inter" w:cs="Inter"/>
          <w:b/>
          <w:i w:val="0"/>
          <w:color w:val="5B5F77"/>
          <w:sz w:val="21"/>
        </w:rPr>
        <w:t>CLASE (UNAM)</w:t>
      </w:r>
      <w:r>
        <w:rPr>
          <w:rFonts w:ascii="Inter" w:hAnsi="Inter" w:cs="Inter"/>
          <w:b w:val="0"/>
          <w:i w:val="0"/>
          <w:color w:val="5B5F77"/>
          <w:sz w:val="21"/>
        </w:rPr>
        <w:t>. https://hdl.handle.net/20.500.14330/CLA01000260594 · https://ru.dgb.unam.mx/items/94cebd9c-65de-4d95-b948-637ae2fcdd43/full</w:t>
      </w:r>
    </w:p>
    <w:p>
      <w:pPr>
        <w:pBdr>
          <w:left w:val="single" w:sz="18" w:space="8" w:color="9A5B00"/>
        </w:pBdr>
        <w:spacing w:before="120" w:after="200"/>
        <w:ind w:left="317"/>
      </w:pPr>
      <w:r>
        <w:rPr>
          <w:rFonts w:ascii="Inter" w:hAnsi="Inter" w:cs="Inter"/>
          <w:b w:val="0"/>
          <w:i w:val="0"/>
          <w:color w:val="5B5F77"/>
          <w:sz w:val="21"/>
        </w:rPr>
        <w:t xml:space="preserve">ℹ️ </w:t>
      </w:r>
      <w:r>
        <w:rPr>
          <w:rFonts w:ascii="Inter" w:hAnsi="Inter" w:cs="Inter"/>
          <w:b/>
          <w:i w:val="0"/>
          <w:color w:val="5B5F77"/>
          <w:sz w:val="21"/>
        </w:rPr>
        <w:t>*Kaleidoscopio* ceased publication in 2015</w:t>
      </w:r>
      <w:r>
        <w:rPr>
          <w:rFonts w:ascii="Inter" w:hAnsi="Inter" w:cs="Inter"/>
          <w:b w:val="0"/>
          <w:i w:val="0"/>
          <w:color w:val="5B5F77"/>
          <w:sz w:val="21"/>
        </w:rPr>
        <w:t xml:space="preserve">, so the journal no longer has a site of its own. The </w:t>
      </w:r>
      <w:r>
        <w:rPr>
          <w:rFonts w:ascii="Inter" w:hAnsi="Inter" w:cs="Inter"/>
          <w:b/>
          <w:i w:val="0"/>
          <w:color w:val="5B5F77"/>
          <w:sz w:val="21"/>
        </w:rPr>
        <w:t>CLASE (UNAM) indexed record</w:t>
      </w:r>
      <w:r>
        <w:rPr>
          <w:rFonts w:ascii="Inter" w:hAnsi="Inter" w:cs="Inter"/>
          <w:b w:val="0"/>
          <w:i w:val="0"/>
          <w:color w:val="5B5F77"/>
          <w:sz w:val="21"/>
        </w:rPr>
        <w:t xml:space="preserve"> is the permanent evidence of publication and peer review: always cite it alongside the ISSN and attach the article pages (DOC-19). Stating this up front prevents anyone reading the absence of a journal website as an unverifiable reference.</w:t>
      </w:r>
    </w:p>
    <w:p>
      <w:r>
        <w:rPr>
          <w:rFonts w:ascii="Inter" w:hAnsi="Inter" w:cs="Inter"/>
          <w:b/>
          <w:i w:val="0"/>
          <w:color w:val="1C1E2E"/>
          <w:sz w:val="22"/>
        </w:rPr>
        <w:t>Relevance to the thesis proposal.</w:t>
      </w:r>
      <w:r>
        <w:rPr>
          <w:rFonts w:ascii="Inter" w:hAnsi="Inter" w:cs="Inter"/>
          <w:b w:val="0"/>
          <w:i w:val="0"/>
          <w:color w:val="1C1E2E"/>
          <w:sz w:val="22"/>
        </w:rPr>
        <w:t xml:space="preserve"> The object of that study — the graduate's profile measured against the teaching functions and linguistic competences set out in the curriculum reform — is, at bottom, the same problem MLLDE addresses twenty years later: </w:t>
      </w:r>
      <w:r>
        <w:rPr>
          <w:rFonts w:ascii="Inter" w:hAnsi="Inter" w:cs="Inter"/>
          <w:b/>
          <w:i w:val="0"/>
          <w:color w:val="1C1E2E"/>
          <w:sz w:val="22"/>
        </w:rPr>
        <w:t>how to align a curriculum design with a verifiable competence framework</w:t>
      </w:r>
      <w:r>
        <w:rPr>
          <w:rFonts w:ascii="Inter" w:hAnsi="Inter" w:cs="Inter"/>
          <w:b w:val="0"/>
          <w:i w:val="0"/>
          <w:color w:val="1C1E2E"/>
          <w:sz w:val="22"/>
        </w:rPr>
        <w:t>. The continuity of the research line is real, not rhetorical.</w:t>
      </w:r>
    </w:p>
    <w:p>
      <w:pPr>
        <w:spacing w:before="320" w:after="120"/>
      </w:pPr>
      <w:r>
        <w:rPr>
          <w:rFonts w:ascii="Fraunces" w:hAnsi="Fraunces" w:cs="Fraunces"/>
          <w:b/>
          <w:i w:val="0"/>
          <w:color w:val="22307C"/>
          <w:sz w:val="32"/>
        </w:rPr>
        <w:t>5.2 · Acknowledgement</w:t>
      </w:r>
    </w:p>
    <w:p>
      <w:pPr>
        <w:pBdr>
          <w:left w:val="single" w:sz="18" w:space="8" w:color="9A5B00"/>
        </w:pBdr>
        <w:spacing w:before="120" w:after="200"/>
        <w:ind w:left="317"/>
      </w:pPr>
      <w:r>
        <w:rPr>
          <w:rFonts w:ascii="Inter" w:hAnsi="Inter" w:cs="Inter"/>
          <w:b w:val="0"/>
          <w:i w:val="0"/>
          <w:color w:val="5B5F77"/>
          <w:sz w:val="21"/>
        </w:rPr>
        <w:t xml:space="preserve">Sotelo-Casas et al. (2019). </w:t>
      </w:r>
      <w:r>
        <w:rPr>
          <w:rFonts w:ascii="Inter" w:hAnsi="Inter" w:cs="Inter"/>
          <w:b w:val="0"/>
          <w:i/>
          <w:color w:val="5B5F77"/>
          <w:sz w:val="21"/>
        </w:rPr>
        <w:t>Estuarine, Coastal and Shelf Science</w:t>
      </w:r>
      <w:r>
        <w:rPr>
          <w:rFonts w:ascii="Inter" w:hAnsi="Inter" w:cs="Inter"/>
          <w:b w:val="0"/>
          <w:i w:val="0"/>
          <w:color w:val="5B5F77"/>
          <w:sz w:val="21"/>
        </w:rPr>
        <w:t xml:space="preserve"> (Elsevier), p. 8 — for the manuscript's English and scientific content. </w:t>
      </w:r>
      <w:r>
        <w:rPr>
          <w:rFonts w:ascii="Inter" w:hAnsi="Inter" w:cs="Inter"/>
          <w:b/>
          <w:i w:val="0"/>
          <w:color w:val="5B5F77"/>
          <w:sz w:val="21"/>
        </w:rPr>
        <w:t>[DOC-14]</w:t>
      </w:r>
    </w:p>
    <w:p>
      <w:pPr>
        <w:spacing w:before="320" w:after="120"/>
      </w:pPr>
      <w:r>
        <w:rPr>
          <w:rFonts w:ascii="Fraunces" w:hAnsi="Fraunces" w:cs="Fraunces"/>
          <w:b/>
          <w:i w:val="0"/>
          <w:color w:val="22307C"/>
          <w:sz w:val="32"/>
        </w:rPr>
        <w:t>5.3 · Professional dissemination</w:t>
      </w:r>
    </w:p>
    <w:p>
      <w:pPr>
        <w:pStyle w:val="ListBullet"/>
        <w:spacing w:after="60"/>
        <w:ind w:left="403"/>
      </w:pPr>
      <w:r>
        <w:rPr>
          <w:rFonts w:ascii="Inter" w:hAnsi="Inter" w:cs="Inter"/>
          <w:b w:val="0"/>
          <w:i w:val="0"/>
          <w:color w:val="1C1E2E"/>
          <w:sz w:val="22"/>
        </w:rPr>
        <w:t>Six-area EdTech portfolio (video, gamification, course design, interactive tools, virtual training, research).</w:t>
      </w:r>
    </w:p>
    <w:p>
      <w:pPr>
        <w:pStyle w:val="ListBullet"/>
        <w:spacing w:after="60"/>
        <w:ind w:left="403"/>
      </w:pPr>
      <w:r>
        <w:rPr>
          <w:rFonts w:ascii="Inter" w:hAnsi="Inter" w:cs="Inter"/>
          <w:b w:val="0"/>
          <w:i w:val="0"/>
          <w:color w:val="1C1E2E"/>
          <w:sz w:val="22"/>
        </w:rPr>
        <w:t>Interactive corpus data book on metadiscourse (research-results visualisation in applied linguistics), published in the research portfolio.</w:t>
      </w:r>
    </w:p>
    <w:p>
      <w:pPr>
        <w:pStyle w:val="ListBullet"/>
        <w:spacing w:after="60"/>
        <w:ind w:left="403"/>
      </w:pPr>
      <w:r>
        <w:rPr>
          <w:rFonts w:ascii="Inter" w:hAnsi="Inter" w:cs="Inter"/>
          <w:b w:val="0"/>
          <w:i w:val="0"/>
          <w:color w:val="1C1E2E"/>
          <w:sz w:val="22"/>
        </w:rPr>
        <w:t>Professional podcast on Spotify and a YouTube channel on learning design and academic writing.</w:t>
      </w:r>
    </w:p>
    <w:p>
      <w:pPr>
        <w:pBdr>
          <w:bottom w:val="single" w:sz="6" w:space="1" w:color="E6E8F2"/>
        </w:pBdr>
      </w:pPr>
    </w:p>
    <w:p>
      <w:pPr>
        <w:spacing w:before="320" w:after="120"/>
      </w:pPr>
      <w:r>
        <w:rPr>
          <w:rFonts w:ascii="Fraunces" w:hAnsi="Fraunces" w:cs="Fraunces"/>
          <w:b/>
          <w:i w:val="0"/>
          <w:color w:val="22307C"/>
          <w:sz w:val="42"/>
        </w:rPr>
        <w:t>6. Complementary training and certifications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Certification</w:t>
            </w:r>
          </w:p>
        </w:tc>
        <w:tc>
          <w:tcPr>
            <w:tcW w:type="dxa" w:w="2412"/>
            <w:shd w:val="clear" w:color="auto" w:fill="EEF2FD"/>
          </w:tcPr>
          <w:p>
            <w:pPr>
              <w:spacing w:after="40"/>
            </w:pPr>
            <w:r/>
            <w:r>
              <w:rPr>
                <w:rFonts w:ascii="Inter" w:hAnsi="Inter" w:cs="Inter"/>
                <w:b/>
                <w:i w:val="0"/>
                <w:color w:val="22307C"/>
                <w:sz w:val="19"/>
              </w:rPr>
              <w:t>Body</w:t>
            </w:r>
          </w:p>
        </w:tc>
        <w:tc>
          <w:tcPr>
            <w:tcW w:type="dxa" w:w="2412"/>
            <w:shd w:val="clear" w:color="auto" w:fill="EEF2FD"/>
          </w:tcPr>
          <w:p>
            <w:pPr>
              <w:spacing w:after="40"/>
            </w:pPr>
            <w:r/>
            <w:r>
              <w:rPr>
                <w:rFonts w:ascii="Inter" w:hAnsi="Inter" w:cs="Inter"/>
                <w:b/>
                <w:i w:val="0"/>
                <w:color w:val="22307C"/>
                <w:sz w:val="19"/>
              </w:rPr>
              <w:t>Date</w:t>
            </w:r>
          </w:p>
        </w:tc>
        <w:tc>
          <w:tcPr>
            <w:tcW w:type="dxa" w:w="2412"/>
            <w:shd w:val="clear" w:color="auto" w:fill="EEF2FD"/>
          </w:tcPr>
          <w:p>
            <w:pPr>
              <w:spacing w:after="40"/>
            </w:pPr>
            <w:r/>
            <w:r>
              <w:rPr>
                <w:rFonts w:ascii="Inter" w:hAnsi="Inter" w:cs="Inter"/>
                <w:b/>
                <w:i w:val="0"/>
                <w:color w:val="22307C"/>
                <w:sz w:val="19"/>
              </w:rPr>
              <w:t>Doc.</w:t>
            </w:r>
          </w:p>
        </w:tc>
      </w:tr>
      <w:tr>
        <w:tc>
          <w:tcPr>
            <w:tcW w:type="dxa" w:w="2412"/>
          </w:tcPr>
          <w:p>
            <w:pPr>
              <w:spacing w:after="40"/>
            </w:pPr>
            <w:r/>
            <w:r>
              <w:rPr>
                <w:rFonts w:ascii="Inter" w:hAnsi="Inter" w:cs="Inter"/>
                <w:b w:val="0"/>
                <w:i w:val="0"/>
                <w:color w:val="1C1E2E"/>
                <w:sz w:val="19"/>
              </w:rPr>
              <w:t>Instructional Design: Course Planning and Pedagogy</w:t>
            </w:r>
          </w:p>
        </w:tc>
        <w:tc>
          <w:tcPr>
            <w:tcW w:type="dxa" w:w="2412"/>
          </w:tcPr>
          <w:p>
            <w:pPr>
              <w:spacing w:after="40"/>
            </w:pPr>
            <w:r/>
            <w:r>
              <w:rPr>
                <w:rFonts w:ascii="Inter" w:hAnsi="Inter" w:cs="Inter"/>
                <w:b w:val="0"/>
                <w:i w:val="0"/>
                <w:color w:val="1C1E2E"/>
                <w:sz w:val="19"/>
              </w:rPr>
              <w:t>University of California, Irvine (DCE)</w:t>
            </w:r>
          </w:p>
        </w:tc>
        <w:tc>
          <w:tcPr>
            <w:tcW w:type="dxa" w:w="2412"/>
          </w:tcPr>
          <w:p>
            <w:pPr>
              <w:spacing w:after="40"/>
            </w:pPr>
            <w:r/>
            <w:r>
              <w:rPr>
                <w:rFonts w:ascii="Inter" w:hAnsi="Inter" w:cs="Inter"/>
                <w:b w:val="0"/>
                <w:i w:val="0"/>
                <w:color w:val="1C1E2E"/>
                <w:sz w:val="19"/>
              </w:rPr>
              <w:t>Jan 2025</w:t>
            </w:r>
          </w:p>
        </w:tc>
        <w:tc>
          <w:tcPr>
            <w:tcW w:type="dxa" w:w="2412"/>
          </w:tcPr>
          <w:p>
            <w:pPr>
              <w:spacing w:after="40"/>
            </w:pPr>
            <w:r/>
            <w:r>
              <w:rPr>
                <w:rFonts w:ascii="Inter" w:hAnsi="Inter" w:cs="Inter"/>
                <w:b w:val="0"/>
                <w:i w:val="0"/>
                <w:color w:val="1C1E2E"/>
                <w:sz w:val="19"/>
              </w:rPr>
              <w:t>[DOC-20]</w:t>
            </w:r>
          </w:p>
        </w:tc>
      </w:tr>
      <w:tr>
        <w:tc>
          <w:tcPr>
            <w:tcW w:type="dxa" w:w="2412"/>
          </w:tcPr>
          <w:p>
            <w:pPr>
              <w:spacing w:after="40"/>
            </w:pPr>
            <w:r/>
            <w:r>
              <w:rPr>
                <w:rFonts w:ascii="Inter" w:hAnsi="Inter" w:cs="Inter"/>
                <w:b w:val="0"/>
                <w:i w:val="0"/>
                <w:color w:val="1C1E2E"/>
                <w:sz w:val="19"/>
              </w:rPr>
              <w:t>Instructional Design Fundamentals</w:t>
            </w:r>
          </w:p>
        </w:tc>
        <w:tc>
          <w:tcPr>
            <w:tcW w:type="dxa" w:w="2412"/>
          </w:tcPr>
          <w:p>
            <w:pPr>
              <w:spacing w:after="40"/>
            </w:pPr>
            <w:r/>
            <w:r>
              <w:rPr>
                <w:rFonts w:ascii="Inter" w:hAnsi="Inter" w:cs="Inter"/>
                <w:b w:val="0"/>
                <w:i w:val="0"/>
                <w:color w:val="1C1E2E"/>
                <w:sz w:val="19"/>
              </w:rPr>
              <w:t>University of Cambridge (PCE)</w:t>
            </w:r>
          </w:p>
        </w:tc>
        <w:tc>
          <w:tcPr>
            <w:tcW w:type="dxa" w:w="2412"/>
          </w:tcPr>
          <w:p>
            <w:pPr>
              <w:spacing w:after="40"/>
            </w:pPr>
            <w:r/>
            <w:r>
              <w:rPr>
                <w:rFonts w:ascii="Inter" w:hAnsi="Inter" w:cs="Inter"/>
                <w:b w:val="0"/>
                <w:i w:val="0"/>
                <w:color w:val="1C1E2E"/>
                <w:sz w:val="19"/>
              </w:rPr>
              <w:t>Mar 2025</w:t>
            </w:r>
          </w:p>
        </w:tc>
        <w:tc>
          <w:tcPr>
            <w:tcW w:type="dxa" w:w="2412"/>
          </w:tcPr>
          <w:p>
            <w:pPr>
              <w:spacing w:after="40"/>
            </w:pPr>
            <w:r/>
            <w:r>
              <w:rPr>
                <w:rFonts w:ascii="Inter" w:hAnsi="Inter" w:cs="Inter"/>
                <w:b w:val="0"/>
                <w:i w:val="0"/>
                <w:color w:val="1C1E2E"/>
                <w:sz w:val="19"/>
              </w:rPr>
              <w:t>[DOC-21]</w:t>
            </w:r>
          </w:p>
        </w:tc>
      </w:tr>
      <w:tr>
        <w:tc>
          <w:tcPr>
            <w:tcW w:type="dxa" w:w="2412"/>
          </w:tcPr>
          <w:p>
            <w:pPr>
              <w:spacing w:after="40"/>
            </w:pPr>
            <w:r/>
            <w:r>
              <w:rPr>
                <w:rFonts w:ascii="Inter" w:hAnsi="Inter" w:cs="Inter"/>
                <w:b w:val="0"/>
                <w:i w:val="0"/>
                <w:color w:val="1C1E2E"/>
                <w:sz w:val="19"/>
              </w:rPr>
              <w:t>AP Stylebook Workshop Certificate</w:t>
            </w:r>
          </w:p>
        </w:tc>
        <w:tc>
          <w:tcPr>
            <w:tcW w:type="dxa" w:w="2412"/>
          </w:tcPr>
          <w:p>
            <w:pPr>
              <w:spacing w:after="40"/>
            </w:pPr>
            <w:r/>
            <w:r>
              <w:rPr>
                <w:rFonts w:ascii="Inter" w:hAnsi="Inter" w:cs="Inter"/>
                <w:b w:val="0"/>
                <w:i w:val="0"/>
                <w:color w:val="1C1E2E"/>
                <w:sz w:val="19"/>
              </w:rPr>
              <w:t>The Associated Press</w:t>
            </w:r>
          </w:p>
        </w:tc>
        <w:tc>
          <w:tcPr>
            <w:tcW w:type="dxa" w:w="2412"/>
          </w:tcPr>
          <w:p>
            <w:pPr>
              <w:spacing w:after="40"/>
            </w:pPr>
            <w:r/>
            <w:r>
              <w:rPr>
                <w:rFonts w:ascii="Inter" w:hAnsi="Inter" w:cs="Inter"/>
                <w:b w:val="0"/>
                <w:i w:val="0"/>
                <w:color w:val="1C1E2E"/>
                <w:sz w:val="19"/>
              </w:rPr>
              <w:t>May 2024 (valid to Dec 2034)</w:t>
            </w:r>
          </w:p>
        </w:tc>
        <w:tc>
          <w:tcPr>
            <w:tcW w:type="dxa" w:w="2412"/>
          </w:tcPr>
          <w:p>
            <w:pPr>
              <w:spacing w:after="40"/>
            </w:pPr>
            <w:r/>
            <w:r>
              <w:rPr>
                <w:rFonts w:ascii="Inter" w:hAnsi="Inter" w:cs="Inter"/>
                <w:b w:val="0"/>
                <w:i w:val="0"/>
                <w:color w:val="1C1E2E"/>
                <w:sz w:val="19"/>
              </w:rPr>
              <w:t>[DOC-22]</w:t>
            </w:r>
          </w:p>
        </w:tc>
      </w:tr>
      <w:tr>
        <w:tc>
          <w:tcPr>
            <w:tcW w:type="dxa" w:w="2412"/>
          </w:tcPr>
          <w:p>
            <w:pPr>
              <w:spacing w:after="40"/>
            </w:pPr>
            <w:r/>
            <w:r>
              <w:rPr>
                <w:rFonts w:ascii="Inter" w:hAnsi="Inter" w:cs="Inter"/>
                <w:b w:val="0"/>
                <w:i w:val="0"/>
                <w:color w:val="1C1E2E"/>
                <w:sz w:val="19"/>
              </w:rPr>
              <w:t>Digital Content Creation, Mobile Learning and Gamification</w:t>
            </w:r>
          </w:p>
        </w:tc>
        <w:tc>
          <w:tcPr>
            <w:tcW w:type="dxa" w:w="2412"/>
          </w:tcPr>
          <w:p>
            <w:pPr>
              <w:spacing w:after="40"/>
            </w:pPr>
            <w:r/>
            <w:r>
              <w:rPr>
                <w:rFonts w:ascii="Inter" w:hAnsi="Inter" w:cs="Inter"/>
                <w:b w:val="0"/>
                <w:i w:val="0"/>
                <w:color w:val="1C1E2E"/>
                <w:sz w:val="19"/>
              </w:rPr>
              <w:t>SEPE</w:t>
            </w:r>
          </w:p>
        </w:tc>
        <w:tc>
          <w:tcPr>
            <w:tcW w:type="dxa" w:w="2412"/>
          </w:tcPr>
          <w:p>
            <w:pPr>
              <w:spacing w:after="40"/>
            </w:pPr>
            <w:r/>
            <w:r>
              <w:rPr>
                <w:rFonts w:ascii="Inter" w:hAnsi="Inter" w:cs="Inter"/>
                <w:b w:val="0"/>
                <w:i w:val="0"/>
                <w:color w:val="1C1E2E"/>
                <w:sz w:val="19"/>
              </w:rPr>
              <w:t>2024</w:t>
            </w:r>
          </w:p>
        </w:tc>
        <w:tc>
          <w:tcPr>
            <w:tcW w:type="dxa" w:w="2412"/>
          </w:tcPr>
          <w:p>
            <w:pPr>
              <w:spacing w:after="40"/>
            </w:pPr>
            <w:r/>
            <w:r>
              <w:rPr>
                <w:rFonts w:ascii="Inter" w:hAnsi="Inter" w:cs="Inter"/>
                <w:b w:val="0"/>
                <w:i w:val="0"/>
                <w:color w:val="1C1E2E"/>
                <w:sz w:val="19"/>
              </w:rPr>
              <w:t>[DOC-23]</w:t>
            </w:r>
          </w:p>
        </w:tc>
      </w:tr>
      <w:tr>
        <w:tc>
          <w:tcPr>
            <w:tcW w:type="dxa" w:w="2412"/>
          </w:tcPr>
          <w:p>
            <w:pPr>
              <w:spacing w:after="40"/>
            </w:pPr>
            <w:r/>
            <w:r>
              <w:rPr>
                <w:rFonts w:ascii="Inter" w:hAnsi="Inter" w:cs="Inter"/>
                <w:b w:val="0"/>
                <w:i w:val="0"/>
                <w:color w:val="1C1E2E"/>
                <w:sz w:val="19"/>
              </w:rPr>
              <w:t>C1 Advanced (CAE)</w:t>
            </w:r>
          </w:p>
        </w:tc>
        <w:tc>
          <w:tcPr>
            <w:tcW w:type="dxa" w:w="2412"/>
          </w:tcPr>
          <w:p>
            <w:pPr>
              <w:spacing w:after="40"/>
            </w:pPr>
            <w:r/>
            <w:r>
              <w:rPr>
                <w:rFonts w:ascii="Inter" w:hAnsi="Inter" w:cs="Inter"/>
                <w:b w:val="0"/>
                <w:i w:val="0"/>
                <w:color w:val="1C1E2E"/>
                <w:sz w:val="19"/>
              </w:rPr>
              <w:t>Cambridge English</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[DOC-09]</w:t>
            </w:r>
          </w:p>
        </w:tc>
      </w:tr>
      <w:tr>
        <w:tc>
          <w:tcPr>
            <w:tcW w:type="dxa" w:w="2412"/>
          </w:tcPr>
          <w:p>
            <w:pPr>
              <w:spacing w:after="40"/>
            </w:pPr>
            <w:r/>
            <w:r>
              <w:rPr>
                <w:rFonts w:ascii="Inter" w:hAnsi="Inter" w:cs="Inter"/>
                <w:b w:val="0"/>
                <w:i w:val="0"/>
                <w:color w:val="1C1E2E"/>
                <w:sz w:val="19"/>
              </w:rPr>
              <w:t>CELTA</w:t>
            </w:r>
          </w:p>
        </w:tc>
        <w:tc>
          <w:tcPr>
            <w:tcW w:type="dxa" w:w="2412"/>
          </w:tcPr>
          <w:p>
            <w:pPr>
              <w:spacing w:after="40"/>
            </w:pPr>
            <w:r/>
            <w:r>
              <w:rPr>
                <w:rFonts w:ascii="Inter" w:hAnsi="Inter" w:cs="Inter"/>
                <w:b w:val="0"/>
                <w:i w:val="0"/>
                <w:color w:val="1C1E2E"/>
                <w:sz w:val="19"/>
              </w:rPr>
              <w:t>Cambridge English</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[DOC-10]</w:t>
            </w:r>
          </w:p>
        </w:tc>
      </w:tr>
      <w:tr>
        <w:tc>
          <w:tcPr>
            <w:tcW w:type="dxa" w:w="2412"/>
          </w:tcPr>
          <w:p>
            <w:pPr>
              <w:spacing w:after="40"/>
            </w:pPr>
            <w:r/>
            <w:r>
              <w:rPr>
                <w:rFonts w:ascii="Inter" w:hAnsi="Inter" w:cs="Inter"/>
                <w:b w:val="0"/>
                <w:i w:val="0"/>
                <w:color w:val="1C1E2E"/>
                <w:sz w:val="19"/>
              </w:rPr>
              <w:t>Accredited DELE examiner</w:t>
            </w:r>
          </w:p>
        </w:tc>
        <w:tc>
          <w:tcPr>
            <w:tcW w:type="dxa" w:w="2412"/>
          </w:tcPr>
          <w:p>
            <w:pPr>
              <w:spacing w:after="40"/>
            </w:pPr>
            <w:r/>
            <w:r>
              <w:rPr>
                <w:rFonts w:ascii="Inter" w:hAnsi="Inter" w:cs="Inter"/>
                <w:b w:val="0"/>
                <w:i w:val="0"/>
                <w:color w:val="1C1E2E"/>
                <w:sz w:val="19"/>
              </w:rPr>
              <w:t>Instituto Cervantes</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[DOC-11]</w:t>
            </w:r>
          </w:p>
        </w:tc>
      </w:tr>
    </w:tbl>
    <w:p/>
    <w:p>
      <w:pPr>
        <w:pBdr>
          <w:bottom w:val="single" w:sz="6" w:space="1" w:color="E6E8F2"/>
        </w:pBdr>
      </w:pPr>
    </w:p>
    <w:p>
      <w:pPr>
        <w:spacing w:before="320" w:after="120"/>
      </w:pPr>
      <w:r>
        <w:rPr>
          <w:rFonts w:ascii="Fraunces" w:hAnsi="Fraunces" w:cs="Fraunces"/>
          <w:b/>
          <w:i w:val="0"/>
          <w:color w:val="22307C"/>
          <w:sz w:val="42"/>
        </w:rPr>
        <w:t>7. Languages, skills and tools</w:t>
      </w:r>
    </w:p>
    <w:p>
      <w:r>
        <w:rPr>
          <w:rFonts w:ascii="Inter" w:hAnsi="Inter" w:cs="Inter"/>
          <w:b/>
          <w:i w:val="0"/>
          <w:color w:val="1C1E2E"/>
          <w:sz w:val="22"/>
        </w:rPr>
        <w:t>Languages:</w:t>
      </w:r>
      <w:r>
        <w:rPr>
          <w:rFonts w:ascii="Inter" w:hAnsi="Inter" w:cs="Inter"/>
          <w:b w:val="0"/>
          <w:i w:val="0"/>
          <w:color w:val="1C1E2E"/>
          <w:sz w:val="22"/>
        </w:rPr>
        <w:t xml:space="preserve"> Spanish (native) · English </w:t>
      </w:r>
      <w:r>
        <w:rPr>
          <w:rFonts w:ascii="Inter" w:hAnsi="Inter" w:cs="Inter"/>
          <w:b/>
          <w:i w:val="0"/>
          <w:color w:val="1C1E2E"/>
          <w:sz w:val="22"/>
        </w:rPr>
        <w:t>C1</w:t>
      </w:r>
      <w:r>
        <w:rPr>
          <w:rFonts w:ascii="Inter" w:hAnsi="Inter" w:cs="Inter"/>
          <w:b w:val="0"/>
          <w:i w:val="0"/>
          <w:color w:val="1C1E2E"/>
          <w:sz w:val="22"/>
        </w:rPr>
        <w:t xml:space="preserve"> (Cambridge C1 Advanced / CAE) — professional and scientific writing in both.</w:t>
      </w:r>
    </w:p>
    <w:p>
      <w:r>
        <w:rPr>
          <w:rFonts w:ascii="Inter" w:hAnsi="Inter" w:cs="Inter"/>
          <w:b/>
          <w:i w:val="0"/>
          <w:color w:val="1C1E2E"/>
          <w:sz w:val="22"/>
        </w:rPr>
        <w:t>Skills &amp; tools (keyword line):</w:t>
      </w:r>
      <w:r>
        <w:rPr>
          <w:rFonts w:ascii="Inter" w:hAnsi="Inter" w:cs="Inter"/>
          <w:b w:val="0"/>
          <w:i w:val="0"/>
          <w:color w:val="1C1E2E"/>
          <w:sz w:val="22"/>
        </w:rPr>
        <w:t xml:space="preserve"> educational content design, instructional design, eLearning, online training, content adaptation, draft review, scripting, content writing, didactic narrative, audio production, gamification, microlearning, curriculum design, competency-based assessment, accessibility (UDL/WCAG), ADDIE, SAM, scientific writing, CEFR, xAPI, SCORM, cmi5, Moodle, Canvas LMS, Chamilo, Articulate 360 (Rise), AVE Global, Notion, Kajabi, Canva, Microsoft Office, Google Workspace, Adobe Podcast.</w:t>
      </w:r>
    </w:p>
    <w:p>
      <w:pPr>
        <w:pBdr>
          <w:bottom w:val="single" w:sz="6" w:space="1" w:color="E6E8F2"/>
        </w:pBdr>
      </w:pPr>
    </w:p>
    <w:p>
      <w:pPr>
        <w:spacing w:before="320" w:after="120"/>
      </w:pPr>
      <w:r>
        <w:rPr>
          <w:rFonts w:ascii="Fraunces" w:hAnsi="Fraunces" w:cs="Fraunces"/>
          <w:b/>
          <w:i w:val="0"/>
          <w:color w:val="22307C"/>
          <w:sz w:val="42"/>
        </w:rPr>
        <w:t>8. ANNEX — Index of supporting documents</w:t>
      </w:r>
    </w:p>
    <w:p>
      <w:pPr>
        <w:pBdr>
          <w:left w:val="single" w:sz="18" w:space="8" w:color="9A5B00"/>
        </w:pBdr>
        <w:spacing w:before="120" w:after="200"/>
        <w:ind w:left="317"/>
      </w:pPr>
      <w:r>
        <w:rPr>
          <w:rFonts w:ascii="Inter" w:hAnsi="Inter" w:cs="Inter"/>
          <w:b w:val="0"/>
          <w:i w:val="0"/>
          <w:color w:val="5B5F77"/>
          <w:sz w:val="21"/>
        </w:rPr>
        <w:t xml:space="preserve">Submit a single PDF with the documents </w:t>
      </w:r>
      <w:r>
        <w:rPr>
          <w:rFonts w:ascii="Inter" w:hAnsi="Inter" w:cs="Inter"/>
          <w:b/>
          <w:i w:val="0"/>
          <w:color w:val="5B5F77"/>
          <w:sz w:val="21"/>
        </w:rPr>
        <w:t>in this order</w:t>
      </w:r>
      <w:r>
        <w:rPr>
          <w:rFonts w:ascii="Inter" w:hAnsi="Inter" w:cs="Inter"/>
          <w:b w:val="0"/>
          <w:i w:val="0"/>
          <w:color w:val="5B5F77"/>
          <w:sz w:val="21"/>
        </w:rPr>
        <w:t>, opening with a cover page that reproduces this table. The committee must be able to go from merit to document in one jump.</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Code</w:t>
            </w:r>
          </w:p>
        </w:tc>
        <w:tc>
          <w:tcPr>
            <w:tcW w:type="dxa" w:w="2412"/>
            <w:shd w:val="clear" w:color="auto" w:fill="EEF2FD"/>
          </w:tcPr>
          <w:p>
            <w:pPr>
              <w:spacing w:after="40"/>
            </w:pPr>
            <w:r/>
            <w:r>
              <w:rPr>
                <w:rFonts w:ascii="Inter" w:hAnsi="Inter" w:cs="Inter"/>
                <w:b/>
                <w:i w:val="0"/>
                <w:color w:val="22307C"/>
                <w:sz w:val="19"/>
              </w:rPr>
              <w:t>Document</w:t>
            </w:r>
          </w:p>
        </w:tc>
        <w:tc>
          <w:tcPr>
            <w:tcW w:type="dxa" w:w="2412"/>
            <w:shd w:val="clear" w:color="auto" w:fill="EEF2FD"/>
          </w:tcPr>
          <w:p>
            <w:pPr>
              <w:spacing w:after="40"/>
            </w:pPr>
            <w:r/>
            <w:r>
              <w:rPr>
                <w:rFonts w:ascii="Inter" w:hAnsi="Inter" w:cs="Inter"/>
                <w:b/>
                <w:i w:val="0"/>
                <w:color w:val="22307C"/>
                <w:sz w:val="19"/>
              </w:rPr>
              <w:t>Supports</w:t>
            </w:r>
          </w:p>
        </w:tc>
        <w:tc>
          <w:tcPr>
            <w:tcW w:type="dxa" w:w="2412"/>
            <w:shd w:val="clear" w:color="auto" w:fill="EEF2FD"/>
          </w:tcPr>
          <w:p>
            <w:pPr>
              <w:spacing w:after="40"/>
            </w:pPr>
            <w:r/>
            <w:r>
              <w:rPr>
                <w:rFonts w:ascii="Inter" w:hAnsi="Inter" w:cs="Inter"/>
                <w:b/>
                <w:i w:val="0"/>
                <w:color w:val="22307C"/>
                <w:sz w:val="19"/>
              </w:rPr>
              <w:t>Status</w:t>
            </w:r>
          </w:p>
        </w:tc>
      </w:tr>
      <w:tr>
        <w:tc>
          <w:tcPr>
            <w:tcW w:type="dxa" w:w="2412"/>
          </w:tcPr>
          <w:p>
            <w:pPr>
              <w:spacing w:after="40"/>
            </w:pPr>
            <w:r/>
            <w:r>
              <w:rPr>
                <w:rFonts w:ascii="Inter" w:hAnsi="Inter" w:cs="Inter"/>
                <w:b w:val="0"/>
                <w:i w:val="0"/>
                <w:color w:val="1C1E2E"/>
                <w:sz w:val="19"/>
              </w:rPr>
              <w:t>DOC-01</w:t>
            </w:r>
          </w:p>
        </w:tc>
        <w:tc>
          <w:tcPr>
            <w:tcW w:type="dxa" w:w="2412"/>
          </w:tcPr>
          <w:p>
            <w:pPr>
              <w:spacing w:after="40"/>
            </w:pPr>
            <w:r/>
            <w:r>
              <w:rPr>
                <w:rFonts w:ascii="Inter" w:hAnsi="Inter" w:cs="Inter"/>
                <w:b w:val="0"/>
                <w:i w:val="0"/>
                <w:color w:val="1C1E2E"/>
                <w:sz w:val="19"/>
              </w:rPr>
              <w:t>UPV academic transcript (GPA 9.4/10 + 2 distinctions)</w:t>
            </w:r>
          </w:p>
        </w:tc>
        <w:tc>
          <w:tcPr>
            <w:tcW w:type="dxa" w:w="2412"/>
          </w:tcPr>
          <w:p>
            <w:pPr>
              <w:spacing w:after="40"/>
            </w:pPr>
            <w:r/>
            <w:r>
              <w:rPr>
                <w:rFonts w:ascii="Inter" w:hAnsi="Inter" w:cs="Inter"/>
                <w:b w:val="0"/>
                <w:i w:val="0"/>
                <w:color w:val="1C1E2E"/>
                <w:sz w:val="19"/>
              </w:rPr>
              <w:t>A.1 · B.2</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DOC-02</w:t>
            </w:r>
          </w:p>
        </w:tc>
        <w:tc>
          <w:tcPr>
            <w:tcW w:type="dxa" w:w="2412"/>
          </w:tcPr>
          <w:p>
            <w:pPr>
              <w:spacing w:after="40"/>
            </w:pPr>
            <w:r/>
            <w:r>
              <w:rPr>
                <w:rFonts w:ascii="Inter" w:hAnsi="Inter" w:cs="Inter"/>
                <w:b w:val="0"/>
                <w:i w:val="0"/>
                <w:color w:val="1C1E2E"/>
                <w:sz w:val="19"/>
              </w:rPr>
              <w:t>Master's degree certificate (UPV)</w:t>
            </w:r>
          </w:p>
        </w:tc>
        <w:tc>
          <w:tcPr>
            <w:tcW w:type="dxa" w:w="2412"/>
          </w:tcPr>
          <w:p>
            <w:pPr>
              <w:spacing w:after="40"/>
            </w:pPr>
            <w:r/>
            <w:r>
              <w:rPr>
                <w:rFonts w:ascii="Inter" w:hAnsi="Inter" w:cs="Inter"/>
                <w:b w:val="0"/>
                <w:i w:val="0"/>
                <w:color w:val="1C1E2E"/>
                <w:sz w:val="19"/>
              </w:rPr>
              <w:t>A.1</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DOC-03</w:t>
            </w:r>
          </w:p>
        </w:tc>
        <w:tc>
          <w:tcPr>
            <w:tcW w:type="dxa" w:w="2412"/>
          </w:tcPr>
          <w:p>
            <w:pPr>
              <w:spacing w:after="40"/>
            </w:pPr>
            <w:r/>
            <w:r>
              <w:rPr>
                <w:rFonts w:ascii="Inter" w:hAnsi="Inter" w:cs="Inter"/>
                <w:b/>
                <w:i w:val="0"/>
                <w:color w:val="1C1E2E"/>
                <w:sz w:val="19"/>
              </w:rPr>
              <w:t>Global Grades Certification + full transcript</w:t>
            </w:r>
            <w:r>
              <w:rPr>
                <w:rFonts w:ascii="Inter" w:hAnsi="Inter" w:cs="Inter"/>
                <w:b w:val="0"/>
                <w:i w:val="0"/>
                <w:color w:val="1C1E2E"/>
                <w:sz w:val="19"/>
              </w:rPr>
              <w:t xml:space="preserve"> — ULA General Secretariat, 28 Jan 2009 (control no. in the private copy)</w:t>
            </w:r>
          </w:p>
        </w:tc>
        <w:tc>
          <w:tcPr>
            <w:tcW w:type="dxa" w:w="2412"/>
          </w:tcPr>
          <w:p>
            <w:pPr>
              <w:spacing w:after="40"/>
            </w:pPr>
            <w:r/>
            <w:r>
              <w:rPr>
                <w:rFonts w:ascii="Inter" w:hAnsi="Inter" w:cs="Inter"/>
                <w:b w:val="0"/>
                <w:i w:val="0"/>
                <w:color w:val="1C1E2E"/>
                <w:sz w:val="19"/>
              </w:rPr>
              <w:t>A.2</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DOC-04</w:t>
            </w:r>
          </w:p>
        </w:tc>
        <w:tc>
          <w:tcPr>
            <w:tcW w:type="dxa" w:w="2412"/>
          </w:tcPr>
          <w:p>
            <w:pPr>
              <w:spacing w:after="40"/>
            </w:pPr>
            <w:r/>
            <w:r>
              <w:rPr>
                <w:rFonts w:ascii="Inter" w:hAnsi="Inter" w:cs="Inter"/>
                <w:b w:val="0"/>
                <w:i w:val="0"/>
                <w:color w:val="1C1E2E"/>
                <w:sz w:val="19"/>
              </w:rPr>
              <w:t xml:space="preserve">Undergraduate degree certificate (ULA) + graduation record showing </w:t>
            </w:r>
            <w:r>
              <w:rPr>
                <w:rFonts w:ascii="Inter" w:hAnsi="Inter" w:cs="Inter"/>
                <w:b w:val="0"/>
                <w:i/>
                <w:color w:val="1C1E2E"/>
                <w:sz w:val="19"/>
              </w:rPr>
              <w:t>Summa Cum Laude</w:t>
            </w:r>
          </w:p>
        </w:tc>
        <w:tc>
          <w:tcPr>
            <w:tcW w:type="dxa" w:w="2412"/>
          </w:tcPr>
          <w:p>
            <w:pPr>
              <w:spacing w:after="40"/>
            </w:pPr>
            <w:r/>
            <w:r>
              <w:rPr>
                <w:rFonts w:ascii="Inter" w:hAnsi="Inter" w:cs="Inter"/>
                <w:b w:val="0"/>
                <w:i w:val="0"/>
                <w:color w:val="1C1E2E"/>
                <w:sz w:val="19"/>
              </w:rPr>
              <w:t>A.2</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DOC-05B</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Declaration of degree equivalence to the academic level of GRADO</w:t>
            </w:r>
            <w:r>
              <w:rPr>
                <w:rFonts w:ascii="Inter" w:hAnsi="Inter" w:cs="Inter"/>
                <w:b w:val="0"/>
                <w:i w:val="0"/>
                <w:color w:val="1C1E2E"/>
                <w:sz w:val="19"/>
              </w:rPr>
              <w:t xml:space="preserve"> — Spanish Ministry of Universities, RD 967/2014, 17 Jun 2020 (Arts and Humanities, Languages)</w:t>
            </w:r>
          </w:p>
        </w:tc>
        <w:tc>
          <w:tcPr>
            <w:tcW w:type="dxa" w:w="2412"/>
          </w:tcPr>
          <w:p>
            <w:pPr>
              <w:spacing w:after="40"/>
            </w:pPr>
            <w:r/>
            <w:r>
              <w:rPr>
                <w:rFonts w:ascii="Inter" w:hAnsi="Inter" w:cs="Inter"/>
                <w:b w:val="0"/>
                <w:i w:val="0"/>
                <w:color w:val="1C1E2E"/>
                <w:sz w:val="19"/>
              </w:rPr>
              <w:t xml:space="preserve">A.2 · </w:t>
            </w:r>
            <w:r>
              <w:rPr>
                <w:rFonts w:ascii="Inter" w:hAnsi="Inter" w:cs="Inter"/>
                <w:b/>
                <w:i w:val="0"/>
                <w:color w:val="1C1E2E"/>
                <w:sz w:val="19"/>
              </w:rPr>
              <w:t>access</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DOC-05</w:t>
            </w:r>
          </w:p>
        </w:tc>
        <w:tc>
          <w:tcPr>
            <w:tcW w:type="dxa" w:w="2412"/>
          </w:tcPr>
          <w:p>
            <w:pPr>
              <w:spacing w:after="40"/>
            </w:pPr>
            <w:r/>
            <w:r>
              <w:rPr>
                <w:rFonts w:ascii="Inter" w:hAnsi="Inter" w:cs="Inter"/>
                <w:b/>
                <w:i w:val="0"/>
                <w:color w:val="1C1E2E"/>
                <w:sz w:val="19"/>
              </w:rPr>
              <w:t>Grade-average equivalence declaration</w:t>
            </w:r>
            <w:r>
              <w:rPr>
                <w:rFonts w:ascii="Inter" w:hAnsi="Inter" w:cs="Inter"/>
                <w:b w:val="0"/>
                <w:i w:val="0"/>
                <w:color w:val="1C1E2E"/>
                <w:sz w:val="19"/>
              </w:rPr>
              <w:t xml:space="preserve"> — Spanish General Secretariat for Universities · </w:t>
            </w:r>
            <w:r>
              <w:rPr>
                <w:rFonts w:ascii="Inter" w:hAnsi="Inter" w:cs="Inter"/>
                <w:b/>
                <w:i w:val="0"/>
                <w:color w:val="1C1E2E"/>
                <w:sz w:val="19"/>
              </w:rPr>
              <w:t>9.07/10</w:t>
            </w:r>
            <w:r>
              <w:rPr>
                <w:rFonts w:ascii="Inter" w:hAnsi="Inter" w:cs="Inter"/>
                <w:b w:val="0"/>
                <w:i w:val="0"/>
                <w:color w:val="1C1E2E"/>
                <w:sz w:val="19"/>
              </w:rPr>
              <w:t xml:space="preserve"> · CSV ⟨CSV in the copy submitted to the committee⟩</w:t>
            </w:r>
          </w:p>
        </w:tc>
        <w:tc>
          <w:tcPr>
            <w:tcW w:type="dxa" w:w="2412"/>
          </w:tcPr>
          <w:p>
            <w:pPr>
              <w:spacing w:after="40"/>
            </w:pPr>
            <w:r/>
            <w:r>
              <w:rPr>
                <w:rFonts w:ascii="Inter" w:hAnsi="Inter" w:cs="Inter"/>
                <w:b w:val="0"/>
                <w:i w:val="0"/>
                <w:color w:val="1C1E2E"/>
                <w:sz w:val="19"/>
              </w:rPr>
              <w:t xml:space="preserve">A.2 · </w:t>
            </w:r>
            <w:r>
              <w:rPr>
                <w:rFonts w:ascii="Inter" w:hAnsi="Inter" w:cs="Inter"/>
                <w:b/>
                <w:i w:val="0"/>
                <w:color w:val="1C1E2E"/>
                <w:sz w:val="19"/>
              </w:rPr>
              <w:t>70 %</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DOC-06</w:t>
            </w:r>
          </w:p>
        </w:tc>
        <w:tc>
          <w:tcPr>
            <w:tcW w:type="dxa" w:w="2412"/>
          </w:tcPr>
          <w:p>
            <w:pPr>
              <w:spacing w:after="40"/>
            </w:pPr>
            <w:r/>
            <w:r>
              <w:rPr>
                <w:rFonts w:ascii="Inter" w:hAnsi="Inter" w:cs="Inter"/>
                <w:b/>
                <w:i w:val="0"/>
                <w:color w:val="1C1E2E"/>
                <w:sz w:val="19"/>
              </w:rPr>
              <w:t>Academic Rank Certificate</w:t>
            </w:r>
            <w:r>
              <w:rPr>
                <w:rFonts w:ascii="Inter" w:hAnsi="Inter" w:cs="Inter"/>
                <w:b w:val="0"/>
                <w:i w:val="0"/>
                <w:color w:val="1C1E2E"/>
                <w:sz w:val="19"/>
              </w:rPr>
              <w:t xml:space="preserve"> (1st of 56) + rectoral certification no. ⟨no. in the copy submitted to the committee⟩ + </w:t>
            </w:r>
            <w:r>
              <w:rPr>
                <w:rFonts w:ascii="Inter" w:hAnsi="Inter" w:cs="Inter"/>
                <w:b/>
                <w:i w:val="0"/>
                <w:color w:val="1C1E2E"/>
                <w:sz w:val="19"/>
              </w:rPr>
              <w:t>Apostille ⟨no. in the copy submitted to the committee⟩</w:t>
            </w:r>
          </w:p>
        </w:tc>
        <w:tc>
          <w:tcPr>
            <w:tcW w:type="dxa" w:w="2412"/>
          </w:tcPr>
          <w:p>
            <w:pPr>
              <w:spacing w:after="40"/>
            </w:pPr>
            <w:r/>
            <w:r>
              <w:rPr>
                <w:rFonts w:ascii="Inter" w:hAnsi="Inter" w:cs="Inter"/>
                <w:b w:val="0"/>
                <w:i w:val="0"/>
                <w:color w:val="1C1E2E"/>
                <w:sz w:val="19"/>
              </w:rPr>
              <w:t>B.1</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DOC-07</w:t>
            </w:r>
          </w:p>
        </w:tc>
        <w:tc>
          <w:tcPr>
            <w:tcW w:type="dxa" w:w="2412"/>
          </w:tcPr>
          <w:p>
            <w:pPr>
              <w:spacing w:after="40"/>
            </w:pPr>
            <w:r/>
            <w:r>
              <w:rPr>
                <w:rFonts w:ascii="Inter" w:hAnsi="Inter" w:cs="Inter"/>
                <w:b/>
                <w:i w:val="0"/>
                <w:color w:val="1C1E2E"/>
                <w:sz w:val="19"/>
              </w:rPr>
              <w:t>Diploma of Honour</w:t>
            </w:r>
            <w:r>
              <w:rPr>
                <w:rFonts w:ascii="Inter" w:hAnsi="Inter" w:cs="Inter"/>
                <w:b w:val="0"/>
                <w:i w:val="0"/>
                <w:color w:val="1C1E2E"/>
                <w:sz w:val="19"/>
              </w:rPr>
              <w:t xml:space="preserve"> for the final-year dissertation — 20/20 Sobresaliente, Rector of ULA, 15 Nov 2004</w:t>
            </w:r>
          </w:p>
        </w:tc>
        <w:tc>
          <w:tcPr>
            <w:tcW w:type="dxa" w:w="2412"/>
          </w:tcPr>
          <w:p>
            <w:pPr>
              <w:spacing w:after="40"/>
            </w:pPr>
            <w:r/>
            <w:r>
              <w:rPr>
                <w:rFonts w:ascii="Inter" w:hAnsi="Inter" w:cs="Inter"/>
                <w:b w:val="0"/>
                <w:i w:val="0"/>
                <w:color w:val="1C1E2E"/>
                <w:sz w:val="19"/>
              </w:rPr>
              <w:t>B.1 · §5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DOC-07B</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Four "Luis María Ribas Dávila" Orders</w:t>
            </w:r>
            <w:r>
              <w:rPr>
                <w:rFonts w:ascii="Inter" w:hAnsi="Inter" w:cs="Inter"/>
                <w:b w:val="0"/>
                <w:i w:val="0"/>
                <w:color w:val="1C1E2E"/>
                <w:sz w:val="19"/>
              </w:rPr>
              <w:t xml:space="preserve"> (2000, 2001, 2002, 2003) — highest academic performance, School of Education, ULA-Táchira</w:t>
            </w:r>
          </w:p>
        </w:tc>
        <w:tc>
          <w:tcPr>
            <w:tcW w:type="dxa" w:w="2412"/>
          </w:tcPr>
          <w:p>
            <w:pPr>
              <w:spacing w:after="40"/>
            </w:pPr>
            <w:r/>
            <w:r>
              <w:rPr>
                <w:rFonts w:ascii="Inter" w:hAnsi="Inter" w:cs="Inter"/>
                <w:b w:val="0"/>
                <w:i w:val="0"/>
                <w:color w:val="1C1E2E"/>
                <w:sz w:val="19"/>
              </w:rPr>
              <w:t>B.1 · A.2</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DOC-08</w:t>
            </w:r>
          </w:p>
        </w:tc>
        <w:tc>
          <w:tcPr>
            <w:tcW w:type="dxa" w:w="2412"/>
          </w:tcPr>
          <w:p>
            <w:pPr>
              <w:spacing w:after="40"/>
            </w:pPr>
            <w:r/>
            <w:r>
              <w:rPr>
                <w:rFonts w:ascii="Inter" w:hAnsi="Inter" w:cs="Inter"/>
                <w:b w:val="0"/>
                <w:i w:val="0"/>
                <w:color w:val="1C1E2E"/>
                <w:sz w:val="19"/>
              </w:rPr>
              <w:t xml:space="preserve">Extraordinary Master's Award resolution </w:t>
            </w:r>
            <w:r>
              <w:rPr>
                <w:rFonts w:ascii="Inter" w:hAnsi="Inter" w:cs="Inter"/>
                <w:b w:val="0"/>
                <w:i/>
                <w:color w:val="1C1E2E"/>
                <w:sz w:val="19"/>
              </w:rPr>
              <w:t>(only if UPV resolves one; not applicable today)</w:t>
            </w:r>
          </w:p>
        </w:tc>
        <w:tc>
          <w:tcPr>
            <w:tcW w:type="dxa" w:w="2412"/>
          </w:tcPr>
          <w:p>
            <w:pPr>
              <w:spacing w:after="40"/>
            </w:pPr>
            <w:r/>
            <w:r>
              <w:rPr>
                <w:rFonts w:ascii="Inter" w:hAnsi="Inter" w:cs="Inter"/>
                <w:b w:val="0"/>
                <w:i w:val="0"/>
                <w:color w:val="1C1E2E"/>
                <w:sz w:val="19"/>
              </w:rPr>
              <w:t>B.2</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DOC-09</w:t>
            </w:r>
          </w:p>
        </w:tc>
        <w:tc>
          <w:tcPr>
            <w:tcW w:type="dxa" w:w="2412"/>
          </w:tcPr>
          <w:p>
            <w:pPr>
              <w:spacing w:after="40"/>
            </w:pPr>
            <w:r/>
            <w:r>
              <w:rPr>
                <w:rFonts w:ascii="Inter" w:hAnsi="Inter" w:cs="Inter"/>
                <w:b w:val="0"/>
                <w:i w:val="0"/>
                <w:color w:val="1C1E2E"/>
                <w:sz w:val="19"/>
              </w:rPr>
              <w:t>C1 Advanced (CAE) certificate — Cambridge</w:t>
            </w:r>
          </w:p>
        </w:tc>
        <w:tc>
          <w:tcPr>
            <w:tcW w:type="dxa" w:w="2412"/>
          </w:tcPr>
          <w:p>
            <w:pPr>
              <w:spacing w:after="40"/>
            </w:pPr>
            <w:r/>
            <w:r>
              <w:rPr>
                <w:rFonts w:ascii="Inter" w:hAnsi="Inter" w:cs="Inter"/>
                <w:b w:val="0"/>
                <w:i w:val="0"/>
                <w:color w:val="1C1E2E"/>
                <w:sz w:val="19"/>
              </w:rPr>
              <w:t>B.4</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DOC-10</w:t>
            </w:r>
          </w:p>
        </w:tc>
        <w:tc>
          <w:tcPr>
            <w:tcW w:type="dxa" w:w="2412"/>
          </w:tcPr>
          <w:p>
            <w:pPr>
              <w:spacing w:after="40"/>
            </w:pPr>
            <w:r/>
            <w:r>
              <w:rPr>
                <w:rFonts w:ascii="Inter" w:hAnsi="Inter" w:cs="Inter"/>
                <w:b w:val="0"/>
                <w:i w:val="0"/>
                <w:color w:val="1C1E2E"/>
                <w:sz w:val="19"/>
              </w:rPr>
              <w:t>CELTA certificate — Cambridge</w:t>
            </w:r>
          </w:p>
        </w:tc>
        <w:tc>
          <w:tcPr>
            <w:tcW w:type="dxa" w:w="2412"/>
          </w:tcPr>
          <w:p>
            <w:pPr>
              <w:spacing w:after="40"/>
            </w:pPr>
            <w:r/>
            <w:r>
              <w:rPr>
                <w:rFonts w:ascii="Inter" w:hAnsi="Inter" w:cs="Inter"/>
                <w:b w:val="0"/>
                <w:i w:val="0"/>
                <w:color w:val="1C1E2E"/>
                <w:sz w:val="19"/>
              </w:rPr>
              <w:t>B.4</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DOC-11</w:t>
            </w:r>
          </w:p>
        </w:tc>
        <w:tc>
          <w:tcPr>
            <w:tcW w:type="dxa" w:w="2412"/>
          </w:tcPr>
          <w:p>
            <w:pPr>
              <w:spacing w:after="40"/>
            </w:pPr>
            <w:r/>
            <w:r>
              <w:rPr>
                <w:rFonts w:ascii="Inter" w:hAnsi="Inter" w:cs="Inter"/>
                <w:b w:val="0"/>
                <w:i w:val="0"/>
                <w:color w:val="1C1E2E"/>
                <w:sz w:val="19"/>
              </w:rPr>
              <w:t>DELE examiner accreditation — Instituto Cervantes</w:t>
            </w:r>
          </w:p>
        </w:tc>
        <w:tc>
          <w:tcPr>
            <w:tcW w:type="dxa" w:w="2412"/>
          </w:tcPr>
          <w:p>
            <w:pPr>
              <w:spacing w:after="40"/>
            </w:pPr>
            <w:r/>
            <w:r>
              <w:rPr>
                <w:rFonts w:ascii="Inter" w:hAnsi="Inter" w:cs="Inter"/>
                <w:b w:val="0"/>
                <w:i w:val="0"/>
                <w:color w:val="1C1E2E"/>
                <w:sz w:val="19"/>
              </w:rPr>
              <w:t>B.4</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DOC-12</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High Academic Performance Scholarship certificate</w:t>
            </w:r>
            <w:r>
              <w:rPr>
                <w:rFonts w:ascii="Inter" w:hAnsi="Inter" w:cs="Inter"/>
                <w:b w:val="0"/>
                <w:i w:val="0"/>
                <w:color w:val="1C1E2E"/>
                <w:sz w:val="19"/>
              </w:rPr>
              <w:t xml:space="preserve"> — ULA-Táchira, Directorate of Student Affairs, 13 May 2004 (period Jul–Dec 2003, still current)</w:t>
            </w:r>
          </w:p>
        </w:tc>
        <w:tc>
          <w:tcPr>
            <w:tcW w:type="dxa" w:w="2412"/>
          </w:tcPr>
          <w:p>
            <w:pPr>
              <w:spacing w:after="40"/>
            </w:pPr>
            <w:r/>
            <w:r>
              <w:rPr>
                <w:rFonts w:ascii="Inter" w:hAnsi="Inter" w:cs="Inter"/>
                <w:b w:val="0"/>
                <w:i w:val="0"/>
                <w:color w:val="1C1E2E"/>
                <w:sz w:val="19"/>
              </w:rPr>
              <w:t>B.5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DOC-13</w:t>
            </w:r>
          </w:p>
        </w:tc>
        <w:tc>
          <w:tcPr>
            <w:tcW w:type="dxa" w:w="2412"/>
          </w:tcPr>
          <w:p>
            <w:pPr>
              <w:spacing w:after="40"/>
            </w:pPr>
            <w:r/>
            <w:r>
              <w:rPr>
                <w:rFonts w:ascii="Inter" w:hAnsi="Inter" w:cs="Inter"/>
                <w:b w:val="0"/>
                <w:i w:val="0"/>
                <w:color w:val="1C1E2E"/>
                <w:sz w:val="19"/>
              </w:rPr>
              <w:t>Ministry scholarship award resolution (UPV master's)</w:t>
            </w:r>
          </w:p>
        </w:tc>
        <w:tc>
          <w:tcPr>
            <w:tcW w:type="dxa" w:w="2412"/>
          </w:tcPr>
          <w:p>
            <w:pPr>
              <w:spacing w:after="40"/>
            </w:pPr>
            <w:r/>
            <w:r>
              <w:rPr>
                <w:rFonts w:ascii="Inter" w:hAnsi="Inter" w:cs="Inter"/>
                <w:b w:val="0"/>
                <w:i w:val="0"/>
                <w:color w:val="1C1E2E"/>
                <w:sz w:val="19"/>
              </w:rPr>
              <w:t>B.5</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DOC-14</w:t>
            </w:r>
          </w:p>
        </w:tc>
        <w:tc>
          <w:tcPr>
            <w:tcW w:type="dxa" w:w="2412"/>
          </w:tcPr>
          <w:p>
            <w:pPr>
              <w:spacing w:after="40"/>
            </w:pPr>
            <w:r/>
            <w:r>
              <w:rPr>
                <w:rFonts w:ascii="Inter" w:hAnsi="Inter" w:cs="Inter"/>
                <w:b w:val="0"/>
                <w:i w:val="0"/>
                <w:color w:val="1C1E2E"/>
                <w:sz w:val="19"/>
              </w:rPr>
              <w:t>Sotelo-Casas et al. (2019) — cover + acknowledgements page (p. 8)</w:t>
            </w:r>
          </w:p>
        </w:tc>
        <w:tc>
          <w:tcPr>
            <w:tcW w:type="dxa" w:w="2412"/>
          </w:tcPr>
          <w:p>
            <w:pPr>
              <w:spacing w:after="40"/>
            </w:pPr>
            <w:r/>
            <w:r>
              <w:rPr>
                <w:rFonts w:ascii="Inter" w:hAnsi="Inter" w:cs="Inter"/>
                <w:b w:val="0"/>
                <w:i w:val="0"/>
                <w:color w:val="1C1E2E"/>
                <w:sz w:val="19"/>
              </w:rPr>
              <w:t>B.6 · §5</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DOC-15</w:t>
            </w:r>
          </w:p>
        </w:tc>
        <w:tc>
          <w:tcPr>
            <w:tcW w:type="dxa" w:w="2412"/>
          </w:tcPr>
          <w:p>
            <w:pPr>
              <w:spacing w:after="40"/>
            </w:pPr>
            <w:r/>
            <w:r>
              <w:rPr>
                <w:rFonts w:ascii="Inter" w:hAnsi="Inter" w:cs="Inter"/>
                <w:b w:val="0"/>
                <w:i w:val="0"/>
                <w:color w:val="1C1E2E"/>
                <w:sz w:val="19"/>
              </w:rPr>
              <w:t xml:space="preserve">Evidence of the 10/10 grade for </w:t>
            </w:r>
            <w:r>
              <w:rPr>
                <w:rFonts w:ascii="Inter" w:hAnsi="Inter" w:cs="Inter"/>
                <w:b w:val="0"/>
                <w:i/>
                <w:color w:val="1C1E2E"/>
                <w:sz w:val="19"/>
              </w:rPr>
              <w:t>Academic Writing Journey</w:t>
            </w:r>
            <w:r>
              <w:rPr>
                <w:rFonts w:ascii="Inter" w:hAnsi="Inter" w:cs="Inter"/>
                <w:b w:val="0"/>
                <w:i w:val="0"/>
                <w:color w:val="1C1E2E"/>
                <w:sz w:val="19"/>
              </w:rPr>
              <w:t xml:space="preserve"> (UPV)</w:t>
            </w:r>
          </w:p>
        </w:tc>
        <w:tc>
          <w:tcPr>
            <w:tcW w:type="dxa" w:w="2412"/>
          </w:tcPr>
          <w:p>
            <w:pPr>
              <w:spacing w:after="40"/>
            </w:pPr>
            <w:r/>
            <w:r>
              <w:rPr>
                <w:rFonts w:ascii="Inter" w:hAnsi="Inter" w:cs="Inter"/>
                <w:b w:val="0"/>
                <w:i w:val="0"/>
                <w:color w:val="1C1E2E"/>
                <w:sz w:val="19"/>
              </w:rPr>
              <w:t>A.1 · 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DOC-16</w:t>
            </w:r>
          </w:p>
        </w:tc>
        <w:tc>
          <w:tcPr>
            <w:tcW w:type="dxa" w:w="2412"/>
          </w:tcPr>
          <w:p>
            <w:pPr>
              <w:spacing w:after="40"/>
            </w:pPr>
            <w:r/>
            <w:r>
              <w:rPr>
                <w:rFonts w:ascii="Inter" w:hAnsi="Inter" w:cs="Inter"/>
                <w:b w:val="0"/>
                <w:i w:val="0"/>
                <w:color w:val="1C1E2E"/>
                <w:sz w:val="19"/>
              </w:rPr>
              <w:t xml:space="preserve">UDO Núcleo Nueva Esparta teaching service certificates (2005–2015), </w:t>
            </w:r>
            <w:r>
              <w:rPr>
                <w:rFonts w:ascii="Inter" w:hAnsi="Inter" w:cs="Inter"/>
                <w:b/>
                <w:i w:val="0"/>
                <w:color w:val="1C1E2E"/>
                <w:sz w:val="19"/>
              </w:rPr>
              <w:t>1,568 accredited hours</w:t>
            </w:r>
          </w:p>
        </w:tc>
        <w:tc>
          <w:tcPr>
            <w:tcW w:type="dxa" w:w="2412"/>
          </w:tcPr>
          <w:p>
            <w:pPr>
              <w:spacing w:after="40"/>
            </w:pPr>
            <w:r/>
            <w:r>
              <w:rPr>
                <w:rFonts w:ascii="Inter" w:hAnsi="Inter" w:cs="Inter"/>
                <w:b w:val="0"/>
                <w:i w:val="0"/>
                <w:color w:val="1C1E2E"/>
                <w:sz w:val="19"/>
              </w:rPr>
              <w:t>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DOC-17</w:t>
            </w:r>
          </w:p>
        </w:tc>
        <w:tc>
          <w:tcPr>
            <w:tcW w:type="dxa" w:w="2412"/>
          </w:tcPr>
          <w:p>
            <w:pPr>
              <w:spacing w:after="40"/>
            </w:pPr>
            <w:r/>
            <w:r>
              <w:rPr>
                <w:rFonts w:ascii="Inter" w:hAnsi="Inter" w:cs="Inter"/>
                <w:b w:val="0"/>
                <w:i w:val="0"/>
                <w:color w:val="1C1E2E"/>
                <w:sz w:val="19"/>
              </w:rPr>
              <w:t>Spanish employment history / professional activity certificate</w:t>
            </w:r>
          </w:p>
        </w:tc>
        <w:tc>
          <w:tcPr>
            <w:tcW w:type="dxa" w:w="2412"/>
          </w:tcPr>
          <w:p>
            <w:pPr>
              <w:spacing w:after="40"/>
            </w:pPr>
            <w:r/>
            <w:r>
              <w:rPr>
                <w:rFonts w:ascii="Inter" w:hAnsi="Inter" w:cs="Inter"/>
                <w:b w:val="0"/>
                <w:i w:val="0"/>
                <w:color w:val="1C1E2E"/>
                <w:sz w:val="19"/>
              </w:rPr>
              <w:t>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DOC-18</w:t>
            </w:r>
          </w:p>
        </w:tc>
        <w:tc>
          <w:tcPr>
            <w:tcW w:type="dxa" w:w="2412"/>
          </w:tcPr>
          <w:p>
            <w:pPr>
              <w:spacing w:after="40"/>
            </w:pPr>
            <w:r/>
            <w:r>
              <w:rPr>
                <w:rFonts w:ascii="Inter" w:hAnsi="Inter" w:cs="Inter"/>
                <w:b w:val="0"/>
                <w:i w:val="0"/>
                <w:color w:val="1C1E2E"/>
                <w:sz w:val="19"/>
              </w:rPr>
              <w:t>AVE Global tutoring accreditation — Instituto Cervantes</w:t>
            </w:r>
          </w:p>
        </w:tc>
        <w:tc>
          <w:tcPr>
            <w:tcW w:type="dxa" w:w="2412"/>
          </w:tcPr>
          <w:p>
            <w:pPr>
              <w:spacing w:after="40"/>
            </w:pPr>
            <w:r/>
            <w:r>
              <w:rPr>
                <w:rFonts w:ascii="Inter" w:hAnsi="Inter" w:cs="Inter"/>
                <w:b w:val="0"/>
                <w:i w:val="0"/>
                <w:color w:val="1C1E2E"/>
                <w:sz w:val="19"/>
              </w:rPr>
              <w:t>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DOC-19</w:t>
            </w:r>
          </w:p>
        </w:tc>
        <w:tc>
          <w:tcPr>
            <w:tcW w:type="dxa" w:w="2412"/>
          </w:tcPr>
          <w:p>
            <w:pPr>
              <w:spacing w:after="40"/>
            </w:pPr>
            <w:r/>
            <w:r>
              <w:rPr>
                <w:rFonts w:ascii="Inter" w:hAnsi="Inter" w:cs="Inter"/>
                <w:b/>
                <w:i w:val="0"/>
                <w:color w:val="1C1E2E"/>
                <w:sz w:val="19"/>
              </w:rPr>
              <w:t>Kaleidoscopio 2(3), 51–56 (2005)</w:t>
            </w:r>
            <w:r>
              <w:rPr>
                <w:rFonts w:ascii="Inter" w:hAnsi="Inter" w:cs="Inter"/>
                <w:b w:val="0"/>
                <w:i w:val="0"/>
                <w:color w:val="1C1E2E"/>
                <w:sz w:val="19"/>
              </w:rPr>
              <w:t xml:space="preserve"> — first and last page + peer-review acceptance letter (UNEG, 09-03-2005)</w:t>
            </w:r>
          </w:p>
        </w:tc>
        <w:tc>
          <w:tcPr>
            <w:tcW w:type="dxa" w:w="2412"/>
          </w:tcPr>
          <w:p>
            <w:pPr>
              <w:spacing w:after="40"/>
            </w:pPr>
            <w:r/>
            <w:r>
              <w:rPr>
                <w:rFonts w:ascii="Inter" w:hAnsi="Inter" w:cs="Inter"/>
                <w:b w:val="0"/>
                <w:i w:val="0"/>
                <w:color w:val="1C1E2E"/>
                <w:sz w:val="19"/>
              </w:rPr>
              <w:t>§5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r>
        <w:tc>
          <w:tcPr>
            <w:tcW w:type="dxa" w:w="2412"/>
          </w:tcPr>
          <w:p>
            <w:pPr>
              <w:spacing w:after="40"/>
            </w:pPr>
            <w:r/>
            <w:r>
              <w:rPr>
                <w:rFonts w:ascii="Inter" w:hAnsi="Inter" w:cs="Inter"/>
                <w:b w:val="0"/>
                <w:i w:val="0"/>
                <w:color w:val="1C1E2E"/>
                <w:sz w:val="19"/>
              </w:rPr>
              <w:t>DOC-20</w:t>
            </w:r>
          </w:p>
        </w:tc>
        <w:tc>
          <w:tcPr>
            <w:tcW w:type="dxa" w:w="2412"/>
          </w:tcPr>
          <w:p>
            <w:pPr>
              <w:spacing w:after="40"/>
            </w:pPr>
            <w:r/>
            <w:r>
              <w:rPr>
                <w:rFonts w:ascii="Inter" w:hAnsi="Inter" w:cs="Inter"/>
                <w:b w:val="0"/>
                <w:i w:val="0"/>
                <w:color w:val="1C1E2E"/>
                <w:sz w:val="19"/>
              </w:rPr>
              <w:t>UC Irvine certificate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DOC-21</w:t>
            </w:r>
          </w:p>
        </w:tc>
        <w:tc>
          <w:tcPr>
            <w:tcW w:type="dxa" w:w="2412"/>
          </w:tcPr>
          <w:p>
            <w:pPr>
              <w:spacing w:after="40"/>
            </w:pPr>
            <w:r/>
            <w:r>
              <w:rPr>
                <w:rFonts w:ascii="Inter" w:hAnsi="Inter" w:cs="Inter"/>
                <w:b w:val="0"/>
                <w:i w:val="0"/>
                <w:color w:val="1C1E2E"/>
                <w:sz w:val="19"/>
              </w:rPr>
              <w:t>University of Cambridge (PCE) certificate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DOC-22</w:t>
            </w:r>
          </w:p>
        </w:tc>
        <w:tc>
          <w:tcPr>
            <w:tcW w:type="dxa" w:w="2412"/>
          </w:tcPr>
          <w:p>
            <w:pPr>
              <w:spacing w:after="40"/>
            </w:pPr>
            <w:r/>
            <w:r>
              <w:rPr>
                <w:rFonts w:ascii="Inter" w:hAnsi="Inter" w:cs="Inter"/>
                <w:b w:val="0"/>
                <w:i w:val="0"/>
                <w:color w:val="1C1E2E"/>
                <w:sz w:val="19"/>
              </w:rPr>
              <w:t>AP Stylebook certificate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DOC-23</w:t>
            </w:r>
          </w:p>
        </w:tc>
        <w:tc>
          <w:tcPr>
            <w:tcW w:type="dxa" w:w="2412"/>
          </w:tcPr>
          <w:p>
            <w:pPr>
              <w:spacing w:after="40"/>
            </w:pPr>
            <w:r/>
            <w:r>
              <w:rPr>
                <w:rFonts w:ascii="Inter" w:hAnsi="Inter" w:cs="Inter"/>
                <w:b w:val="0"/>
                <w:i w:val="0"/>
                <w:color w:val="1C1E2E"/>
                <w:sz w:val="19"/>
              </w:rPr>
              <w:t>SEPE certificate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DOC-24</w:t>
            </w:r>
          </w:p>
        </w:tc>
        <w:tc>
          <w:tcPr>
            <w:tcW w:type="dxa" w:w="2412"/>
          </w:tcPr>
          <w:p>
            <w:pPr>
              <w:spacing w:after="40"/>
            </w:pPr>
            <w:r/>
            <w:r>
              <w:rPr>
                <w:rFonts w:ascii="Inter" w:hAnsi="Inter" w:cs="Inter"/>
                <w:b/>
                <w:i w:val="0"/>
                <w:color w:val="1C1E2E"/>
                <w:sz w:val="19"/>
              </w:rPr>
              <w:t>2nd International Conference on Higher Education</w:t>
            </w:r>
            <w:r>
              <w:rPr>
                <w:rFonts w:ascii="Inter" w:hAnsi="Inter" w:cs="Inter"/>
                <w:b w:val="0"/>
                <w:i w:val="0"/>
                <w:color w:val="1C1E2E"/>
                <w:sz w:val="19"/>
              </w:rPr>
              <w:t xml:space="preserve"> (Cumaná, 2008) — paper acceptance letter, ref. CIES/P 048</w:t>
            </w:r>
          </w:p>
        </w:tc>
        <w:tc>
          <w:tcPr>
            <w:tcW w:type="dxa" w:w="2412"/>
          </w:tcPr>
          <w:p>
            <w:pPr>
              <w:spacing w:after="40"/>
            </w:pPr>
            <w:r/>
            <w:r>
              <w:rPr>
                <w:rFonts w:ascii="Inter" w:hAnsi="Inter" w:cs="Inter"/>
                <w:b w:val="0"/>
                <w:i w:val="0"/>
                <w:color w:val="1C1E2E"/>
                <w:sz w:val="19"/>
              </w:rPr>
              <w:t>§5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in hand</w:t>
            </w:r>
          </w:p>
        </w:tc>
      </w:tr>
    </w:tbl>
    <w:p/>
    <w:p>
      <w:pPr>
        <w:pBdr>
          <w:bottom w:val="single" w:sz="6" w:space="1" w:color="E6E8F2"/>
        </w:pBdr>
      </w:pPr>
    </w:p>
    <w:p>
      <w:pPr>
        <w:spacing w:before="320" w:after="120"/>
      </w:pPr>
      <w:r>
        <w:rPr>
          <w:rFonts w:ascii="Fraunces" w:hAnsi="Fraunces" w:cs="Fraunces"/>
          <w:b/>
          <w:i w:val="0"/>
          <w:color w:val="22307C"/>
          <w:sz w:val="32"/>
        </w:rPr>
        <w:t>Pre-submission checklist</w:t>
      </w:r>
    </w:p>
    <w:p>
      <w:r>
        <w:rPr>
          <w:rFonts w:ascii="Inter" w:hAnsi="Inter" w:cs="Inter"/>
          <w:b/>
          <w:i w:val="0"/>
          <w:color w:val="1C1E2E"/>
          <w:sz w:val="22"/>
        </w:rPr>
        <w:t>Resolved by the documentation already supplied:</w:t>
      </w:r>
    </w:p>
    <w:p>
      <w:pPr>
        <w:pStyle w:val="ListBullet"/>
        <w:spacing w:after="60"/>
        <w:ind w:left="403"/>
      </w:pPr>
      <w:r>
        <w:rPr>
          <w:rFonts w:ascii="Inter" w:hAnsi="Inter" w:cs="Inter"/>
          <w:b w:val="0"/>
          <w:i w:val="0"/>
          <w:color w:val="1C1E2E"/>
          <w:sz w:val="22"/>
        </w:rPr>
        <w:t xml:space="preserve">☑ Undergraduate GPA on the 0–10 Spanish scale → </w:t>
      </w:r>
      <w:r>
        <w:rPr>
          <w:rFonts w:ascii="Inter" w:hAnsi="Inter" w:cs="Inter"/>
          <w:b/>
          <w:i w:val="0"/>
          <w:color w:val="1C1E2E"/>
          <w:sz w:val="22"/>
        </w:rPr>
        <w:t>9.07</w:t>
      </w:r>
      <w:r>
        <w:rPr>
          <w:rFonts w:ascii="Inter" w:hAnsi="Inter" w:cs="Inter"/>
          <w:b w:val="0"/>
          <w:i w:val="0"/>
          <w:color w:val="1C1E2E"/>
          <w:sz w:val="22"/>
        </w:rPr>
        <w:t>, certified by the Spanish administration (DOC-05).</w:t>
      </w:r>
    </w:p>
    <w:p>
      <w:pPr>
        <w:pStyle w:val="ListBullet"/>
        <w:spacing w:after="60"/>
        <w:ind w:left="403"/>
      </w:pPr>
      <w:r>
        <w:rPr>
          <w:rFonts w:ascii="Inter" w:hAnsi="Inter" w:cs="Inter"/>
          <w:b w:val="0"/>
          <w:i w:val="0"/>
          <w:color w:val="1C1E2E"/>
          <w:sz w:val="22"/>
        </w:rPr>
        <w:t xml:space="preserve">☑ Extraordinary undergraduate award → </w:t>
      </w:r>
      <w:r>
        <w:rPr>
          <w:rFonts w:ascii="Inter" w:hAnsi="Inter" w:cs="Inter"/>
          <w:b/>
          <w:i w:val="0"/>
          <w:color w:val="1C1E2E"/>
          <w:sz w:val="22"/>
        </w:rPr>
        <w:t>1st of 56</w:t>
      </w:r>
      <w:r>
        <w:rPr>
          <w:rFonts w:ascii="Inter" w:hAnsi="Inter" w:cs="Inter"/>
          <w:b w:val="0"/>
          <w:i w:val="0"/>
          <w:color w:val="1C1E2E"/>
          <w:sz w:val="22"/>
        </w:rPr>
        <w:t>, apostilled certificate (DOC-06).</w:t>
      </w:r>
    </w:p>
    <w:p>
      <w:pPr>
        <w:pStyle w:val="ListBullet"/>
        <w:spacing w:after="60"/>
        <w:ind w:left="403"/>
      </w:pPr>
      <w:r>
        <w:rPr>
          <w:rFonts w:ascii="Inter" w:hAnsi="Inter" w:cs="Inter"/>
          <w:b w:val="0"/>
          <w:i w:val="0"/>
          <w:color w:val="1C1E2E"/>
          <w:sz w:val="22"/>
        </w:rPr>
        <w:t>☑ Status of the Extraordinary Master's Award → not applicable; the 2 Matrículas de Honor are declared instead.</w:t>
      </w:r>
    </w:p>
    <w:p>
      <w:pPr>
        <w:pStyle w:val="ListBullet"/>
        <w:spacing w:after="60"/>
        <w:ind w:left="403"/>
      </w:pPr>
      <w:r>
        <w:rPr>
          <w:rFonts w:ascii="Inter" w:hAnsi="Inter" w:cs="Inter"/>
          <w:b w:val="0"/>
          <w:i w:val="0"/>
          <w:color w:val="1C1E2E"/>
          <w:sz w:val="22"/>
        </w:rPr>
        <w:t xml:space="preserve">☑ Full publication details → </w:t>
      </w:r>
      <w:r>
        <w:rPr>
          <w:rFonts w:ascii="Inter" w:hAnsi="Inter" w:cs="Inter"/>
          <w:b w:val="0"/>
          <w:i/>
          <w:color w:val="1C1E2E"/>
          <w:sz w:val="22"/>
        </w:rPr>
        <w:t>Kaleidoscopio</w:t>
      </w:r>
      <w:r>
        <w:rPr>
          <w:rFonts w:ascii="Inter" w:hAnsi="Inter" w:cs="Inter"/>
          <w:b w:val="0"/>
          <w:i w:val="0"/>
          <w:color w:val="1C1E2E"/>
          <w:sz w:val="22"/>
        </w:rPr>
        <w:t xml:space="preserve"> 2(3), 51–56, 2005, with the peer-review letter and the international conference paper (DOC-19, DOC-24).</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Doctoral access</w:t>
      </w:r>
      <w:r>
        <w:rPr>
          <w:rFonts w:ascii="Inter" w:hAnsi="Inter" w:cs="Inter"/>
          <w:b w:val="0"/>
          <w:i w:val="0"/>
          <w:color w:val="1C1E2E"/>
          <w:sz w:val="22"/>
        </w:rPr>
        <w:t xml:space="preserve"> → degree officially declared equivalent to </w:t>
      </w:r>
      <w:r>
        <w:rPr>
          <w:rFonts w:ascii="Inter" w:hAnsi="Inter" w:cs="Inter"/>
          <w:b w:val="0"/>
          <w:i/>
          <w:color w:val="1C1E2E"/>
          <w:sz w:val="22"/>
        </w:rPr>
        <w:t>Grado</w:t>
      </w:r>
      <w:r>
        <w:rPr>
          <w:rFonts w:ascii="Inter" w:hAnsi="Inter" w:cs="Inter"/>
          <w:b w:val="0"/>
          <w:i w:val="0"/>
          <w:color w:val="1C1E2E"/>
          <w:sz w:val="22"/>
        </w:rPr>
        <w:t xml:space="preserve"> level (Ministry, 2020) plus an official Spanish master's. No level verification needed (DOC-05B).</w:t>
      </w:r>
    </w:p>
    <w:p>
      <w:pPr>
        <w:pStyle w:val="ListBullet"/>
        <w:spacing w:after="60"/>
        <w:ind w:left="403"/>
      </w:pPr>
      <w:r>
        <w:rPr>
          <w:rFonts w:ascii="Inter" w:hAnsi="Inter" w:cs="Inter"/>
          <w:b w:val="0"/>
          <w:i w:val="0"/>
          <w:color w:val="1C1E2E"/>
          <w:sz w:val="22"/>
        </w:rPr>
        <w:t>☑ Undergraduate academic transcript → in hand (DOC-03).</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Programme and supervision</w:t>
      </w:r>
      <w:r>
        <w:rPr>
          <w:rFonts w:ascii="Inter" w:hAnsi="Inter" w:cs="Inter"/>
          <w:b w:val="0"/>
          <w:i w:val="0"/>
          <w:color w:val="1C1E2E"/>
          <w:sz w:val="22"/>
        </w:rPr>
        <w:t xml:space="preserve"> → PhD in Languages, Literatures and Cultures, and their Applications; Prof. Carrió-Pastor and Prof. Casañ-Pitarch.</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ORCID</w:t>
      </w:r>
      <w:r>
        <w:rPr>
          <w:rFonts w:ascii="Inter" w:hAnsi="Inter" w:cs="Inter"/>
          <w:b w:val="0"/>
          <w:i w:val="0"/>
          <w:color w:val="1C1E2E"/>
          <w:sz w:val="22"/>
        </w:rPr>
        <w:t xml:space="preserve"> → https://orcid.org/0000-0002-8076-1189 </w:t>
      </w:r>
      <w:r>
        <w:rPr>
          <w:rFonts w:ascii="Inter" w:hAnsi="Inter" w:cs="Inter"/>
          <w:b w:val="0"/>
          <w:i/>
          <w:color w:val="1C1E2E"/>
          <w:sz w:val="22"/>
        </w:rPr>
        <w:t>(still to be updated with the master's, the publication and the thesis)</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Undergraduate scholarship</w:t>
      </w:r>
      <w:r>
        <w:rPr>
          <w:rFonts w:ascii="Inter" w:hAnsi="Inter" w:cs="Inter"/>
          <w:b w:val="0"/>
          <w:i w:val="0"/>
          <w:color w:val="1C1E2E"/>
          <w:sz w:val="22"/>
        </w:rPr>
        <w:t xml:space="preserve"> → ULA </w:t>
      </w:r>
      <w:r>
        <w:rPr>
          <w:rFonts w:ascii="Inter" w:hAnsi="Inter" w:cs="Inter"/>
          <w:b/>
          <w:i w:val="0"/>
          <w:color w:val="1C1E2E"/>
          <w:sz w:val="22"/>
        </w:rPr>
        <w:t>High Academic Performance Scholarship</w:t>
      </w:r>
      <w:r>
        <w:rPr>
          <w:rFonts w:ascii="Inter" w:hAnsi="Inter" w:cs="Inter"/>
          <w:b w:val="0"/>
          <w:i w:val="0"/>
          <w:color w:val="1C1E2E"/>
          <w:sz w:val="22"/>
        </w:rPr>
        <w:t xml:space="preserve">, evidenced by official certificate (DOC-12), plus the </w:t>
      </w:r>
      <w:r>
        <w:rPr>
          <w:rFonts w:ascii="Inter" w:hAnsi="Inter" w:cs="Inter"/>
          <w:b/>
          <w:i w:val="0"/>
          <w:color w:val="1C1E2E"/>
          <w:sz w:val="22"/>
        </w:rPr>
        <w:t>four "Luis María Ribas Dávila" Orders</w:t>
      </w:r>
      <w:r>
        <w:rPr>
          <w:rFonts w:ascii="Inter" w:hAnsi="Inter" w:cs="Inter"/>
          <w:b w:val="0"/>
          <w:i w:val="0"/>
          <w:color w:val="1C1E2E"/>
          <w:sz w:val="22"/>
        </w:rPr>
        <w:t xml:space="preserve"> (DOC-07B).</w:t>
      </w:r>
    </w:p>
    <w:p>
      <w:r>
        <w:rPr>
          <w:rFonts w:ascii="Inter" w:hAnsi="Inter" w:cs="Inter"/>
          <w:b/>
          <w:i w:val="0"/>
          <w:color w:val="1C1E2E"/>
          <w:sz w:val="22"/>
        </w:rPr>
        <w:t>Outstanding:</w:t>
      </w:r>
    </w:p>
    <w:p>
      <w:pPr>
        <w:pStyle w:val="ListBullet"/>
        <w:spacing w:after="60"/>
        <w:ind w:left="403"/>
      </w:pPr>
      <w:r>
        <w:rPr>
          <w:rFonts w:ascii="Inter" w:hAnsi="Inter" w:cs="Inter"/>
          <w:b w:val="0"/>
          <w:i w:val="0"/>
          <w:color w:val="1C1E2E"/>
          <w:sz w:val="22"/>
        </w:rPr>
        <w:t xml:space="preserve">☐ 🟠 </w:t>
      </w:r>
      <w:r>
        <w:rPr>
          <w:rFonts w:ascii="Inter" w:hAnsi="Inter" w:cs="Inter"/>
          <w:b/>
          <w:i w:val="0"/>
          <w:color w:val="1C1E2E"/>
          <w:sz w:val="22"/>
        </w:rPr>
        <w:t>Identity note</w:t>
      </w:r>
      <w:r>
        <w:rPr>
          <w:rFonts w:ascii="Inter" w:hAnsi="Inter" w:cs="Inter"/>
          <w:b w:val="0"/>
          <w:i w:val="0"/>
          <w:color w:val="1C1E2E"/>
          <w:sz w:val="22"/>
        </w:rPr>
        <w:t>: paste the text from §A.2 as the first page of the PDF and attach the national ID or marriage certificate linking both surnames.</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English counts</w:t>
      </w:r>
      <w:r>
        <w:rPr>
          <w:rFonts w:ascii="Inter" w:hAnsi="Inter" w:cs="Inter"/>
          <w:b w:val="0"/>
          <w:i w:val="0"/>
          <w:color w:val="1C1E2E"/>
          <w:sz w:val="22"/>
        </w:rPr>
        <w:t xml:space="preserve"> in the languages item → confirmed with the committee (§B.4).</w:t>
      </w:r>
    </w:p>
    <w:p>
      <w:pPr>
        <w:pStyle w:val="ListBullet"/>
        <w:spacing w:after="60"/>
        <w:ind w:left="403"/>
      </w:pPr>
      <w:r>
        <w:rPr>
          <w:rFonts w:ascii="Inter" w:hAnsi="Inter" w:cs="Inter"/>
          <w:b w:val="0"/>
          <w:i w:val="0"/>
          <w:color w:val="1C1E2E"/>
          <w:sz w:val="22"/>
        </w:rPr>
        <w:t xml:space="preserve">☐ Complete the </w:t>
      </w:r>
      <w:r>
        <w:rPr>
          <w:rFonts w:ascii="Inter" w:hAnsi="Inter" w:cs="Inter"/>
          <w:b/>
          <w:i w:val="0"/>
          <w:color w:val="1C1E2E"/>
          <w:sz w:val="22"/>
        </w:rPr>
        <w:t>academic year</w:t>
      </w:r>
      <w:r>
        <w:rPr>
          <w:rFonts w:ascii="Inter" w:hAnsi="Inter" w:cs="Inter"/>
          <w:b w:val="0"/>
          <w:i w:val="0"/>
          <w:color w:val="1C1E2E"/>
          <w:sz w:val="22"/>
        </w:rPr>
        <w:t xml:space="preserve"> and </w:t>
      </w:r>
      <w:r>
        <w:rPr>
          <w:rFonts w:ascii="Inter" w:hAnsi="Inter" w:cs="Inter"/>
          <w:b/>
          <w:i w:val="0"/>
          <w:color w:val="1C1E2E"/>
          <w:sz w:val="22"/>
        </w:rPr>
        <w:t>official name</w:t>
      </w:r>
      <w:r>
        <w:rPr>
          <w:rFonts w:ascii="Inter" w:hAnsi="Inter" w:cs="Inter"/>
          <w:b w:val="0"/>
          <w:i w:val="0"/>
          <w:color w:val="1C1E2E"/>
          <w:sz w:val="22"/>
        </w:rPr>
        <w:t xml:space="preserve"> of both scholarships and locate their award letters → §B.5.</w:t>
      </w:r>
    </w:p>
    <w:p>
      <w:pPr>
        <w:pStyle w:val="ListBullet"/>
        <w:spacing w:after="60"/>
        <w:ind w:left="403"/>
      </w:pPr>
      <w:r>
        <w:rPr>
          <w:rFonts w:ascii="Inter" w:hAnsi="Inter" w:cs="Inter"/>
          <w:b w:val="0"/>
          <w:i w:val="0"/>
          <w:color w:val="1C1E2E"/>
          <w:sz w:val="22"/>
        </w:rPr>
        <w:t>☐ Gather the remaining certificates (DOC-01, DOC-02, DOC-04, DOC-09 to DOC-11, DOC-13 to DOC-18, DOC-20 to DOC-23).</w:t>
      </w:r>
    </w:p>
    <w:p>
      <w:pPr>
        <w:pStyle w:val="ListBullet"/>
        <w:spacing w:after="60"/>
        <w:ind w:left="403"/>
      </w:pPr>
      <w:r>
        <w:rPr>
          <w:rFonts w:ascii="Inter" w:hAnsi="Inter" w:cs="Inter"/>
          <w:b w:val="0"/>
          <w:i w:val="0"/>
          <w:color w:val="1C1E2E"/>
          <w:sz w:val="22"/>
        </w:rPr>
        <w:t xml:space="preserve">☐ Scan everything into a </w:t>
      </w:r>
      <w:r>
        <w:rPr>
          <w:rFonts w:ascii="Inter" w:hAnsi="Inter" w:cs="Inter"/>
          <w:b/>
          <w:i w:val="0"/>
          <w:color w:val="1C1E2E"/>
          <w:sz w:val="22"/>
        </w:rPr>
        <w:t>single PDF</w:t>
      </w:r>
      <w:r>
        <w:rPr>
          <w:rFonts w:ascii="Inter" w:hAnsi="Inter" w:cs="Inter"/>
          <w:b w:val="0"/>
          <w:i w:val="0"/>
          <w:color w:val="1C1E2E"/>
          <w:sz w:val="22"/>
        </w:rPr>
        <w:t>, in the Annex §8 order, with a cover index.</w:t>
      </w:r>
    </w:p>
    <w:p>
      <w:pPr>
        <w:pStyle w:val="ListBullet"/>
        <w:spacing w:after="60"/>
        <w:ind w:left="403"/>
      </w:pPr>
      <w:r>
        <w:rPr>
          <w:rFonts w:ascii="Inter" w:hAnsi="Inter" w:cs="Inter"/>
          <w:b w:val="0"/>
          <w:i w:val="0"/>
          <w:color w:val="1C1E2E"/>
          <w:sz w:val="22"/>
        </w:rPr>
        <w:t xml:space="preserve">☐ Attach the </w:t>
      </w:r>
      <w:r>
        <w:rPr>
          <w:rFonts w:ascii="Inter" w:hAnsi="Inter" w:cs="Inter"/>
          <w:b/>
          <w:i w:val="0"/>
          <w:color w:val="1C1E2E"/>
          <w:sz w:val="22"/>
        </w:rPr>
        <w:t>MLLDE thesis proposal</w:t>
      </w:r>
      <w:r>
        <w:rPr>
          <w:rFonts w:ascii="Inter" w:hAnsi="Inter" w:cs="Inter"/>
          <w:b w:val="0"/>
          <w:i w:val="0"/>
          <w:color w:val="1C1E2E"/>
          <w:sz w:val="22"/>
        </w:rPr>
        <w:t xml:space="preserve"> (separate document, </w:t>
      </w:r>
      <w:r>
        <w:rPr>
          <w:rFonts w:ascii="Consolas" w:hAnsi="Consolas" w:cs="Consolas"/>
          <w:b w:val="0"/>
          <w:i w:val="0"/>
          <w:color w:val="5B5F77"/>
          <w:sz w:val="21"/>
        </w:rPr>
        <w:t>01-propuesta/</w:t>
      </w:r>
      <w:r>
        <w:rPr>
          <w:rFonts w:ascii="Inter" w:hAnsi="Inter" w:cs="Inter"/>
          <w:b w:val="0"/>
          <w:i w:val="0"/>
          <w:color w:val="1C1E2E"/>
          <w:sz w:val="22"/>
        </w:rPr>
        <w:t>).</w:t>
      </w:r>
    </w:p>
    <w:p>
      <w:pPr>
        <w:pBdr>
          <w:bottom w:val="single" w:sz="6" w:space="1" w:color="E6E8F2"/>
        </w:pBdr>
      </w:pPr>
    </w:p>
    <w:p>
      <w:r>
        <w:rPr>
          <w:rFonts w:ascii="Inter" w:hAnsi="Inter" w:cs="Inter"/>
          <w:b w:val="0"/>
          <w:i/>
          <w:color w:val="1C1E2E"/>
          <w:sz w:val="22"/>
        </w:rPr>
        <w:t>© 2026 Ana Eslava-Graterol (ProfeAnaEslavaEdTech). Brand &amp; website: profeanaeslava · GitHub: profeanaeslavaedtech · Universitat Politècnica de València. Prepared with AI assistance (Claude Code, Anthropic) under human supervision and verification; all data comes from the author's verified professional profile.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