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42"/>
        </w:rPr>
        <w:t>ANEXO DE DOCUMENTACIÓN ACREDITATIVA</w:t>
      </w: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Ana Eslava-Graterol — Solicitud de admisión al Programa de Doctorado</w:t>
      </w: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6"/>
        </w:rPr>
        <w:t>Supporting-evidence annex — PhD admission application</w:t>
      </w:r>
    </w:p>
    <w:p>
      <w:r>
        <w:rPr>
          <w:rFonts w:ascii="Inter" w:hAnsi="Inter" w:cs="Inter"/>
          <w:b/>
          <w:i w:val="0"/>
          <w:color w:val="1C1E2E"/>
          <w:sz w:val="22"/>
        </w:rPr>
        <w:t>Programa / Programme: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Doctorado en </w:t>
      </w:r>
      <w:r>
        <w:rPr>
          <w:rFonts w:ascii="Inter" w:hAnsi="Inter" w:cs="Inter"/>
          <w:b/>
          <w:i w:val="0"/>
          <w:color w:val="1C1E2E"/>
          <w:sz w:val="22"/>
        </w:rPr>
        <w:t>Lenguas, Literaturas y Culturas, y sus Aplicaciones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Dept. de Lingüística Aplicada, Universitat Politècnica de València </w:t>
      </w:r>
      <w:r>
        <w:rPr>
          <w:rFonts w:ascii="Inter" w:hAnsi="Inter" w:cs="Inter"/>
          <w:b/>
          <w:i w:val="0"/>
          <w:color w:val="1C1E2E"/>
          <w:sz w:val="22"/>
        </w:rPr>
        <w:t>Dirección / Supervision: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Prof.ª Mª Luisa Carrió-Pastor · Prof. Ricardo Casañ-Pitarch </w:t>
      </w:r>
      <w:r>
        <w:rPr>
          <w:rFonts w:ascii="Inter" w:hAnsi="Inter" w:cs="Inter"/>
          <w:b/>
          <w:i w:val="0"/>
          <w:color w:val="1C1E2E"/>
          <w:sz w:val="22"/>
        </w:rPr>
        <w:t>Propuesta de tesis / Thesis proposal: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MLLDE — </w:t>
      </w:r>
      <w:r>
        <w:rPr>
          <w:rFonts w:ascii="Inter" w:hAnsi="Inter" w:cs="Inter"/>
          <w:b w:val="0"/>
          <w:i/>
          <w:color w:val="1C1E2E"/>
          <w:sz w:val="22"/>
        </w:rPr>
        <w:t>Multimodal Language Learning Design &amp; Evaluation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</w:t>
      </w:r>
      <w:r>
        <w:rPr>
          <w:rFonts w:ascii="Inter" w:hAnsi="Inter" w:cs="Inter"/>
          <w:b/>
          <w:i w:val="0"/>
          <w:color w:val="1C1E2E"/>
          <w:sz w:val="22"/>
        </w:rPr>
        <w:t>Fecha / Date: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</w:t>
      </w:r>
      <w:r>
        <w:rPr>
          <w:rFonts w:ascii="Inter" w:hAnsi="Inter" w:cs="Inter"/>
          <w:b/>
          <w:i w:val="0"/>
          <w:color w:val="1C1E2E"/>
          <w:sz w:val="22"/>
        </w:rPr>
        <w:t>_</w:t>
      </w:r>
      <w:r>
        <w:rPr>
          <w:rFonts w:ascii="Inter" w:hAnsi="Inter" w:cs="Inter"/>
          <w:b/>
          <w:i w:val="0"/>
          <w:color w:val="1C1E2E"/>
          <w:sz w:val="22"/>
        </w:rPr>
        <w:t>_</w:t>
      </w:r>
      <w:r>
        <w:rPr>
          <w:rFonts w:ascii="Inter" w:hAnsi="Inter" w:cs="Inter"/>
          <w:b/>
          <w:i w:val="0"/>
          <w:color w:val="1C1E2E"/>
          <w:sz w:val="22"/>
        </w:rPr>
        <w:t>_</w:t>
      </w:r>
      <w:r>
        <w:rPr>
          <w:rFonts w:ascii="Inter" w:hAnsi="Inter" w:cs="Inter"/>
          <w:b/>
          <w:i w:val="0"/>
          <w:color w:val="1C1E2E"/>
          <w:sz w:val="22"/>
        </w:rPr>
        <w:t>_</w:t>
      </w:r>
      <w:r>
        <w:rPr>
          <w:rFonts w:ascii="Inter" w:hAnsi="Inter" w:cs="Inter"/>
          <w:b/>
          <w:i w:val="0"/>
          <w:color w:val="1C1E2E"/>
          <w:sz w:val="22"/>
        </w:rPr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/>
          <w:i w:val="0"/>
          <w:color w:val="5B5F77"/>
          <w:sz w:val="21"/>
        </w:rPr>
        <w:t>Cómo usar esta portada.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Imprímela como </w:t>
      </w:r>
      <w:r>
        <w:rPr>
          <w:rFonts w:ascii="Inter" w:hAnsi="Inter" w:cs="Inter"/>
          <w:b/>
          <w:i w:val="0"/>
          <w:color w:val="5B5F77"/>
          <w:sz w:val="21"/>
        </w:rPr>
        <w:t>primera página del PDF único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de documentación. Cada documento va detrás, en el orden de la tabla, con el código DOC-nn escrito a mano o sellado en la esquina superior derecha. La comisión debe poder ir del mérito del CV al documento en un solo salto. </w:t>
      </w:r>
      <w:r>
        <w:rPr>
          <w:rFonts w:ascii="Inter" w:hAnsi="Inter" w:cs="Inter"/>
          <w:b w:val="0"/>
          <w:i/>
          <w:color w:val="5B5F77"/>
          <w:sz w:val="21"/>
        </w:rPr>
        <w:t xml:space="preserve">How to use this cover sheet. Print it as the </w:t>
      </w:r>
      <w:r>
        <w:rPr>
          <w:rFonts w:ascii="Inter" w:hAnsi="Inter" w:cs="Inter"/>
          <w:b w:val="0"/>
          <w:i/>
          <w:color w:val="5B5F77"/>
          <w:sz w:val="21"/>
        </w:rPr>
        <w:t>first page of the single evidence PDF</w:t>
      </w:r>
      <w:r>
        <w:rPr>
          <w:rFonts w:ascii="Inter" w:hAnsi="Inter" w:cs="Inter"/>
          <w:b w:val="0"/>
          <w:i/>
          <w:color w:val="5B5F77"/>
          <w:sz w:val="21"/>
        </w:rPr>
        <w:t>. Each document follows in table order, with its DOC-nn code marked in the top-right corner, so the committee can jump from a CV merit to its document in one step.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 xml:space="preserve">Bloque A — Expediente académico (70 %) · </w:t>
      </w:r>
      <w:r>
        <w:rPr>
          <w:rFonts w:ascii="Fraunces" w:hAnsi="Fraunces" w:cs="Fraunces"/>
          <w:b/>
          <w:i w:val="0"/>
          <w:color w:val="22307C"/>
          <w:sz w:val="32"/>
        </w:rPr>
        <w:t>Academic record</w:t>
      </w:r>
    </w:p>
    <w:tbl>
      <w:tblPr>
        <w:tblW w:type="auto" w:w="0"/>
        <w:jc w:val="left"/>
        <w:tblBorders>
          <w:top w:val="single" w:sz="4" w:space="0" w:color="E6E8F2"/>
          <w:left w:val="single" w:sz="4" w:space="0" w:color="E6E8F2"/>
          <w:bottom w:val="single" w:sz="4" w:space="0" w:color="E6E8F2"/>
          <w:right w:val="single" w:sz="4" w:space="0" w:color="E6E8F2"/>
          <w:insideH w:val="single" w:sz="4" w:space="0" w:color="E6E8F2"/>
          <w:insideV w:val="single" w:sz="4" w:space="0" w:color="E6E8F2"/>
        </w:tblBorders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Código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Documento / Document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Acredita / Supports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DOC-01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Certificación académica personal UPV — nota media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9,4/10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y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2 Matrículas de Honor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UPV transcript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A.1 · B.2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Título o resguardo del Máster en Lenguas y Tecnología (UPV)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Master's certificate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A.1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DOC-03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Certificación de Calificaciones Globales + listado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ULA Secretaría, 28 ene. 2009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ULA transcript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A.2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DOC-04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Título de Licenciatura (ULA) + acta de grado con la distinción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Summa Cum Laude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Undergraduate degree + graduation record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A.2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DOC-05B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Declaración de equivalencia del TÍTULO al nivel académico de GRADO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Ministerio de Universidades, RD 967/2014, 17 jun. 2020 · rama Artes y Humanidades, campo Idiomas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Degree-level equivalence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A.2 ·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acceso al doctorado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Declaración de equivalencia de la nota media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Secretaría General de Universidades ·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9,07/10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· CSV ⟨CSV en la copia entregada a la comisión⟩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Grade-average equivalence declaration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A.2 ·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70 %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</w:tbl>
    <w:p/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 xml:space="preserve">Bloque B — Otros méritos (30 %) · </w:t>
      </w:r>
      <w:r>
        <w:rPr>
          <w:rFonts w:ascii="Fraunces" w:hAnsi="Fraunces" w:cs="Fraunces"/>
          <w:b/>
          <w:i w:val="0"/>
          <w:color w:val="22307C"/>
          <w:sz w:val="32"/>
        </w:rPr>
        <w:t>Other merits</w:t>
      </w:r>
    </w:p>
    <w:tbl>
      <w:tblPr>
        <w:tblW w:type="auto" w:w="0"/>
        <w:jc w:val="left"/>
        <w:tblBorders>
          <w:top w:val="single" w:sz="4" w:space="0" w:color="E6E8F2"/>
          <w:left w:val="single" w:sz="4" w:space="0" w:color="E6E8F2"/>
          <w:bottom w:val="single" w:sz="4" w:space="0" w:color="E6E8F2"/>
          <w:right w:val="single" w:sz="4" w:space="0" w:color="E6E8F2"/>
          <w:insideH w:val="single" w:sz="4" w:space="0" w:color="E6E8F2"/>
          <w:insideV w:val="single" w:sz="4" w:space="0" w:color="E6E8F2"/>
        </w:tblBorders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Código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Documento / Document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Mérito / Merit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Constancia de Rango Académico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1.º de 56 graduandos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, 18,97 vs 15,77 · certificación rectoral n.º ⟨n.º en la copia entregada a la comisión⟩ ·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Apostilla de La Haya ⟨n.º en la copia entregada a la comisión⟩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(código ⟨código en la copia entregada a la comisión⟩)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B.1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DOC-07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Diploma de Honor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del Trabajo Especial de Grado —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20/20 Sobresaliente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, Rector de la ULA, 15 nov. 2004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B.1 · §5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DOC-07B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Cuatro Órdenes «Luis María Ribas Dávila»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(2000 · 2001 · 2002 · 2003) — más alto rendimiento académico, Escuela de Educación, ULA-Táchira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Four rectoral distinctions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B.1 · A.2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DOC-08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Resolución del Premio Extraordinario de Máster —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hoy no procede; el premio es el de grado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➖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DOC-09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Certificado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C1 Advanced (CAE)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Cambridge English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B.4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DOC-10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Certificado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CELTA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Cambridge English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B.4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DOC-11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Acreditación de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examinadora DELE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Instituto Cervantes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B.4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Constancia de Beca de Alto Rendimiento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ULA-Táchira, Dirección de Asuntos Estudiantiles, 13 may. 2004 (jul.–dic. 2003, vigente)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Merit scholarship certificate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B.5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DOC-13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Resolución de la beca general del Ministerio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curso 2025/2026, Orden EFD/335/25 · incluye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componente de excelencia académica (tramo 9–9,49)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y beca de matrícula · ⚠️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tachar el nº de cuenta antes de escanear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B.5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DOC-14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Sotelo-Casas et al. (2019),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Estuarine, Coastal and Shelf Science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portada +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página de agradecimientos (p. 8)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B.6 · §5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Evidencia de la calificación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10/10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de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Academic Writing Journey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(UPV, 2026)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A.1 · B.6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Certificados de servicio docente — UDO Núcleo Nueva Esparta (2005–2015),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1.568 horas acreditadas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B.6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DOC-17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Vida laboral / certificado de actividad profesional en España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B.6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DOC-18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Acreditación de tutoría en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AVE Global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Instituto Cervantes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B.6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</w:tbl>
    <w:p/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 xml:space="preserve">Producción científica y formación · </w:t>
      </w:r>
      <w:r>
        <w:rPr>
          <w:rFonts w:ascii="Fraunces" w:hAnsi="Fraunces" w:cs="Fraunces"/>
          <w:b/>
          <w:i w:val="0"/>
          <w:color w:val="22307C"/>
          <w:sz w:val="32"/>
        </w:rPr>
        <w:t>Research output and training</w:t>
      </w:r>
    </w:p>
    <w:tbl>
      <w:tblPr>
        <w:tblW w:type="auto" w:w="0"/>
        <w:jc w:val="left"/>
        <w:tblBorders>
          <w:top w:val="single" w:sz="4" w:space="0" w:color="E6E8F2"/>
          <w:left w:val="single" w:sz="4" w:space="0" w:color="E6E8F2"/>
          <w:bottom w:val="single" w:sz="4" w:space="0" w:color="E6E8F2"/>
          <w:right w:val="single" w:sz="4" w:space="0" w:color="E6E8F2"/>
          <w:insideH w:val="single" w:sz="4" w:space="0" w:color="E6E8F2"/>
          <w:insideV w:val="single" w:sz="4" w:space="0" w:color="E6E8F2"/>
        </w:tblBorders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Código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Documento / Document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Acredita / Supports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DOC-19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Kaleidoscopio 2(3), 51–56 (2005)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primera y última página + carta de aceptación tras arbitraje (UNEG, 09-03-2005). ISSN 1690-6054, indexada en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CLASE–UNAM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· la revista cerró en 2015, así que el registro indexado es la evidencia permanente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DOC-24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II Congreso Internacional de Educación Superior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(Cumaná, 31 jul.–2 ago. 2008) — carta de aceptación de la ponencia, ref. CIES/P 048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DOC-20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Certificado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Instructional Design: Course Planning and Pedagogy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UC Irvine (ene. 2025)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DOC-21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Certificado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Instructional Design Fundamentals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University of Cambridge (mar. 2025)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DOC-22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AP Stylebook Workshop Certificate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The Associated Press (may. 2024)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DOC-23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Certificado SEPE — contenidos digitales, mobile learning y gamificación (2024)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</w:tbl>
    <w:p/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 w:val="0"/>
          <w:i w:val="0"/>
          <w:color w:val="5B5F77"/>
          <w:sz w:val="21"/>
        </w:rPr>
        <w:t xml:space="preserve">⭐ = documento </w:t>
      </w:r>
      <w:r>
        <w:rPr>
          <w:rFonts w:ascii="Inter" w:hAnsi="Inter" w:cs="Inter"/>
          <w:b/>
          <w:i w:val="0"/>
          <w:color w:val="5B5F77"/>
          <w:sz w:val="21"/>
        </w:rPr>
        <w:t>ya en mano y verificado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. Colócalos al principio de su bloque: son los que sostienen el 70 % y el mérito B.1. </w:t>
      </w:r>
      <w:r>
        <w:rPr>
          <w:rFonts w:ascii="Inter" w:hAnsi="Inter" w:cs="Inter"/>
          <w:b w:val="0"/>
          <w:i/>
          <w:color w:val="5B5F77"/>
          <w:sz w:val="21"/>
        </w:rPr>
        <w:t xml:space="preserve">⭐ = document </w:t>
      </w:r>
      <w:r>
        <w:rPr>
          <w:rFonts w:ascii="Inter" w:hAnsi="Inter" w:cs="Inter"/>
          <w:b w:val="0"/>
          <w:i/>
          <w:color w:val="5B5F77"/>
          <w:sz w:val="21"/>
        </w:rPr>
        <w:t>already in hand and verified</w:t>
      </w:r>
      <w:r>
        <w:rPr>
          <w:rFonts w:ascii="Inter" w:hAnsi="Inter" w:cs="Inter"/>
          <w:b w:val="0"/>
          <w:i/>
          <w:color w:val="5B5F77"/>
          <w:sz w:val="21"/>
        </w:rPr>
        <w:t>. Place these first within their block — they carry the 70% and merit B.1.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 xml:space="preserve">Antes de escanear · </w:t>
      </w:r>
      <w:r>
        <w:rPr>
          <w:rFonts w:ascii="Fraunces" w:hAnsi="Fraunces" w:cs="Fraunces"/>
          <w:b/>
          <w:i w:val="0"/>
          <w:color w:val="22307C"/>
          <w:sz w:val="32"/>
        </w:rPr>
        <w:t>Before scanning</w:t>
      </w:r>
    </w:p>
    <w:p>
      <w:r>
        <w:rPr>
          <w:rFonts w:ascii="Inter" w:hAnsi="Inter" w:cs="Inter"/>
          <w:b/>
          <w:i w:val="0"/>
          <w:color w:val="1C1E2E"/>
          <w:sz w:val="22"/>
        </w:rPr>
        <w:t>Ya resuelto con los documentos en mano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</w:t>
      </w:r>
      <w:r>
        <w:rPr>
          <w:rFonts w:ascii="Inter" w:hAnsi="Inter" w:cs="Inter"/>
          <w:b w:val="0"/>
          <w:i/>
          <w:color w:val="1C1E2E"/>
          <w:sz w:val="22"/>
        </w:rPr>
        <w:t>already resolved: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Nota media de la licenciatura: 9,07/10</w:t>
      </w:r>
      <w:r>
        <w:rPr>
          <w:rFonts w:ascii="Inter" w:hAnsi="Inter" w:cs="Inter"/>
          <w:b w:val="0"/>
          <w:i w:val="0"/>
          <w:color w:val="1C1E2E"/>
          <w:sz w:val="22"/>
        </w:rPr>
        <w:t>, certificada por la Administración española (DOC-05). Es el número que entra en el 70 %.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Acceso al doctorado: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el título tiene </w:t>
      </w:r>
      <w:r>
        <w:rPr>
          <w:rFonts w:ascii="Inter" w:hAnsi="Inter" w:cs="Inter"/>
          <w:b/>
          <w:i w:val="0"/>
          <w:color w:val="1C1E2E"/>
          <w:sz w:val="22"/>
        </w:rPr>
        <w:t>equivalencia oficial al nivel académico de Grado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(Ministerio de Universidades, RD 967/2014, 17 jun. 2020 — DOC-05B). Sumado al </w:t>
      </w:r>
      <w:r>
        <w:rPr>
          <w:rFonts w:ascii="Inter" w:hAnsi="Inter" w:cs="Inter"/>
          <w:b/>
          <w:i w:val="0"/>
          <w:color w:val="1C1E2E"/>
          <w:sz w:val="22"/>
        </w:rPr>
        <w:t>máster oficial español de la UPV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el acceso por el art. 6 del RD 99/2011 queda completo: </w:t>
      </w:r>
      <w:r>
        <w:rPr>
          <w:rFonts w:ascii="Inter" w:hAnsi="Inter" w:cs="Inter"/>
          <w:b/>
          <w:i w:val="0"/>
          <w:color w:val="1C1E2E"/>
          <w:sz w:val="22"/>
        </w:rPr>
        <w:t>no hay que pedir comprobación de nivel</w:t>
      </w:r>
      <w:r>
        <w:rPr>
          <w:rFonts w:ascii="Inter" w:hAnsi="Inter" w:cs="Inter"/>
          <w:b w:val="0"/>
          <w:i w:val="0"/>
          <w:color w:val="1C1E2E"/>
          <w:sz w:val="22"/>
        </w:rPr>
        <w:t>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Premio extraordinario de grado: 1.º de 56 graduandos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(DOC-06), con certificación rectoral y apostilla de La Haya, respaldado por la </w:t>
      </w:r>
      <w:r>
        <w:rPr>
          <w:rFonts w:ascii="Inter" w:hAnsi="Inter" w:cs="Inter"/>
          <w:b/>
          <w:i w:val="0"/>
          <w:color w:val="1C1E2E"/>
          <w:sz w:val="22"/>
        </w:rPr>
        <w:t>Orden «Luis María Ribas Dávila» de cuatro años consecutivos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(DOC-07B).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Premio extraordinario de máster: no procede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el premio es el de grado. Se declaran las 2 Matrículas de Honor como distinción del máster.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Certificación académica de la licenciatura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(DOC-03) y </w:t>
      </w:r>
      <w:r>
        <w:rPr>
          <w:rFonts w:ascii="Inter" w:hAnsi="Inter" w:cs="Inter"/>
          <w:b/>
          <w:i w:val="0"/>
          <w:color w:val="1C1E2E"/>
          <w:sz w:val="22"/>
        </w:rPr>
        <w:t>recorrido investigador del TFG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(DOC-07, DOC-19, DOC-24): en mano.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Las dos becas, acreditadas.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Grado: </w:t>
      </w:r>
      <w:r>
        <w:rPr>
          <w:rFonts w:ascii="Inter" w:hAnsi="Inter" w:cs="Inter"/>
          <w:b/>
          <w:i w:val="0"/>
          <w:color w:val="1C1E2E"/>
          <w:sz w:val="22"/>
        </w:rPr>
        <w:t>Beca de Alto Rendimiento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 la ULA, de mérito (DOC-12). Máster: </w:t>
      </w:r>
      <w:r>
        <w:rPr>
          <w:rFonts w:ascii="Inter" w:hAnsi="Inter" w:cs="Inter"/>
          <w:b/>
          <w:i w:val="0"/>
          <w:color w:val="1C1E2E"/>
          <w:sz w:val="22"/>
        </w:rPr>
        <w:t>beca general del Ministerio 2025/2026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con </w:t>
      </w:r>
      <w:r>
        <w:rPr>
          <w:rFonts w:ascii="Inter" w:hAnsi="Inter" w:cs="Inter"/>
          <w:b/>
          <w:i w:val="0"/>
          <w:color w:val="1C1E2E"/>
          <w:sz w:val="22"/>
        </w:rPr>
        <w:t>componente de excelencia académica del tramo 9–9,49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(DOC-13) — el Ministerio confirma así el 9,4 desde una fuente independiente.</w:t>
      </w:r>
    </w:p>
    <w:p>
      <w:r>
        <w:rPr>
          <w:rFonts w:ascii="Inter" w:hAnsi="Inter" w:cs="Inter"/>
          <w:b/>
          <w:i w:val="0"/>
          <w:color w:val="1C1E2E"/>
          <w:sz w:val="22"/>
        </w:rPr>
        <w:t>Pendiente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</w:t>
      </w:r>
      <w:r>
        <w:rPr>
          <w:rFonts w:ascii="Inter" w:hAnsi="Inter" w:cs="Inter"/>
          <w:b w:val="0"/>
          <w:i/>
          <w:color w:val="1C1E2E"/>
          <w:sz w:val="22"/>
        </w:rPr>
        <w:t>outstanding: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 xml:space="preserve">🟠 </w:t>
      </w:r>
      <w:r>
        <w:rPr>
          <w:rFonts w:ascii="Inter" w:hAnsi="Inter" w:cs="Inter"/>
          <w:b/>
          <w:i w:val="0"/>
          <w:color w:val="1C1E2E"/>
          <w:sz w:val="22"/>
        </w:rPr>
        <w:t>Cadena de identidad.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Los documentos alternan </w:t>
      </w:r>
      <w:r>
        <w:rPr>
          <w:rFonts w:ascii="Inter" w:hAnsi="Inter" w:cs="Inter"/>
          <w:b/>
          <w:i w:val="0"/>
          <w:color w:val="1C1E2E"/>
          <w:sz w:val="22"/>
        </w:rPr>
        <w:t>«Eslava Graterol»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(ULA, publicación, beca, Órdenes), </w:t>
      </w:r>
      <w:r>
        <w:rPr>
          <w:rFonts w:ascii="Inter" w:hAnsi="Inter" w:cs="Inter"/>
          <w:b/>
          <w:i w:val="0"/>
          <w:color w:val="1C1E2E"/>
          <w:sz w:val="22"/>
        </w:rPr>
        <w:t>«Eslava de Morales»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(resolución del Ministerio, congreso 2008) y una errata, </w:t>
      </w:r>
      <w:r>
        <w:rPr>
          <w:rFonts w:ascii="Inter" w:hAnsi="Inter" w:cs="Inter"/>
          <w:b/>
          <w:i w:val="0"/>
          <w:color w:val="1C1E2E"/>
          <w:sz w:val="22"/>
        </w:rPr>
        <w:t>«Ana Soraymi»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en la Orden de 2003. Añadir al PDF una </w:t>
      </w:r>
      <w:r>
        <w:rPr>
          <w:rFonts w:ascii="Inter" w:hAnsi="Inter" w:cs="Inter"/>
          <w:b/>
          <w:i w:val="0"/>
          <w:color w:val="1C1E2E"/>
          <w:sz w:val="22"/>
        </w:rPr>
        <w:t>nota de identidad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 una línea con el documento que enlaza ambos nombres, y usar un solo nombre en todo el expediente.</w:t>
      </w:r>
    </w:p>
    <w:p>
      <w:r>
        <w:rPr>
          <w:rFonts w:ascii="Inter" w:hAnsi="Inter" w:cs="Inter"/>
          <w:b w:val="0"/>
          <w:i/>
          <w:color w:val="1C1E2E"/>
          <w:sz w:val="22"/>
        </w:rPr>
        <w:t>The documents alternate two surnames — add a one-line identity note plus the linking document, and use one name consistently.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Elegibilidad del inglés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en el apartado de idiomas — preguntar a la comisión, dado que las titulaciones previas son de inglés.</w:t>
      </w:r>
    </w:p>
    <w:p>
      <w:r>
        <w:rPr>
          <w:rFonts w:ascii="Inter" w:hAnsi="Inter" w:cs="Inter"/>
          <w:b w:val="0"/>
          <w:i/>
          <w:color w:val="1C1E2E"/>
          <w:sz w:val="22"/>
        </w:rPr>
        <w:t>Eligibility of English in the languages item — ask the committee.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Tachar el número de cuenta bancaria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 la resolución del Ministerio (DOC-13) antes de escanearla. El documento incluye también NIF y domicilio: la comisión no necesita ninguno de los tres.</w:t>
      </w:r>
    </w:p>
    <w:p>
      <w:r>
        <w:rPr>
          <w:rFonts w:ascii="Inter" w:hAnsi="Inter" w:cs="Inter"/>
          <w:b w:val="0"/>
          <w:i/>
          <w:color w:val="1C1E2E"/>
          <w:sz w:val="22"/>
        </w:rPr>
        <w:t>Redact the bank account number from the Ministry resolution before scanning it.</w:t>
      </w:r>
    </w:p>
    <w:p>
      <w:pPr>
        <w:pBdr>
          <w:bottom w:val="single" w:sz="6" w:space="1" w:color="E6E8F2"/>
        </w:pBdr>
      </w:pPr>
    </w:p>
    <w:p>
      <w:r>
        <w:rPr>
          <w:rFonts w:ascii="Inter" w:hAnsi="Inter" w:cs="Inter"/>
          <w:b w:val="0"/>
          <w:i/>
          <w:color w:val="1C1E2E"/>
          <w:sz w:val="22"/>
        </w:rPr>
        <w:t>© 2026 Ana Eslava-Graterol (ProfeAnaEslavaEdTech) · Universitat Politècnica de València.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36" w:lineRule="auto"/>
    </w:pPr>
    <w:rPr>
      <w:rFonts w:ascii="Inter" w:hAnsi="Inter"/>
      <w:color w:val="1C1E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