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42"/>
        </w:rPr>
        <w:t>Ana Zoraimy Eslava-Graterol</w:t>
      </w:r>
    </w:p>
    <w:p>
      <w:r>
        <w:rPr>
          <w:rFonts w:ascii="Inter" w:hAnsi="Inter" w:cs="Inter"/>
          <w:b/>
          <w:i w:val="0"/>
          <w:color w:val="1C1E2E"/>
          <w:sz w:val="22"/>
        </w:rPr>
        <w:t>Arquitecta de eLearning de idiomas · Diseñadora instruccional · Investigadora doctoral — MLLDE</w:t>
      </w:r>
    </w:p>
    <w:p>
      <w:r>
        <w:rPr>
          <w:rFonts w:ascii="Inter" w:hAnsi="Inter" w:cs="Inter"/>
          <w:b w:val="0"/>
          <w:i/>
          <w:color w:val="1C1E2E"/>
          <w:sz w:val="22"/>
        </w:rPr>
        <w:t>Del guion a la pantalla — pedagogía, IA y diseño curricular para el aprendizaje móvil de idiomas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1 · Datos personales y de contacto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EF2FD"/>
          </w:tcPr>
          <w:p>
            <w:pPr>
              <w:spacing w:after="40"/>
            </w:pPr>
            <w:r/>
          </w:p>
        </w:tc>
        <w:tc>
          <w:tcPr>
            <w:tcW w:type="dxa" w:w="4824"/>
            <w:shd w:val="clear" w:color="auto" w:fill="EEF2FD"/>
          </w:tcPr>
          <w:p>
            <w:pPr>
              <w:spacing w:after="40"/>
            </w:pPr>
            <w:r/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Nombre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Ana Zoraimy Eslava-Graterol ·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también: Eslava Graterol (soltera) · Eslava de Morales (casada)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Correo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profeanaeslava@gmail.com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Teléfono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⟨teléfono en la copia entregada a la comisión⟩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Residencia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Valencia, España — disponibilidad inmediata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ORCID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https://orcid.org/0000-0002-8076-1189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LinkedIn · GitHub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linkedin.com/in/anaeslava · github.com/ProfeAnaEslavaEdTech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Portafolio EdTech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https://profeanaeslavaedtech.github.io/eLearningportfolio/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Portafolio de investigación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https://profeanaeslavaedtech.github.io/portofolio/</w:t>
            </w:r>
          </w:p>
        </w:tc>
      </w:tr>
    </w:tbl>
    <w:p/>
    <w:p>
      <w:r>
        <w:rPr>
          <w:rFonts w:ascii="Inter" w:hAnsi="Inter" w:cs="Inter"/>
          <w:b/>
          <w:i w:val="0"/>
          <w:color w:val="1C1E2E"/>
          <w:sz w:val="22"/>
        </w:rPr>
        <w:t>Programa solicitado: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Doctorado en </w:t>
      </w:r>
      <w:r>
        <w:rPr>
          <w:rFonts w:ascii="Inter" w:hAnsi="Inter" w:cs="Inter"/>
          <w:b/>
          <w:i w:val="0"/>
          <w:color w:val="1C1E2E"/>
          <w:sz w:val="22"/>
        </w:rPr>
        <w:t>Lenguas, Literaturas y Culturas, y sus Aplicaciones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Departamento de Lingüística Aplicada, Universitat Politècnica de València. </w:t>
      </w:r>
      <w:r>
        <w:rPr>
          <w:rFonts w:ascii="Inter" w:hAnsi="Inter" w:cs="Inter"/>
          <w:b/>
          <w:i w:val="0"/>
          <w:color w:val="1C1E2E"/>
          <w:sz w:val="22"/>
        </w:rPr>
        <w:t>Modalidad: tiempo completo, 3 años.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/>
          <w:i w:val="0"/>
          <w:color w:val="1C1E2E"/>
          <w:sz w:val="22"/>
        </w:rPr>
        <w:t>Dirección propuesta: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Prof.ª Mª Luisa Carrió-Pastor (directora) · Prof. Ricardo Casañ-Pitarch (codirector).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2 · Línea de investigación doctoral — y su aplicación</w:t>
      </w:r>
    </w:p>
    <w:p>
      <w:r>
        <w:rPr>
          <w:rFonts w:ascii="Inter" w:hAnsi="Inter" w:cs="Inter"/>
          <w:b/>
          <w:i w:val="0"/>
          <w:color w:val="1C1E2E"/>
          <w:sz w:val="22"/>
        </w:rPr>
        <w:t>MLLDE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</w:t>
      </w:r>
      <w:r>
        <w:rPr>
          <w:rFonts w:ascii="Inter" w:hAnsi="Inter" w:cs="Inter"/>
          <w:b w:val="0"/>
          <w:i/>
          <w:color w:val="1C1E2E"/>
          <w:sz w:val="22"/>
        </w:rPr>
        <w:t>Multimodal Language Learning Design &amp; Evaluation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. Método replicable y agnóstico respecto de la lengua, anclado al </w:t>
      </w:r>
      <w:r>
        <w:rPr>
          <w:rFonts w:ascii="Inter" w:hAnsi="Inter" w:cs="Inter"/>
          <w:b/>
          <w:i w:val="0"/>
          <w:color w:val="1C1E2E"/>
          <w:sz w:val="22"/>
        </w:rPr>
        <w:t>MCER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dos pilares: </w:t>
      </w:r>
      <w:r>
        <w:rPr>
          <w:rFonts w:ascii="Inter" w:hAnsi="Inter" w:cs="Inter"/>
          <w:b/>
          <w:i w:val="0"/>
          <w:color w:val="1C1E2E"/>
          <w:sz w:val="22"/>
        </w:rPr>
        <w:t>diseño curricular móvil con la modalidad como variable declarada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(texto, audio, imagen, voz) y </w:t>
      </w:r>
      <w:r>
        <w:rPr>
          <w:rFonts w:ascii="Inter" w:hAnsi="Inter" w:cs="Inter"/>
          <w:b/>
          <w:i w:val="0"/>
          <w:color w:val="1C1E2E"/>
          <w:sz w:val="22"/>
        </w:rPr>
        <w:t>evaluación de la competencia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bajo el principio </w:t>
      </w:r>
      <w:r>
        <w:rPr>
          <w:rFonts w:ascii="Inter" w:hAnsi="Inter" w:cs="Inter"/>
          <w:b/>
          <w:i w:val="0"/>
          <w:color w:val="1C1E2E"/>
          <w:sz w:val="22"/>
        </w:rPr>
        <w:t>Measure ≠ Decide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: el modelo observa y describe, un motor determinista computa la banda. Metodología: </w:t>
      </w:r>
      <w:r>
        <w:rPr>
          <w:rFonts w:ascii="Inter" w:hAnsi="Inter" w:cs="Inter"/>
          <w:b/>
          <w:i w:val="0"/>
          <w:color w:val="1C1E2E"/>
          <w:sz w:val="22"/>
        </w:rPr>
        <w:t>investigación basada en diseño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mediante ciclos SAM.</w:t>
      </w:r>
    </w:p>
    <w:p>
      <w:r>
        <w:rPr>
          <w:rFonts w:ascii="Inter" w:hAnsi="Inter" w:cs="Inter"/>
          <w:b/>
          <w:i w:val="0"/>
          <w:color w:val="1C1E2E"/>
          <w:sz w:val="22"/>
        </w:rPr>
        <w:t>Dos contribuciones: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Architecture Voice Design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arquitectura anclada al MCER para agentes LLM, con la </w:t>
      </w:r>
      <w:r>
        <w:rPr>
          <w:rFonts w:ascii="Inter" w:hAnsi="Inter" w:cs="Inter"/>
          <w:b/>
          <w:i w:val="0"/>
          <w:color w:val="1C1E2E"/>
          <w:sz w:val="22"/>
        </w:rPr>
        <w:t>pronunciación como canal evaluado de primer orden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conversión de turnos hablados en evidencia xAPI auditable.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Measurement Module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medición anclada al MCER en </w:t>
      </w:r>
      <w:r>
        <w:rPr>
          <w:rFonts w:ascii="Inter" w:hAnsi="Inter" w:cs="Inter"/>
          <w:b/>
          <w:i w:val="0"/>
          <w:color w:val="1C1E2E"/>
          <w:sz w:val="22"/>
        </w:rPr>
        <w:t>xAPI / IEEE 9274.1.1-2023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lecturas por actor (aprendiente, docente, administración) y </w:t>
      </w:r>
      <w:r>
        <w:rPr>
          <w:rFonts w:ascii="Inter" w:hAnsi="Inter" w:cs="Inter"/>
          <w:b/>
          <w:i w:val="0"/>
          <w:color w:val="1C1E2E"/>
          <w:sz w:val="22"/>
        </w:rPr>
        <w:t>telemetría dual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que registra también el acto docente de la IA. Modelo de pronunciación por </w:t>
      </w:r>
      <w:r>
        <w:rPr>
          <w:rFonts w:ascii="Inter" w:hAnsi="Inter" w:cs="Inter"/>
          <w:b/>
          <w:i w:val="0"/>
          <w:color w:val="1C1E2E"/>
          <w:sz w:val="22"/>
        </w:rPr>
        <w:t>tres tiers de evidencia</w:t>
      </w:r>
      <w:r>
        <w:rPr>
          <w:rFonts w:ascii="Inter" w:hAnsi="Inter" w:cs="Inter"/>
          <w:b w:val="0"/>
          <w:i w:val="0"/>
          <w:color w:val="1C1E2E"/>
          <w:sz w:val="22"/>
        </w:rPr>
        <w:t>: rúbrica sobre transcripción ASR (en producción) → puntuación instrumentada → GOP fonémico a medida.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La línea ya está aplicada y evidenciada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Academic Writing Journey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primera integración de andamiaje, LLM y diseño curricular. Valorado de forma independiente con </w:t>
      </w:r>
      <w:r>
        <w:rPr>
          <w:rFonts w:ascii="Inter" w:hAnsi="Inter" w:cs="Inter"/>
          <w:b/>
          <w:i w:val="0"/>
          <w:color w:val="1C1E2E"/>
          <w:sz w:val="22"/>
        </w:rPr>
        <w:t>10/10 por diseño inclusivo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(UPV, 2026), cero errores de navegación en pruebas de usabilidad.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Language Passport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instancia móvil nativa: destinos Barcelona y Sevilla construidos, PWA sin conexión, WCAG-AA, mentora de IA «Grace» (andamia, nunca hace la tarea del alumno).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Vocabulario xAPI de MLLDE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registro de IRIs v0.3 (~125 identificadores, </w:t>
      </w:r>
      <w:r>
        <w:rPr>
          <w:rFonts w:ascii="Consolas" w:hAnsi="Consolas" w:cs="Consolas"/>
          <w:b w:val="0"/>
          <w:i w:val="0"/>
          <w:color w:val="5B5F77"/>
          <w:sz w:val="21"/>
        </w:rPr>
        <w:t>w3id.org/mllde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); </w:t>
      </w:r>
      <w:r>
        <w:rPr>
          <w:rFonts w:ascii="Inter" w:hAnsi="Inter" w:cs="Inter"/>
          <w:b/>
          <w:i w:val="0"/>
          <w:color w:val="1C1E2E"/>
          <w:sz w:val="22"/>
        </w:rPr>
        <w:t>candidato a primer perfil MCER de aprendizaje de idiomas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para el servidor de perfiles de ADL.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Aplicación en industria — TK Coach (Talkétika):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MLLDE aplicado de extremo a extremo, con medición MCER de </w:t>
      </w:r>
      <w:r>
        <w:rPr>
          <w:rFonts w:ascii="Inter" w:hAnsi="Inter" w:cs="Inter"/>
          <w:b/>
          <w:i w:val="0"/>
          <w:color w:val="1C1E2E"/>
          <w:sz w:val="22"/>
        </w:rPr>
        <w:t>271 descriptores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rúbrica 0–10 </w:t>
      </w:r>
      <w:r>
        <w:rPr>
          <w:rFonts w:ascii="Inter" w:hAnsi="Inter" w:cs="Inter"/>
          <w:b/>
          <w:i w:val="0"/>
          <w:color w:val="1C1E2E"/>
          <w:sz w:val="22"/>
        </w:rPr>
        <w:t>validada en un LRS conformante real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(Veracity). Derechos liberados: </w:t>
      </w:r>
      <w:r>
        <w:rPr>
          <w:rFonts w:ascii="Inter" w:hAnsi="Inter" w:cs="Inter"/>
          <w:b/>
          <w:i w:val="0"/>
          <w:color w:val="1C1E2E"/>
          <w:sz w:val="22"/>
        </w:rPr>
        <w:t>citable como caso de estudio doctoral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Destilado y reutilizable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el método empaquetado como dos métodos de diseño portables (arquitectura de medición; diseño de experiencia de aprendizaje), bajo el modelo </w:t>
      </w:r>
      <w:r>
        <w:rPr>
          <w:rFonts w:ascii="Inter" w:hAnsi="Inter" w:cs="Inter"/>
          <w:b/>
          <w:i w:val="0"/>
          <w:color w:val="1C1E2E"/>
          <w:sz w:val="22"/>
        </w:rPr>
        <w:t>engine + pack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3 · Formación académica</w:t>
      </w:r>
    </w:p>
    <w:p>
      <w:r>
        <w:rPr>
          <w:rFonts w:ascii="Inter" w:hAnsi="Inter" w:cs="Inter"/>
          <w:b/>
          <w:i w:val="0"/>
          <w:color w:val="1C1E2E"/>
          <w:sz w:val="22"/>
        </w:rPr>
        <w:t>Máster Universitario en Lenguas y Tecnología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especialidad Didáctica </w:t>
      </w:r>
      <w:r>
        <w:rPr>
          <w:rFonts w:ascii="Inter" w:hAnsi="Inter" w:cs="Inter"/>
          <w:b w:val="0"/>
          <w:i/>
          <w:color w:val="1C1E2E"/>
          <w:sz w:val="22"/>
        </w:rPr>
        <w:t>Universitat Politècnica de València (UPV)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sep. 2025 – jul. 2026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Nota media: 9,4 / 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2 Matrículas de Honor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TFM: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estudio de corpus sobre </w:t>
      </w:r>
      <w:r>
        <w:rPr>
          <w:rFonts w:ascii="Inter" w:hAnsi="Inter" w:cs="Inter"/>
          <w:b/>
          <w:i w:val="0"/>
          <w:color w:val="1C1E2E"/>
          <w:sz w:val="22"/>
        </w:rPr>
        <w:t>variación disciplinar del metadiscurso en resúmenes de TFM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180 resúmenes de seis disciplinas (18.000 palabras, 920 marcadores), etiquetado con </w:t>
      </w:r>
      <w:r>
        <w:rPr>
          <w:rFonts w:ascii="Inter" w:hAnsi="Inter" w:cs="Inter"/>
          <w:b/>
          <w:i w:val="0"/>
          <w:color w:val="1C1E2E"/>
          <w:sz w:val="22"/>
        </w:rPr>
        <w:t>METOOL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(Carrió-Pastor, 2020) bajo el marco de Hyland (2005). </w:t>
      </w:r>
      <w:r>
        <w:rPr>
          <w:rFonts w:ascii="Inter" w:hAnsi="Inter" w:cs="Inter"/>
          <w:b/>
          <w:i w:val="0"/>
          <w:color w:val="1C1E2E"/>
          <w:sz w:val="22"/>
        </w:rPr>
        <w:t>Directora: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Prof.ª Mª Luisa Carrió-Pastor.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Proyecto de asignatura </w:t>
      </w:r>
      <w:r>
        <w:rPr>
          <w:rFonts w:ascii="Inter" w:hAnsi="Inter" w:cs="Inter"/>
          <w:b w:val="0"/>
          <w:i/>
          <w:color w:val="1C1E2E"/>
          <w:sz w:val="22"/>
        </w:rPr>
        <w:t>Academic Writing Journey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valorado </w:t>
      </w:r>
      <w:r>
        <w:rPr>
          <w:rFonts w:ascii="Inter" w:hAnsi="Inter" w:cs="Inter"/>
          <w:b/>
          <w:i w:val="0"/>
          <w:color w:val="1C1E2E"/>
          <w:sz w:val="22"/>
        </w:rPr>
        <w:t>10/10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por diseño inclusivo.</w:t>
      </w:r>
    </w:p>
    <w:p>
      <w:r>
        <w:rPr>
          <w:rFonts w:ascii="Inter" w:hAnsi="Inter" w:cs="Inter"/>
          <w:b/>
          <w:i w:val="0"/>
          <w:color w:val="1C1E2E"/>
          <w:sz w:val="22"/>
        </w:rPr>
        <w:t>Licenciada en Educación, mención Inglés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especialización en currículo </w:t>
      </w:r>
      <w:r>
        <w:rPr>
          <w:rFonts w:ascii="Inter" w:hAnsi="Inter" w:cs="Inter"/>
          <w:b w:val="0"/>
          <w:i/>
          <w:color w:val="1C1E2E"/>
          <w:sz w:val="22"/>
        </w:rPr>
        <w:t>Universidad de Los Andes (ULA), Núcleo Universitario «Dr. Pedro Rincón Gutiérrez», San Cristóbal, Táchira, Venezuela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1999 – 2003</w:t>
      </w:r>
      <w:r>
        <w:rPr>
          <w:rFonts w:ascii="Inter" w:hAnsi="Inter" w:cs="Inter"/>
          <w:b w:val="0"/>
          <w:i w:val="0"/>
          <w:color w:val="1C1E2E"/>
          <w:sz w:val="22"/>
        </w:rPr>
        <w:t>, título conferido en 2004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Nota media: 9,07 / 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la escala española — </w:t>
      </w:r>
      <w:r>
        <w:rPr>
          <w:rFonts w:ascii="Inter" w:hAnsi="Inter" w:cs="Inter"/>
          <w:b w:val="0"/>
          <w:i/>
          <w:color w:val="1C1E2E"/>
          <w:sz w:val="22"/>
        </w:rPr>
        <w:t>Declaración de equivalencia de la nota media</w:t>
      </w:r>
      <w:r>
        <w:rPr>
          <w:rFonts w:ascii="Inter" w:hAnsi="Inter" w:cs="Inter"/>
          <w:b w:val="0"/>
          <w:i w:val="0"/>
          <w:color w:val="1C1E2E"/>
          <w:sz w:val="22"/>
        </w:rPr>
        <w:t>, Secretaría General de Universidades (18,97/20 en la escala de origen).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Summa Cum Laude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1.ª de 56 graduandos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(promedio de la promoción: 15,77/20).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Trabajo Especial de Grado: 20/20 Sobresaliente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</w:t>
      </w:r>
      <w:r>
        <w:rPr>
          <w:rFonts w:ascii="Inter" w:hAnsi="Inter" w:cs="Inter"/>
          <w:b/>
          <w:i w:val="0"/>
          <w:color w:val="1C1E2E"/>
          <w:sz w:val="22"/>
        </w:rPr>
        <w:t>Diploma de Honor del Rector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(15 nov. 2004).</w:t>
      </w:r>
    </w:p>
    <w:p>
      <w:r>
        <w:rPr>
          <w:rFonts w:ascii="Inter" w:hAnsi="Inter" w:cs="Inter"/>
          <w:b/>
          <w:i w:val="0"/>
          <w:color w:val="1C1E2E"/>
          <w:sz w:val="22"/>
        </w:rPr>
        <w:t>Equivalencia oficial del título en España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Ministerio de Universidades, RD 967/2014: </w:t>
      </w:r>
      <w:r>
        <w:rPr>
          <w:rFonts w:ascii="Inter" w:hAnsi="Inter" w:cs="Inter"/>
          <w:b/>
          <w:i w:val="0"/>
          <w:color w:val="1C1E2E"/>
          <w:sz w:val="22"/>
        </w:rPr>
        <w:t>nivel académico de Grado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rama de </w:t>
      </w:r>
      <w:r>
        <w:rPr>
          <w:rFonts w:ascii="Inter" w:hAnsi="Inter" w:cs="Inter"/>
          <w:b/>
          <w:i w:val="0"/>
          <w:color w:val="1C1E2E"/>
          <w:sz w:val="22"/>
        </w:rPr>
        <w:t>Artes y Humanidades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campo específico </w:t>
      </w:r>
      <w:r>
        <w:rPr>
          <w:rFonts w:ascii="Inter" w:hAnsi="Inter" w:cs="Inter"/>
          <w:b/>
          <w:i w:val="0"/>
          <w:color w:val="1C1E2E"/>
          <w:sz w:val="22"/>
        </w:rPr>
        <w:t>Idiomas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(17 jun. 2020).</w:t>
      </w:r>
    </w:p>
    <w:p>
      <w:r>
        <w:rPr>
          <w:rFonts w:ascii="Inter" w:hAnsi="Inter" w:cs="Inter"/>
          <w:b/>
          <w:i w:val="0"/>
          <w:color w:val="1C1E2E"/>
          <w:sz w:val="22"/>
        </w:rPr>
        <w:t>Curso SDL Trados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Universidad Europea (2017 – 2018).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4 · Becas, premios y distinciones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>Excelencia académica sostenida durante toda la carrera, no un resultado puntual.</w:t>
      </w:r>
    </w:p>
    <w:p>
      <w:r>
        <w:rPr>
          <w:rFonts w:ascii="Inter" w:hAnsi="Inter" w:cs="Inter"/>
          <w:b/>
          <w:i w:val="0"/>
          <w:color w:val="1C1E2E"/>
          <w:sz w:val="22"/>
        </w:rPr>
        <w:t>Orden «Luis María Ribas Dávila» — Universidad de Los Andes · 2000, 2001, 2002 y 2003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Distinción rectoral al </w:t>
      </w:r>
      <w:r>
        <w:rPr>
          <w:rFonts w:ascii="Inter" w:hAnsi="Inter" w:cs="Inter"/>
          <w:b/>
          <w:i w:val="0"/>
          <w:color w:val="1C1E2E"/>
          <w:sz w:val="22"/>
        </w:rPr>
        <w:t>más alto rendimiento académico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Escuela de Educación, Núcleo Universitario del Táchira. </w:t>
      </w:r>
      <w:r>
        <w:rPr>
          <w:rFonts w:ascii="Inter" w:hAnsi="Inter" w:cs="Inter"/>
          <w:b/>
          <w:i w:val="0"/>
          <w:color w:val="1C1E2E"/>
          <w:sz w:val="22"/>
        </w:rPr>
        <w:t>Concedida cuatro años consecutivos</w:t>
      </w:r>
      <w:r>
        <w:rPr>
          <w:rFonts w:ascii="Inter" w:hAnsi="Inter" w:cs="Inter"/>
          <w:b w:val="0"/>
          <w:i w:val="0"/>
          <w:color w:val="1C1E2E"/>
          <w:sz w:val="22"/>
        </w:rPr>
        <w:t>, en cada uno de los cursos evaluados. Firmada por el Rector y la Secretaria de la ULA.</w:t>
      </w:r>
    </w:p>
    <w:p>
      <w:r>
        <w:rPr>
          <w:rFonts w:ascii="Inter" w:hAnsi="Inter" w:cs="Inter"/>
          <w:b/>
          <w:i w:val="0"/>
          <w:color w:val="1C1E2E"/>
          <w:sz w:val="22"/>
        </w:rPr>
        <w:t>Primer puesto de la promoción — 1.º de 56 graduandos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Promedio propio </w:t>
      </w:r>
      <w:r>
        <w:rPr>
          <w:rFonts w:ascii="Inter" w:hAnsi="Inter" w:cs="Inter"/>
          <w:b/>
          <w:i w:val="0"/>
          <w:color w:val="1C1E2E"/>
          <w:sz w:val="22"/>
        </w:rPr>
        <w:t>18,97/20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frente al </w:t>
      </w:r>
      <w:r>
        <w:rPr>
          <w:rFonts w:ascii="Inter" w:hAnsi="Inter" w:cs="Inter"/>
          <w:b/>
          <w:i w:val="0"/>
          <w:color w:val="1C1E2E"/>
          <w:sz w:val="22"/>
        </w:rPr>
        <w:t>15,77/20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promoción (+3,20 puntos). Acreditado mediante </w:t>
      </w:r>
      <w:r>
        <w:rPr>
          <w:rFonts w:ascii="Inter" w:hAnsi="Inter" w:cs="Inter"/>
          <w:b/>
          <w:i w:val="0"/>
          <w:color w:val="1C1E2E"/>
          <w:sz w:val="22"/>
        </w:rPr>
        <w:t>Constancia de Rango Académico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Oficina de Registros Estudiantiles, con certificación de firmas del Rectorado y </w:t>
      </w:r>
      <w:r>
        <w:rPr>
          <w:rFonts w:ascii="Inter" w:hAnsi="Inter" w:cs="Inter"/>
          <w:b/>
          <w:i w:val="0"/>
          <w:color w:val="1C1E2E"/>
          <w:sz w:val="22"/>
        </w:rPr>
        <w:t>Apostilla de La Haya</w:t>
      </w:r>
      <w:r>
        <w:rPr>
          <w:rFonts w:ascii="Inter" w:hAnsi="Inter" w:cs="Inter"/>
          <w:b w:val="0"/>
          <w:i w:val="0"/>
          <w:color w:val="1C1E2E"/>
          <w:sz w:val="22"/>
        </w:rPr>
        <w:t>. Equivalente funcional venezolano del Premio Extraordinario Fin de Carrera.</w:t>
      </w:r>
    </w:p>
    <w:p>
      <w:r>
        <w:rPr>
          <w:rFonts w:ascii="Inter" w:hAnsi="Inter" w:cs="Inter"/>
          <w:b/>
          <w:i w:val="0"/>
          <w:color w:val="1C1E2E"/>
          <w:sz w:val="22"/>
        </w:rPr>
        <w:t>Beca de Alto Rendimiento Académico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Dirección de Asuntos Estudiantiles, ULA-Táchira Beca </w:t>
      </w:r>
      <w:r>
        <w:rPr>
          <w:rFonts w:ascii="Inter" w:hAnsi="Inter" w:cs="Inter"/>
          <w:b/>
          <w:i w:val="0"/>
          <w:color w:val="1C1E2E"/>
          <w:sz w:val="22"/>
        </w:rPr>
        <w:t>de mérito, no asistencial</w:t>
      </w:r>
      <w:r>
        <w:rPr>
          <w:rFonts w:ascii="Inter" w:hAnsi="Inter" w:cs="Inter"/>
          <w:b w:val="0"/>
          <w:i w:val="0"/>
          <w:color w:val="1C1E2E"/>
          <w:sz w:val="22"/>
        </w:rPr>
        <w:t>: concedida por rendimiento académico. Periodo acreditado jul.–dic. 2003, vigente a la fecha de la constancia (13 may. 2004).</w:t>
      </w:r>
    </w:p>
    <w:p>
      <w:r>
        <w:rPr>
          <w:rFonts w:ascii="Inter" w:hAnsi="Inter" w:cs="Inter"/>
          <w:b/>
          <w:i w:val="0"/>
          <w:color w:val="1C1E2E"/>
          <w:sz w:val="22"/>
        </w:rPr>
        <w:t>Beca general del Ministerio de Educación, Formación Profesional y Deportes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curso 2025/2026 Convocatoria general, Orden EFD/335/25 de 3 de abril, para el Máster en Lenguas y Tecnología (UPV). Incluye </w:t>
      </w:r>
      <w:r>
        <w:rPr>
          <w:rFonts w:ascii="Inter" w:hAnsi="Inter" w:cs="Inter"/>
          <w:b/>
          <w:i w:val="0"/>
          <w:color w:val="1C1E2E"/>
          <w:sz w:val="22"/>
        </w:rPr>
        <w:t>beca de matrícula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un </w:t>
      </w:r>
      <w:r>
        <w:rPr>
          <w:rFonts w:ascii="Inter" w:hAnsi="Inter" w:cs="Inter"/>
          <w:b/>
          <w:i w:val="0"/>
          <w:color w:val="1C1E2E"/>
          <w:sz w:val="22"/>
        </w:rPr>
        <w:t>componente de excelencia académica del tramo de nota media 9–9,49</w:t>
      </w:r>
      <w:r>
        <w:rPr>
          <w:rFonts w:ascii="Inter" w:hAnsi="Inter" w:cs="Inter"/>
          <w:b w:val="0"/>
          <w:i w:val="0"/>
          <w:color w:val="1C1E2E"/>
          <w:sz w:val="22"/>
        </w:rPr>
        <w:t>: el Ministerio certifica así, en acto independiente, que el expediente del máster se sitúa en ese tramo.</w:t>
      </w:r>
    </w:p>
    <w:p>
      <w:r>
        <w:rPr>
          <w:rFonts w:ascii="Inter" w:hAnsi="Inter" w:cs="Inter"/>
          <w:b/>
          <w:i w:val="0"/>
          <w:color w:val="1C1E2E"/>
          <w:sz w:val="22"/>
        </w:rPr>
        <w:t>Diploma de Honor del Rector de la ULA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Trabajo Especial de Grado, </w:t>
      </w:r>
      <w:r>
        <w:rPr>
          <w:rFonts w:ascii="Inter" w:hAnsi="Inter" w:cs="Inter"/>
          <w:b/>
          <w:i w:val="0"/>
          <w:color w:val="1C1E2E"/>
          <w:sz w:val="22"/>
        </w:rPr>
        <w:t>20/20 Sobresaliente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(15 nov. 2004).</w:t>
      </w:r>
    </w:p>
    <w:p>
      <w:r>
        <w:rPr>
          <w:rFonts w:ascii="Inter" w:hAnsi="Inter" w:cs="Inter"/>
          <w:b/>
          <w:i w:val="0"/>
          <w:color w:val="1C1E2E"/>
          <w:sz w:val="22"/>
        </w:rPr>
        <w:t>2 Matrículas de Honor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Máster Universitario en Lenguas y Tecnología (UPV, 2026).</w:t>
      </w:r>
    </w:p>
    <w:p>
      <w:r>
        <w:rPr>
          <w:rFonts w:ascii="Inter" w:hAnsi="Inter" w:cs="Inter"/>
          <w:b/>
          <w:i w:val="0"/>
          <w:color w:val="1C1E2E"/>
          <w:sz w:val="22"/>
        </w:rPr>
        <w:t>Calificación 10/10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por diseño inclusivo del proyecto </w:t>
      </w:r>
      <w:r>
        <w:rPr>
          <w:rFonts w:ascii="Inter" w:hAnsi="Inter" w:cs="Inter"/>
          <w:b w:val="0"/>
          <w:i/>
          <w:color w:val="1C1E2E"/>
          <w:sz w:val="22"/>
        </w:rPr>
        <w:t>Academic Writing Journey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(UPV, 2026).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5 · Producción científica y publicaciones</w:t>
      </w:r>
    </w:p>
    <w:p>
      <w:r>
        <w:rPr>
          <w:rFonts w:ascii="Inter" w:hAnsi="Inter" w:cs="Inter"/>
          <w:b/>
          <w:i w:val="0"/>
          <w:color w:val="1C1E2E"/>
          <w:sz w:val="22"/>
        </w:rPr>
        <w:t>Artículo en revista arbitrada e indexada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Eslava Graterol, A. Z. (2005). Estudio sobre el perfil del alumno en Educación Mención Inglés de la ULA-Táchira. </w:t>
      </w:r>
      <w:r>
        <w:rPr>
          <w:rFonts w:ascii="Inter" w:hAnsi="Inter" w:cs="Inter"/>
          <w:b w:val="0"/>
          <w:i/>
          <w:color w:val="5B5F77"/>
          <w:sz w:val="21"/>
        </w:rPr>
        <w:t>Kaleidoscopio, 2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(3), 51–56. Universidad Nacional Experimental de Guayana. ISSN 1690-6054. Indexada en </w:t>
      </w:r>
      <w:r>
        <w:rPr>
          <w:rFonts w:ascii="Inter" w:hAnsi="Inter" w:cs="Inter"/>
          <w:b/>
          <w:i w:val="0"/>
          <w:color w:val="5B5F77"/>
          <w:sz w:val="21"/>
        </w:rPr>
        <w:t>CLASE (UNAM)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.  · 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Derivado del Trabajo Especial de Grado (20/20, Diploma de Honor). Recibido 13-06-2004, </w:t>
      </w:r>
      <w:r>
        <w:rPr>
          <w:rFonts w:ascii="Inter" w:hAnsi="Inter" w:cs="Inter"/>
          <w:b/>
          <w:i w:val="0"/>
          <w:color w:val="1C1E2E"/>
          <w:sz w:val="22"/>
        </w:rPr>
        <w:t>aceptado tras arbitraje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19-07-2004. Publicado con resumen bilingüe español/inglés. </w:t>
      </w:r>
      <w:r>
        <w:rPr>
          <w:rFonts w:ascii="Inter" w:hAnsi="Inter" w:cs="Inter"/>
          <w:b w:val="0"/>
          <w:i/>
          <w:color w:val="1C1E2E"/>
          <w:sz w:val="22"/>
        </w:rPr>
        <w:t>Kaleidoscopio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dejó de publicarse en 2015; el registro indexado en CLASE es la evidencia permanente del arbitraje y la publicación.</w:t>
      </w:r>
    </w:p>
    <w:p>
      <w:r>
        <w:rPr>
          <w:rFonts w:ascii="Inter" w:hAnsi="Inter" w:cs="Inter"/>
          <w:b/>
          <w:i w:val="0"/>
          <w:color w:val="1C1E2E"/>
          <w:sz w:val="22"/>
        </w:rPr>
        <w:t>Reconocimiento en agradecimientos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Sotelo-Casas, R. C., Rodríguez-Troncoso, A. P., Rodríguez-Zaragoza, F. A., Solís-Marín, F. A., Godínez-Domínguez, E., &amp; Cupul-Magaña, A. L. (2019). Spatial-temporal variations in echinoderm diversity within coral communities in a transitional region of the northeast of the eastern Pacific. </w:t>
      </w:r>
      <w:r>
        <w:rPr>
          <w:rFonts w:ascii="Inter" w:hAnsi="Inter" w:cs="Inter"/>
          <w:b w:val="0"/>
          <w:i/>
          <w:color w:val="5B5F77"/>
          <w:sz w:val="21"/>
        </w:rPr>
        <w:t>Estuarine, Coastal and Shelf Science, 227</w:t>
      </w:r>
      <w:r>
        <w:rPr>
          <w:rFonts w:ascii="Inter" w:hAnsi="Inter" w:cs="Inter"/>
          <w:b w:val="0"/>
          <w:i w:val="0"/>
          <w:color w:val="5B5F77"/>
          <w:sz w:val="21"/>
        </w:rPr>
        <w:t>, 106346 — agradecida (p. 8) por «</w:t>
      </w:r>
      <w:r>
        <w:rPr>
          <w:rFonts w:ascii="Inter" w:hAnsi="Inter" w:cs="Inter"/>
          <w:b w:val="0"/>
          <w:i/>
          <w:color w:val="5B5F77"/>
          <w:sz w:val="21"/>
        </w:rPr>
        <w:t>valuable comments on the manuscript's English and scientific content</w:t>
      </w:r>
      <w:r>
        <w:rPr>
          <w:rFonts w:ascii="Inter" w:hAnsi="Inter" w:cs="Inter"/>
          <w:b w:val="0"/>
          <w:i w:val="0"/>
          <w:color w:val="5B5F77"/>
          <w:sz w:val="21"/>
        </w:rPr>
        <w:t>», como A. Z. Eslava de Morales.</w:t>
      </w:r>
    </w:p>
    <w:p>
      <w:r>
        <w:rPr>
          <w:rFonts w:ascii="Inter" w:hAnsi="Inter" w:cs="Inter"/>
          <w:b/>
          <w:i w:val="0"/>
          <w:color w:val="1C1E2E"/>
          <w:sz w:val="22"/>
        </w:rPr>
        <w:t>Trabajo de Fin de Máster (2026)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estudio de corpus sobre variación disciplinar del metadiscurso en resúmenes de TFM (UPV). Resultados publicados como </w:t>
      </w:r>
      <w:r>
        <w:rPr>
          <w:rFonts w:ascii="Inter" w:hAnsi="Inter" w:cs="Inter"/>
          <w:b/>
          <w:i w:val="0"/>
          <w:color w:val="1C1E2E"/>
          <w:sz w:val="22"/>
        </w:rPr>
        <w:t>libro de datos interactivo de acceso abierto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vista de tabla en cada gráfico y paleta validada para deficiencias de visión cromática: </w:t>
      </w:r>
    </w:p>
    <w:p>
      <w:r>
        <w:rPr>
          <w:rFonts w:ascii="Inter" w:hAnsi="Inter" w:cs="Inter"/>
          <w:b/>
          <w:i w:val="0"/>
          <w:color w:val="1C1E2E"/>
          <w:sz w:val="22"/>
        </w:rPr>
        <w:t>Otros productos de investigación y diseño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Vocabulario xAPI de MLLDE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registro de IRIs v0.3, </w:t>
      </w:r>
      <w:r>
        <w:rPr>
          <w:rFonts w:ascii="Consolas" w:hAnsi="Consolas" w:cs="Consolas"/>
          <w:b w:val="0"/>
          <w:i w:val="0"/>
          <w:color w:val="5B5F77"/>
          <w:sz w:val="21"/>
        </w:rPr>
        <w:t>w3id.org/mllde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Academic Writing Journey — High-Level Design (HDD)</w:t>
      </w:r>
      <w:r>
        <w:rPr>
          <w:rFonts w:ascii="Inter" w:hAnsi="Inter" w:cs="Inter"/>
          <w:b w:val="0"/>
          <w:i w:val="0"/>
          <w:color w:val="1C1E2E"/>
          <w:sz w:val="22"/>
        </w:rPr>
        <w:t>: documentación de diseño de nivel arquitectura.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6 · Congresos y ponencias</w:t>
      </w:r>
    </w:p>
    <w:p>
      <w:r>
        <w:rPr>
          <w:rFonts w:ascii="Inter" w:hAnsi="Inter" w:cs="Inter"/>
          <w:b/>
          <w:i w:val="0"/>
          <w:color w:val="1C1E2E"/>
          <w:sz w:val="22"/>
        </w:rPr>
        <w:t>Ponente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</w:t>
      </w:r>
      <w:r>
        <w:rPr>
          <w:rFonts w:ascii="Inter" w:hAnsi="Inter" w:cs="Inter"/>
          <w:b w:val="0"/>
          <w:i/>
          <w:color w:val="1C1E2E"/>
          <w:sz w:val="22"/>
        </w:rPr>
        <w:t>Estudio sobre el perfil del alumno en Educación Mención Inglés de la ULA-Táchira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/>
          <w:i w:val="0"/>
          <w:color w:val="1C1E2E"/>
          <w:sz w:val="22"/>
        </w:rPr>
        <w:t>II Congreso Internacional de Educación Superior — «Tendencias y Perspectivas de la Educación Superior en América Latina / en el Siglo XXI»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Asociación de Educadores de Latinoamérica y del Caribe · Universidad de Oriente · Cumaná, Venezuela · </w:t>
      </w:r>
      <w:r>
        <w:rPr>
          <w:rFonts w:ascii="Inter" w:hAnsi="Inter" w:cs="Inter"/>
          <w:b/>
          <w:i w:val="0"/>
          <w:color w:val="1C1E2E"/>
          <w:sz w:val="22"/>
        </w:rPr>
        <w:t>31 de julio – 2 de agosto de 2008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Resumen </w:t>
      </w:r>
      <w:r>
        <w:rPr>
          <w:rFonts w:ascii="Inter" w:hAnsi="Inter" w:cs="Inter"/>
          <w:b/>
          <w:i w:val="0"/>
          <w:color w:val="1C1E2E"/>
          <w:sz w:val="22"/>
        </w:rPr>
        <w:t>aceptado por la comisión de arbitraje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del congreso (ref. CIES/P 048).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7 · Experiencia docente e investigadora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Docencia universitaria — Universidad de Oriente (UDO), Núcleo Nueva Esparta</w:t>
      </w:r>
    </w:p>
    <w:p>
      <w:r>
        <w:rPr>
          <w:rFonts w:ascii="Inter" w:hAnsi="Inter" w:cs="Inter"/>
          <w:b/>
          <w:i w:val="0"/>
          <w:color w:val="1C1E2E"/>
          <w:sz w:val="22"/>
        </w:rPr>
        <w:t>Profesora de inglés para fines específicos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Unidad de Estudios Básicos · </w:t>
      </w:r>
      <w:r>
        <w:rPr>
          <w:rFonts w:ascii="Inter" w:hAnsi="Inter" w:cs="Inter"/>
          <w:b/>
          <w:i w:val="0"/>
          <w:color w:val="1C1E2E"/>
          <w:sz w:val="22"/>
        </w:rPr>
        <w:t>2005 – 2015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Contratada, con posterior </w:t>
      </w:r>
      <w:r>
        <w:rPr>
          <w:rFonts w:ascii="Inter" w:hAnsi="Inter" w:cs="Inter"/>
          <w:b/>
          <w:i w:val="0"/>
          <w:color w:val="1C1E2E"/>
          <w:sz w:val="22"/>
        </w:rPr>
        <w:t>pase a código de cargo a Tiempo Completo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r>
        <w:rPr>
          <w:rFonts w:ascii="Inter" w:hAnsi="Inter" w:cs="Inter"/>
          <w:b/>
          <w:i w:val="0"/>
          <w:color w:val="1C1E2E"/>
          <w:sz w:val="22"/>
        </w:rPr>
        <w:t>Carga docente certificada: 1.568 horas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</w:t>
      </w:r>
      <w:r>
        <w:rPr>
          <w:rFonts w:ascii="Inter" w:hAnsi="Inter" w:cs="Inter"/>
          <w:b/>
          <w:i w:val="0"/>
          <w:color w:val="1C1E2E"/>
          <w:sz w:val="22"/>
        </w:rPr>
        <w:t>8 semestres consecutivos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(I-2007 a II-2010) — siete semestres de 192 h y uno de 224 h, equivalentes a 12–14 horas semanales.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Departamento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Titulaciones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Asignaturas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Socio-Humanidades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Turismo · Contaduría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Inglés Instrumental · Inglés II · Inglés I para Ciencias Administrativas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Hotelería y Turismo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Turismo · Servicios Turísticos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Inglés I · Inglés II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Ciencias Aplicadas al Mar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Biología Marina · Acuacultura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Inglés Técnico · Inglés Instrumental</w:t>
            </w:r>
          </w:p>
        </w:tc>
      </w:tr>
    </w:tbl>
    <w:p/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Unidad Académica del Componente Docente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formación pedagógica de profesorado universitario procedente de ámbitos no educativos.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Redacción y revisión de contenido científico en inglés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(biología marina, odontología) para revistas revisadas por pares de alto impacto — en el mismo dominio y periodo en que impartía Inglés Técnico a Biología Marina y Acuacultura.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La especialización que esto acredita: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inglés para las ciencias, </w:t>
      </w:r>
      <w:r>
        <w:rPr>
          <w:rFonts w:ascii="Inter" w:hAnsi="Inter" w:cs="Inter"/>
          <w:b/>
          <w:i w:val="0"/>
          <w:color w:val="5B5F77"/>
          <w:sz w:val="21"/>
        </w:rPr>
        <w:t>enseñado en la universidad y ejercido para publicación internacional</w:t>
      </w:r>
      <w:r>
        <w:rPr>
          <w:rFonts w:ascii="Inter" w:hAnsi="Inter" w:cs="Inter"/>
          <w:b w:val="0"/>
          <w:i w:val="0"/>
          <w:color w:val="5B5F77"/>
          <w:sz w:val="21"/>
        </w:rPr>
        <w:t>. Es el terreno exacto de la tesis.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Docencia en educación media — Ministerio del Poder Popular para la Educación (Venezuela)</w:t>
      </w:r>
    </w:p>
    <w:p>
      <w:r>
        <w:rPr>
          <w:rFonts w:ascii="Inter" w:hAnsi="Inter" w:cs="Inter"/>
          <w:b/>
          <w:i w:val="0"/>
          <w:color w:val="1C1E2E"/>
          <w:sz w:val="22"/>
        </w:rPr>
        <w:t>Docente III de Aula (Inglés)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oct. 2006 – ene. 2019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36 horas semanales de Inglés en la L.N. Santa Rosalía de Palermo, Zona Educativa del Estado Nueva Esparta. </w:t>
      </w:r>
      <w:r>
        <w:rPr>
          <w:rFonts w:ascii="Inter" w:hAnsi="Inter" w:cs="Inter"/>
          <w:b/>
          <w:i w:val="0"/>
          <w:color w:val="1C1E2E"/>
          <w:sz w:val="22"/>
        </w:rPr>
        <w:t>Doce años y tres meses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servicio continuado, certificados por el Ministerio con código de verificación en línea y corroborados por la cuenta individual de la seguridad social.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Instituto Cervantes — tutoría y evaluación oficial</w:t>
      </w:r>
    </w:p>
    <w:p>
      <w:r>
        <w:rPr>
          <w:rFonts w:ascii="Inter" w:hAnsi="Inter" w:cs="Inter"/>
          <w:b/>
          <w:i w:val="0"/>
          <w:color w:val="1C1E2E"/>
          <w:sz w:val="22"/>
        </w:rPr>
        <w:t>Tutora de Español AVE Global y Examinadora DELE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junio 2021 – actualidad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remoto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Itinerarios personalizados de español (A1–B1) en </w:t>
      </w:r>
      <w:r>
        <w:rPr>
          <w:rFonts w:ascii="Inter" w:hAnsi="Inter" w:cs="Inter"/>
          <w:b/>
          <w:i w:val="0"/>
          <w:color w:val="1C1E2E"/>
          <w:sz w:val="22"/>
        </w:rPr>
        <w:t>AVE Global</w:t>
      </w:r>
      <w:r>
        <w:rPr>
          <w:rFonts w:ascii="Inter" w:hAnsi="Inter" w:cs="Inter"/>
          <w:b w:val="0"/>
          <w:i w:val="0"/>
          <w:color w:val="1C1E2E"/>
          <w:sz w:val="22"/>
        </w:rPr>
        <w:t>, el LMS propio del Instituto Cervantes; seguimiento síncrono y asíncrono; contenido y recursos alineados al MCER.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Examinadora acreditada DELE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(A1 para escolares y A2/B1): evaluación estandarizada en cohortes internacionales.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Relevancia directa para la tesis: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la acreditación DELE certifica </w:t>
      </w:r>
      <w:r>
        <w:rPr>
          <w:rFonts w:ascii="Inter" w:hAnsi="Inter" w:cs="Inter"/>
          <w:b/>
          <w:i w:val="0"/>
          <w:color w:val="5B5F77"/>
          <w:sz w:val="21"/>
        </w:rPr>
        <w:t>capacidad de evaluar conforme al MCER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— el criterio experto sobre el que se validará el Tier 1 del Módulo de Medición.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Otras experiencias docentes</w:t>
      </w:r>
    </w:p>
    <w:p>
      <w:r>
        <w:rPr>
          <w:rFonts w:ascii="Inter" w:hAnsi="Inter" w:cs="Inter"/>
          <w:b/>
          <w:i w:val="0"/>
          <w:color w:val="1C1E2E"/>
          <w:sz w:val="22"/>
        </w:rPr>
        <w:t>Profesora de Inglés (ESL)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CBS, The British School of Seville · </w:t>
      </w:r>
      <w:r>
        <w:rPr>
          <w:rFonts w:ascii="Inter" w:hAnsi="Inter" w:cs="Inter"/>
          <w:b/>
          <w:i w:val="0"/>
          <w:color w:val="1C1E2E"/>
          <w:sz w:val="22"/>
        </w:rPr>
        <w:t>sep. 2021 – sep. 2024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Preparación Cambridge B1, B2 y C1; itinerarios y rúbricas ancladas al MCER.</w:t>
      </w:r>
    </w:p>
    <w:p>
      <w:r>
        <w:rPr>
          <w:rFonts w:ascii="Inter" w:hAnsi="Inter" w:cs="Inter"/>
          <w:b/>
          <w:i w:val="0"/>
          <w:color w:val="1C1E2E"/>
          <w:sz w:val="22"/>
        </w:rPr>
        <w:t>Docente de idiomas — ESL, Cambridge y DELE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diversas instituciones · </w:t>
      </w:r>
      <w:r>
        <w:rPr>
          <w:rFonts w:ascii="Inter" w:hAnsi="Inter" w:cs="Inter"/>
          <w:b/>
          <w:i w:val="0"/>
          <w:color w:val="1C1E2E"/>
          <w:sz w:val="22"/>
        </w:rPr>
        <w:t>jul. 2004 – actualidad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Más de 20 años enseñando inglés y español a personas adultas, presencial y en línea; itinerarios y rúbricas MCER, incluida la </w:t>
      </w:r>
      <w:r>
        <w:rPr>
          <w:rFonts w:ascii="Inter" w:hAnsi="Inter" w:cs="Inter"/>
          <w:b/>
          <w:i w:val="0"/>
          <w:color w:val="1C1E2E"/>
          <w:sz w:val="22"/>
        </w:rPr>
        <w:t>mediación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(Volumen Complementario, 2020).</w:t>
      </w:r>
    </w:p>
    <w:p>
      <w:r>
        <w:rPr>
          <w:rFonts w:ascii="Inter" w:hAnsi="Inter" w:cs="Inter"/>
          <w:b/>
          <w:i w:val="0"/>
          <w:color w:val="1C1E2E"/>
          <w:sz w:val="22"/>
        </w:rPr>
        <w:t>Formación práctica docente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ULA, cuatro Prácticas Profesionales supervisadas (2000–2003), calificadas entre 18 y 20 sobre 20.</w:t>
      </w:r>
    </w:p>
    <w:p>
      <w:r>
        <w:rPr>
          <w:rFonts w:ascii="Inter" w:hAnsi="Inter" w:cs="Inter"/>
          <w:b/>
          <w:i w:val="0"/>
          <w:color w:val="1C1E2E"/>
          <w:sz w:val="22"/>
        </w:rPr>
        <w:t>Voluntariado · educación no formal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Asociación Jóvenes Solidarios (España): participación juvenil en Erasmus+ y Cuerpo Europeo de Solidaridad, equipos internacionales.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8 · Experiencia profesional — diseño instruccional y LXD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 xml:space="preserve">Diseñadora instruccional y arquitecta de eLearning — autónoma (España, remoto) · </w:t>
      </w:r>
      <w:r>
        <w:rPr>
          <w:rFonts w:ascii="Inter" w:hAnsi="Inter" w:cs="Inter"/>
          <w:b/>
          <w:i w:val="0"/>
          <w:color w:val="1C1E2E"/>
          <w:sz w:val="26"/>
        </w:rPr>
        <w:t>oct. 2019 – actualidad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Creación de </w:t>
      </w:r>
      <w:r>
        <w:rPr>
          <w:rFonts w:ascii="Inter" w:hAnsi="Inter" w:cs="Inter"/>
          <w:b/>
          <w:i w:val="0"/>
          <w:color w:val="1C1E2E"/>
          <w:sz w:val="22"/>
        </w:rPr>
        <w:t>Academic Writing Journey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: curso gamificado de 6 niveles (inglés académico B2→C1), </w:t>
      </w:r>
      <w:r>
        <w:rPr>
          <w:rFonts w:ascii="Inter" w:hAnsi="Inter" w:cs="Inter"/>
          <w:b/>
          <w:i w:val="0"/>
          <w:color w:val="1C1E2E"/>
          <w:sz w:val="22"/>
        </w:rPr>
        <w:t>10/10 por diseño inclusivo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(UPV, 2026); guionización completa y </w:t>
      </w:r>
      <w:r>
        <w:rPr>
          <w:rFonts w:ascii="Inter" w:hAnsi="Inter" w:cs="Inter"/>
          <w:b w:val="0"/>
          <w:i/>
          <w:color w:val="1C1E2E"/>
          <w:sz w:val="22"/>
        </w:rPr>
        <w:t>High-Level Design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; </w:t>
      </w:r>
      <w:r>
        <w:rPr>
          <w:rFonts w:ascii="Inter" w:hAnsi="Inter" w:cs="Inter"/>
          <w:b/>
          <w:i w:val="0"/>
          <w:color w:val="1C1E2E"/>
          <w:sz w:val="22"/>
        </w:rPr>
        <w:t>modelo documentado de gobernanza humano–IA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con matriz explícita de propiedad de decisiones.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Prueba de agnosticismo de plataforma: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el mismo curso reconstruido en dos entornos de autoría (Canva → Articulate 360 Rise, SCORM/xAPI) y entregado en </w:t>
      </w:r>
      <w:r>
        <w:rPr>
          <w:rFonts w:ascii="Inter" w:hAnsi="Inter" w:cs="Inter"/>
          <w:b/>
          <w:i w:val="0"/>
          <w:color w:val="1C1E2E"/>
          <w:sz w:val="22"/>
        </w:rPr>
        <w:t>cuatro familias de LMS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(Chamilo, Moodle, Canvas LMS, AVE Global); migración de un curso SCORM a un </w:t>
      </w:r>
      <w:r>
        <w:rPr>
          <w:rFonts w:ascii="Inter" w:hAnsi="Inter" w:cs="Inter"/>
          <w:b/>
          <w:i w:val="0"/>
          <w:color w:val="1C1E2E"/>
          <w:sz w:val="22"/>
        </w:rPr>
        <w:t>LRS Veracity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como xAPI, emparejando telemetría de LMS con analítica de LRS.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Creación de </w:t>
      </w:r>
      <w:r>
        <w:rPr>
          <w:rFonts w:ascii="Inter" w:hAnsi="Inter" w:cs="Inter"/>
          <w:b/>
          <w:i w:val="0"/>
          <w:color w:val="1C1E2E"/>
          <w:sz w:val="22"/>
        </w:rPr>
        <w:t>MLLDE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de su app </w:t>
      </w:r>
      <w:r>
        <w:rPr>
          <w:rFonts w:ascii="Inter" w:hAnsi="Inter" w:cs="Inter"/>
          <w:b/>
          <w:i w:val="0"/>
          <w:color w:val="1C1E2E"/>
          <w:sz w:val="22"/>
        </w:rPr>
        <w:t>Language Passport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de extremo a extremo: método → pedagogía → construcción → marca.</w:t>
      </w:r>
    </w:p>
    <w:p>
      <w:r>
        <w:rPr>
          <w:rFonts w:ascii="Inter" w:hAnsi="Inter" w:cs="Inter"/>
          <w:b/>
          <w:i w:val="0"/>
          <w:color w:val="1C1E2E"/>
          <w:sz w:val="22"/>
        </w:rPr>
        <w:t>Cliente: Netex Learning (Netex Knowledge Factory S.A.)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jun. – sep. 2025 Rediseño instruccional de formación corporativa para personal operativo de un cliente internacional, en estrategia de microlearning: </w:t>
      </w:r>
      <w:r>
        <w:rPr>
          <w:rFonts w:ascii="Inter" w:hAnsi="Inter" w:cs="Inter"/>
          <w:b/>
          <w:i w:val="0"/>
          <w:color w:val="1C1E2E"/>
          <w:sz w:val="22"/>
        </w:rPr>
        <w:t>~52 % de reducción del tiempo de asiento manteniendo los objetivos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. Unidad completa diseñada, escrita y entregada </w:t>
      </w:r>
      <w:r>
        <w:rPr>
          <w:rFonts w:ascii="Inter" w:hAnsi="Inter" w:cs="Inter"/>
          <w:b/>
          <w:i w:val="0"/>
          <w:color w:val="1C1E2E"/>
          <w:sz w:val="22"/>
        </w:rPr>
        <w:t>en inglés</w:t>
      </w:r>
      <w:r>
        <w:rPr>
          <w:rFonts w:ascii="Inter" w:hAnsi="Inter" w:cs="Inter"/>
          <w:b w:val="0"/>
          <w:i w:val="0"/>
          <w:color w:val="1C1E2E"/>
          <w:sz w:val="22"/>
        </w:rPr>
        <w:t>, conforme a guía de estilo corporativa y requisitos de accesibilidad; arquitectura de feedback en cada punto de decisión; contenido para dos perfiles de rol en contexto multilingüe; evaluación rediseñada para medir competencia aplicada.</w:t>
      </w:r>
    </w:p>
    <w:p>
      <w:r>
        <w:rPr>
          <w:rFonts w:ascii="Inter" w:hAnsi="Inter" w:cs="Inter"/>
          <w:b/>
          <w:i w:val="0"/>
          <w:color w:val="1C1E2E"/>
          <w:sz w:val="22"/>
        </w:rPr>
        <w:t>Cliente: Madarina Spanish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jul. – dic. 2024 Diseño instruccional de un curso de </w:t>
      </w:r>
      <w:r>
        <w:rPr>
          <w:rFonts w:ascii="Inter" w:hAnsi="Inter" w:cs="Inter"/>
          <w:b/>
          <w:i w:val="0"/>
          <w:color w:val="1C1E2E"/>
          <w:sz w:val="22"/>
        </w:rPr>
        <w:t>español conversacional MCER A1→B1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para audiencia millennial, entregado en Discord sobre la plataforma Guadalingo: actividades </w:t>
      </w:r>
      <w:r>
        <w:rPr>
          <w:rFonts w:ascii="Inter" w:hAnsi="Inter" w:cs="Inter"/>
          <w:b w:val="0"/>
          <w:i/>
          <w:color w:val="1C1E2E"/>
          <w:sz w:val="22"/>
        </w:rPr>
        <w:t>conversation-first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progresión alineada al MCER en la voz de marca del cliente.</w:t>
      </w:r>
    </w:p>
    <w:p>
      <w:r>
        <w:rPr>
          <w:rFonts w:ascii="Inter" w:hAnsi="Inter" w:cs="Inter"/>
          <w:b/>
          <w:i w:val="0"/>
          <w:color w:val="1C1E2E"/>
          <w:sz w:val="22"/>
        </w:rPr>
        <w:t>Cliente: Talkétika (EdTech)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2019 – actualidad Gestión de cursos propios en Chamilo desde 2019 (nivel creadora de cursos y gestora de sesiones: cohortes, asistencia, evaluación, certificados, informes); contenido gamificado en Moodle, Canvas LMS y Chamilo; audiolibros en Adobe Podcast; sitio de evaluación EdTech </w:t>
      </w:r>
      <w:r>
        <w:rPr>
          <w:rFonts w:ascii="Inter" w:hAnsi="Inter" w:cs="Inter"/>
          <w:b w:val="0"/>
          <w:i/>
          <w:color w:val="1C1E2E"/>
          <w:sz w:val="22"/>
        </w:rPr>
        <w:t>TK Coach Review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. </w:t>
      </w:r>
      <w:r>
        <w:rPr>
          <w:rFonts w:ascii="Inter" w:hAnsi="Inter" w:cs="Inter"/>
          <w:b/>
          <w:i w:val="0"/>
          <w:color w:val="1C1E2E"/>
          <w:sz w:val="22"/>
        </w:rPr>
        <w:t>TK Coach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es la instancia industrial del Módulo de Medición.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9 · Certificaciones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Certificación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Entidad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Fecha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CELTA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Cambridge (University of Cambridge PCE)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2019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Cambridge C1 Advanced (CAE)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Cambridge English Assessment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Examinadora acreditada DELE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A1 escolares y A2/B1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Instituto Cervantes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Tutora de Español AVE Global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curso de acreditación (~30 h)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Instituto Cervantes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ene. 2021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Escribe de forma eficaz utilizando la IA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Universitat Politècnica de València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abr. 2026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Instructional Design: Course Planning and Pedagogy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University of California, Irvine (DCE)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ene. 2025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Instructional Design Fundamentals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University of Cambridge (PCE)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mar. 2025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AP Stylebook Workshop Certificate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The Associated Press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may. 2024 (válido a dic. 2034)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Creación de contenidos digitales, mobile learning y gamificación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SEPE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mar. 2024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Teaching English Online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FutureLearn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nov. 2019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ThePowerDigitalMarketing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thePower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abr. 2021</w:t>
            </w:r>
          </w:p>
        </w:tc>
      </w:tr>
    </w:tbl>
    <w:p/>
    <w:p>
      <w:r>
        <w:rPr>
          <w:rFonts w:ascii="Inter" w:hAnsi="Inter" w:cs="Inter"/>
          <w:b w:val="0"/>
          <w:i/>
          <w:color w:val="1C1E2E"/>
          <w:sz w:val="22"/>
        </w:rPr>
        <w:t>Los códigos de verificación de cada certificación figuran en la copia entregada a la comisión.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10 · Idiomas y competencias técnicas</w:t>
      </w:r>
    </w:p>
    <w:p>
      <w:r>
        <w:rPr>
          <w:rFonts w:ascii="Inter" w:hAnsi="Inter" w:cs="Inter"/>
          <w:b/>
          <w:i w:val="0"/>
          <w:color w:val="1C1E2E"/>
          <w:sz w:val="22"/>
        </w:rPr>
        <w:t>Idiomas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Español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lengua materna.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Inglés — C1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(Cambridge C1 Advanced) + </w:t>
      </w:r>
      <w:r>
        <w:rPr>
          <w:rFonts w:ascii="Inter" w:hAnsi="Inter" w:cs="Inter"/>
          <w:b/>
          <w:i w:val="0"/>
          <w:color w:val="1C1E2E"/>
          <w:sz w:val="22"/>
        </w:rPr>
        <w:t>CELTA</w:t>
      </w:r>
      <w:r>
        <w:rPr>
          <w:rFonts w:ascii="Inter" w:hAnsi="Inter" w:cs="Inter"/>
          <w:b w:val="0"/>
          <w:i w:val="0"/>
          <w:color w:val="1C1E2E"/>
          <w:sz w:val="22"/>
        </w:rPr>
        <w:t>. Redacción profesional y científica en ambas lenguas.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Examinadora acreditada DELE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Instituto Cervantes: capacidad certificada de </w:t>
      </w:r>
      <w:r>
        <w:rPr>
          <w:rFonts w:ascii="Inter" w:hAnsi="Inter" w:cs="Inter"/>
          <w:b/>
          <w:i w:val="0"/>
          <w:color w:val="1C1E2E"/>
          <w:sz w:val="22"/>
        </w:rPr>
        <w:t>evaluar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conforme al MCER.</w:t>
      </w:r>
    </w:p>
    <w:p>
      <w:r>
        <w:rPr>
          <w:rFonts w:ascii="Inter" w:hAnsi="Inter" w:cs="Inter"/>
          <w:b/>
          <w:i w:val="0"/>
          <w:color w:val="1C1E2E"/>
          <w:sz w:val="22"/>
        </w:rPr>
        <w:t>Investigación y análisis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Lingüística de corpus con </w:t>
      </w:r>
      <w:r>
        <w:rPr>
          <w:rFonts w:ascii="Inter" w:hAnsi="Inter" w:cs="Inter"/>
          <w:b/>
          <w:i w:val="0"/>
          <w:color w:val="1C1E2E"/>
          <w:sz w:val="22"/>
        </w:rPr>
        <w:t>METOOL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(Carrió-Pastor, 2020) · estadística inferencial en Python (chi-cuadrado, tamaños del efecto, dispersión de Juilland, factores de Bayes), contrastada con Lancaster Stats Tools · visualización con Chart.js · </w:t>
      </w:r>
      <w:r>
        <w:rPr>
          <w:rFonts w:ascii="Inter" w:hAnsi="Inter" w:cs="Inter"/>
          <w:b/>
          <w:i w:val="0"/>
          <w:color w:val="1C1E2E"/>
          <w:sz w:val="22"/>
        </w:rPr>
        <w:t>investigación basada en diseño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ADDIE · SAM.</w:t>
      </w:r>
    </w:p>
    <w:p>
      <w:r>
        <w:rPr>
          <w:rFonts w:ascii="Inter" w:hAnsi="Inter" w:cs="Inter"/>
          <w:b/>
          <w:i w:val="0"/>
          <w:color w:val="1C1E2E"/>
          <w:sz w:val="22"/>
        </w:rPr>
        <w:t>Estándares y datos de aprendizaje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/>
          <w:i w:val="0"/>
          <w:color w:val="1C1E2E"/>
          <w:sz w:val="22"/>
        </w:rPr>
        <w:t>MCER / CEFR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</w:t>
      </w:r>
      <w:r>
        <w:rPr>
          <w:rFonts w:ascii="Inter" w:hAnsi="Inter" w:cs="Inter"/>
          <w:b w:val="0"/>
          <w:i/>
          <w:color w:val="1C1E2E"/>
          <w:sz w:val="22"/>
        </w:rPr>
        <w:t>Plan curricular del Instituto Cervantes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xAPI (IEEE 9274.1.1-2023)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SCORM, cmi5 · analítica de </w:t>
      </w:r>
      <w:r>
        <w:rPr>
          <w:rFonts w:ascii="Inter" w:hAnsi="Inter" w:cs="Inter"/>
          <w:b/>
          <w:i w:val="0"/>
          <w:color w:val="1C1E2E"/>
          <w:sz w:val="22"/>
        </w:rPr>
        <w:t>LRS (Veracity)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telemetría de LMS · accesibilidad </w:t>
      </w:r>
      <w:r>
        <w:rPr>
          <w:rFonts w:ascii="Inter" w:hAnsi="Inter" w:cs="Inter"/>
          <w:b/>
          <w:i w:val="0"/>
          <w:color w:val="1C1E2E"/>
          <w:sz w:val="22"/>
        </w:rPr>
        <w:t>WCAG 2.2 / 2.1 AA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DUA, </w:t>
      </w:r>
      <w:r>
        <w:rPr>
          <w:rFonts w:ascii="Inter" w:hAnsi="Inter" w:cs="Inter"/>
          <w:b/>
          <w:i w:val="0"/>
          <w:color w:val="1C1E2E"/>
          <w:sz w:val="22"/>
        </w:rPr>
        <w:t>EAA / EN 301 549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r>
        <w:rPr>
          <w:rFonts w:ascii="Inter" w:hAnsi="Inter" w:cs="Inter"/>
          <w:b/>
          <w:i w:val="0"/>
          <w:color w:val="1C1E2E"/>
          <w:sz w:val="22"/>
        </w:rPr>
        <w:t>Autoría y plataformas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Articulate 360 (licencia propia; Rise 360 a nivel de producción, Storyline 360 en certificación) · Canva · HTML5 / Tailwind CSS · </w:t>
      </w:r>
      <w:r>
        <w:rPr>
          <w:rFonts w:ascii="Inter" w:hAnsi="Inter" w:cs="Inter"/>
          <w:b/>
          <w:i w:val="0"/>
          <w:color w:val="1C1E2E"/>
          <w:sz w:val="22"/>
        </w:rPr>
        <w:t>LMS: Chamilo, Moodle, Canvas LMS, AVE Global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(creadora de cursos y gestora de sesiones) · Guadalingo · Discord.</w:t>
      </w:r>
    </w:p>
    <w:p>
      <w:r>
        <w:rPr>
          <w:rFonts w:ascii="Inter" w:hAnsi="Inter" w:cs="Inter"/>
          <w:b/>
          <w:i w:val="0"/>
          <w:color w:val="1C1E2E"/>
          <w:sz w:val="22"/>
        </w:rPr>
        <w:t>Diseño de producto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UX/UI · design systems accesibles (doble tema, WCAG AA) · design tokens · UI orientada a métrica · </w:t>
      </w:r>
      <w:r>
        <w:rPr>
          <w:rFonts w:ascii="Inter" w:hAnsi="Inter" w:cs="Inter"/>
          <w:b w:val="0"/>
          <w:i/>
          <w:color w:val="1C1E2E"/>
          <w:sz w:val="22"/>
        </w:rPr>
        <w:t>handoff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diseño–ingeniería · wireframes y pruebas de usabilidad documentadas.</w:t>
      </w:r>
    </w:p>
    <w:p>
      <w:r>
        <w:rPr>
          <w:rFonts w:ascii="Inter" w:hAnsi="Inter" w:cs="Inter"/>
          <w:b/>
          <w:i w:val="0"/>
          <w:color w:val="1C1E2E"/>
          <w:sz w:val="22"/>
        </w:rPr>
        <w:t>IA en el aprendizaje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Diseño de GPT a medida y tutores de IA · Claude Code · </w:t>
      </w:r>
      <w:r>
        <w:rPr>
          <w:rFonts w:ascii="Inter" w:hAnsi="Inter" w:cs="Inter"/>
          <w:b/>
          <w:i w:val="0"/>
          <w:color w:val="1C1E2E"/>
          <w:sz w:val="22"/>
        </w:rPr>
        <w:t>gobernanza humano–IA documentada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IA responsable · literacidad en IA · transparencia conforme al </w:t>
      </w:r>
      <w:r>
        <w:rPr>
          <w:rFonts w:ascii="Inter" w:hAnsi="Inter" w:cs="Inter"/>
          <w:b/>
          <w:i w:val="0"/>
          <w:color w:val="1C1E2E"/>
          <w:sz w:val="22"/>
        </w:rPr>
        <w:t>art. 50 del Reglamento (UE) 2024/1689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medición anclada al MCER · Synthesia · HeyGen · Descript · ElevenLabs.</w:t>
      </w:r>
    </w:p>
    <w:p>
      <w:pPr>
        <w:pBdr>
          <w:bottom w:val="single" w:sz="6" w:space="1" w:color="E6E8F2"/>
        </w:pBdr>
      </w:pPr>
    </w:p>
    <w:p>
      <w:r>
        <w:rPr>
          <w:rFonts w:ascii="Inter" w:hAnsi="Inter" w:cs="Inter"/>
          <w:b w:val="0"/>
          <w:i/>
          <w:color w:val="1C1E2E"/>
          <w:sz w:val="22"/>
        </w:rPr>
        <w:t>Nota de transparencia: elaborado con asistencia de IA generativa; revisado, editado y aprobado bajo la responsabilidad editorial de Ana Eslava-Graterol, profesional autónoma registrada en España (Reglamento (UE) 2024/1689 — Ley de IA, art. 50 — voluntario; material de autoría y verificación humanas).</w:t>
      </w:r>
    </w:p>
    <w:p>
      <w:r>
        <w:rPr>
          <w:rFonts w:ascii="Inter" w:hAnsi="Inter" w:cs="Inter"/>
          <w:b w:val="0"/>
          <w:i/>
          <w:color w:val="1C1E2E"/>
          <w:sz w:val="22"/>
        </w:rPr>
        <w:t>© 2026 Ana Eslava-Graterol. «Language Passport»™ · MLLDE. MCER (Consejo de Europa), PCIC (Instituto Cervantes) y xAPI (ADL/IEEE) citados, no redistribuidos.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Inter" w:hAnsi="Inter"/>
      <w:color w:val="1C1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