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Fraunces" w:hAnsi="Fraunces" w:cs="Fraunces"/>
          <w:b/>
          <w:i w:val="0"/>
          <w:color w:val="22307C"/>
          <w:sz w:val="42"/>
        </w:rPr>
        <w:t>Dossier de evidencia — docencia en Venezuela</w:t>
      </w:r>
    </w:p>
    <w:p>
      <w:r>
        <w:rPr>
          <w:rFonts w:ascii="Inter" w:hAnsi="Inter" w:cs="Inter"/>
          <w:b/>
          <w:i w:val="0"/>
          <w:color w:val="1C1E2E"/>
          <w:sz w:val="22"/>
        </w:rPr>
        <w:t>Problema.</w:t>
      </w:r>
      <w:r>
        <w:rPr>
          <w:rFonts w:ascii="Inter" w:hAnsi="Inter" w:cs="Inter"/>
          <w:b w:val="0"/>
          <w:i w:val="0"/>
          <w:color w:val="1C1E2E"/>
          <w:sz w:val="22"/>
        </w:rPr>
        <w:t xml:space="preserve"> Los archivos de la Universidad de Oriente fueron destruidos por vandalismo e incendios entre 2018 y 2020. No es posible obtener hoy una certificación exhaustiva de toda la carga académica.</w:t>
      </w:r>
    </w:p>
    <w:p>
      <w:r>
        <w:rPr>
          <w:rFonts w:ascii="Inter" w:hAnsi="Inter" w:cs="Inter"/>
          <w:b/>
          <w:i w:val="0"/>
          <w:color w:val="1C1E2E"/>
          <w:sz w:val="22"/>
        </w:rPr>
        <w:t>Conclusión de este dossier.</w:t>
      </w:r>
      <w:r>
        <w:rPr>
          <w:rFonts w:ascii="Inter" w:hAnsi="Inter" w:cs="Inter"/>
          <w:b w:val="0"/>
          <w:i w:val="0"/>
          <w:color w:val="1C1E2E"/>
          <w:sz w:val="22"/>
        </w:rPr>
        <w:t xml:space="preserve"> No hace falta. Lo que se puede acreditar, </w:t>
      </w:r>
      <w:r>
        <w:rPr>
          <w:rFonts w:ascii="Inter" w:hAnsi="Inter" w:cs="Inter"/>
          <w:b/>
          <w:i w:val="0"/>
          <w:color w:val="1C1E2E"/>
          <w:sz w:val="22"/>
        </w:rPr>
        <w:t>se acredita con documento oficial</w:t>
      </w:r>
      <w:r>
        <w:rPr>
          <w:rFonts w:ascii="Inter" w:hAnsi="Inter" w:cs="Inter"/>
          <w:b w:val="0"/>
          <w:i w:val="0"/>
          <w:color w:val="1C1E2E"/>
          <w:sz w:val="22"/>
        </w:rPr>
        <w:t xml:space="preserve">, y lo que no, tiene una explicación documentada por prensa. Además, la pérdida afecta </w:t>
      </w:r>
      <w:r>
        <w:rPr>
          <w:rFonts w:ascii="Inter" w:hAnsi="Inter" w:cs="Inter"/>
          <w:b/>
          <w:i w:val="0"/>
          <w:color w:val="1C1E2E"/>
          <w:sz w:val="22"/>
        </w:rPr>
        <w:t>solo a una de las dos relaciones laborales</w:t>
      </w:r>
      <w:r>
        <w:rPr>
          <w:rFonts w:ascii="Inter" w:hAnsi="Inter" w:cs="Inter"/>
          <w:b w:val="0"/>
          <w:i w:val="0"/>
          <w:color w:val="1C1E2E"/>
          <w:sz w:val="22"/>
        </w:rPr>
        <w:t>: la del Ministerio de Educación está íntegra y es verificable en línea.</w:t>
      </w:r>
    </w:p>
    <w:p>
      <w:pPr>
        <w:pBdr>
          <w:bottom w:val="single" w:sz="6" w:space="1" w:color="E6E8F2"/>
        </w:pBdr>
      </w:pPr>
    </w:p>
    <w:p>
      <w:pPr>
        <w:spacing w:before="320" w:after="120"/>
      </w:pPr>
      <w:r>
        <w:rPr>
          <w:rFonts w:ascii="Fraunces" w:hAnsi="Fraunces" w:cs="Fraunces"/>
          <w:b/>
          <w:i w:val="0"/>
          <w:color w:val="22307C"/>
          <w:sz w:val="32"/>
        </w:rPr>
        <w:t>1 · Lo primero que hay que entender: son DOS empleos, no uno</w:t>
      </w:r>
    </w:p>
    <w:p>
      <w:r>
        <w:rPr>
          <w:rFonts w:ascii="Inter" w:hAnsi="Inter" w:cs="Inter"/>
          <w:b w:val="0"/>
          <w:i w:val="0"/>
          <w:color w:val="1C1E2E"/>
          <w:sz w:val="22"/>
        </w:rPr>
        <w:t>Es la corrección más importante de todo el expediente. Hasta ahora estaba registrado como un único bloque «UDO 2005–2015». No es así:</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p>
        </w:tc>
        <w:tc>
          <w:tcPr>
            <w:tcW w:type="dxa" w:w="3216"/>
            <w:shd w:val="clear" w:color="auto" w:fill="EEF2FD"/>
          </w:tcPr>
          <w:p>
            <w:pPr>
              <w:spacing w:after="40"/>
            </w:pPr>
            <w:r/>
            <w:r>
              <w:rPr>
                <w:rFonts w:ascii="Inter" w:hAnsi="Inter" w:cs="Inter"/>
                <w:b/>
                <w:i w:val="0"/>
                <w:color w:val="22307C"/>
                <w:sz w:val="19"/>
              </w:rPr>
              <w:t>Ministerio del Poder Popular para la Educación</w:t>
            </w:r>
          </w:p>
        </w:tc>
        <w:tc>
          <w:tcPr>
            <w:tcW w:type="dxa" w:w="3216"/>
            <w:shd w:val="clear" w:color="auto" w:fill="EEF2FD"/>
          </w:tcPr>
          <w:p>
            <w:pPr>
              <w:spacing w:after="40"/>
            </w:pPr>
            <w:r/>
            <w:r>
              <w:rPr>
                <w:rFonts w:ascii="Inter" w:hAnsi="Inter" w:cs="Inter"/>
                <w:b/>
                <w:i w:val="0"/>
                <w:color w:val="22307C"/>
                <w:sz w:val="19"/>
              </w:rPr>
              <w:t>Universidad de Oriente (UDO)</w:t>
            </w:r>
          </w:p>
        </w:tc>
      </w:tr>
      <w:tr>
        <w:tc>
          <w:tcPr>
            <w:tcW w:type="dxa" w:w="3216"/>
          </w:tcPr>
          <w:p>
            <w:pPr>
              <w:spacing w:after="40"/>
            </w:pPr>
            <w:r/>
            <w:r>
              <w:rPr>
                <w:rFonts w:ascii="Inter" w:hAnsi="Inter" w:cs="Inter"/>
                <w:b/>
                <w:i w:val="0"/>
                <w:color w:val="1C1E2E"/>
                <w:sz w:val="19"/>
              </w:rPr>
              <w:t>Cargo</w:t>
            </w:r>
          </w:p>
        </w:tc>
        <w:tc>
          <w:tcPr>
            <w:tcW w:type="dxa" w:w="3216"/>
          </w:tcPr>
          <w:p>
            <w:pPr>
              <w:spacing w:after="40"/>
            </w:pPr>
            <w:r/>
            <w:r>
              <w:rPr>
                <w:rFonts w:ascii="Inter" w:hAnsi="Inter" w:cs="Inter"/>
                <w:b/>
                <w:i w:val="0"/>
                <w:color w:val="1C1E2E"/>
                <w:sz w:val="19"/>
              </w:rPr>
              <w:t>Docente III de Aula</w:t>
            </w:r>
            <w:r>
              <w:rPr>
                <w:rFonts w:ascii="Inter" w:hAnsi="Inter" w:cs="Inter"/>
                <w:b w:val="0"/>
                <w:i w:val="0"/>
                <w:color w:val="1C1E2E"/>
                <w:sz w:val="19"/>
              </w:rPr>
              <w:t>, código 1133DH</w:t>
            </w:r>
          </w:p>
        </w:tc>
        <w:tc>
          <w:tcPr>
            <w:tcW w:type="dxa" w:w="3216"/>
          </w:tcPr>
          <w:p>
            <w:pPr>
              <w:spacing w:after="40"/>
            </w:pPr>
            <w:r/>
            <w:r>
              <w:rPr>
                <w:rFonts w:ascii="Inter" w:hAnsi="Inter" w:cs="Inter"/>
                <w:b/>
                <w:i w:val="0"/>
                <w:color w:val="1C1E2E"/>
                <w:sz w:val="19"/>
              </w:rPr>
              <w:t>Profesora contratada</w:t>
            </w:r>
            <w:r>
              <w:rPr>
                <w:rFonts w:ascii="Inter" w:hAnsi="Inter" w:cs="Inter"/>
                <w:b w:val="0"/>
                <w:i w:val="0"/>
                <w:color w:val="1C1E2E"/>
                <w:sz w:val="19"/>
              </w:rPr>
              <w:t xml:space="preserve"> → </w:t>
            </w:r>
            <w:r>
              <w:rPr>
                <w:rFonts w:ascii="Inter" w:hAnsi="Inter" w:cs="Inter"/>
                <w:b/>
                <w:i w:val="0"/>
                <w:color w:val="1C1E2E"/>
                <w:sz w:val="19"/>
              </w:rPr>
              <w:t>pase a código de cargo a Tiempo Completo</w:t>
            </w:r>
          </w:p>
        </w:tc>
      </w:tr>
      <w:tr>
        <w:tc>
          <w:tcPr>
            <w:tcW w:type="dxa" w:w="3216"/>
          </w:tcPr>
          <w:p>
            <w:pPr>
              <w:spacing w:after="40"/>
            </w:pPr>
            <w:r/>
            <w:r>
              <w:rPr>
                <w:rFonts w:ascii="Inter" w:hAnsi="Inter" w:cs="Inter"/>
                <w:b/>
                <w:i w:val="0"/>
                <w:color w:val="1C1E2E"/>
                <w:sz w:val="19"/>
              </w:rPr>
              <w:t>Centro</w:t>
            </w:r>
          </w:p>
        </w:tc>
        <w:tc>
          <w:tcPr>
            <w:tcW w:type="dxa" w:w="3216"/>
          </w:tcPr>
          <w:p>
            <w:pPr>
              <w:spacing w:after="40"/>
            </w:pPr>
            <w:r/>
            <w:r>
              <w:rPr>
                <w:rFonts w:ascii="Inter" w:hAnsi="Inter" w:cs="Inter"/>
                <w:b w:val="0"/>
                <w:i w:val="0"/>
                <w:color w:val="1C1E2E"/>
                <w:sz w:val="19"/>
              </w:rPr>
              <w:t>L.N. Santa Rosalía de Palermo · antes E.B. Antonio Díaz</w:t>
            </w:r>
          </w:p>
        </w:tc>
        <w:tc>
          <w:tcPr>
            <w:tcW w:type="dxa" w:w="3216"/>
          </w:tcPr>
          <w:p>
            <w:pPr>
              <w:spacing w:after="40"/>
            </w:pPr>
            <w:r/>
            <w:r>
              <w:rPr>
                <w:rFonts w:ascii="Inter" w:hAnsi="Inter" w:cs="Inter"/>
                <w:b w:val="0"/>
                <w:i w:val="0"/>
                <w:color w:val="1C1E2E"/>
                <w:sz w:val="19"/>
              </w:rPr>
              <w:t xml:space="preserve">Núcleo Nueva Esparta — Unidad de Estudios Básicos · Deptos. de </w:t>
            </w:r>
            <w:r>
              <w:rPr>
                <w:rFonts w:ascii="Inter" w:hAnsi="Inter" w:cs="Inter"/>
                <w:b/>
                <w:i w:val="0"/>
                <w:color w:val="1C1E2E"/>
                <w:sz w:val="19"/>
              </w:rPr>
              <w:t>Socio-Humanidades</w:t>
            </w:r>
            <w:r>
              <w:rPr>
                <w:rFonts w:ascii="Inter" w:hAnsi="Inter" w:cs="Inter"/>
                <w:b w:val="0"/>
                <w:i w:val="0"/>
                <w:color w:val="1C1E2E"/>
                <w:sz w:val="19"/>
              </w:rPr>
              <w:t xml:space="preserve">, </w:t>
            </w:r>
            <w:r>
              <w:rPr>
                <w:rFonts w:ascii="Inter" w:hAnsi="Inter" w:cs="Inter"/>
                <w:b/>
                <w:i w:val="0"/>
                <w:color w:val="1C1E2E"/>
                <w:sz w:val="19"/>
              </w:rPr>
              <w:t>Hotelería y Turismo</w:t>
            </w:r>
            <w:r>
              <w:rPr>
                <w:rFonts w:ascii="Inter" w:hAnsi="Inter" w:cs="Inter"/>
                <w:b w:val="0"/>
                <w:i w:val="0"/>
                <w:color w:val="1C1E2E"/>
                <w:sz w:val="19"/>
              </w:rPr>
              <w:t xml:space="preserve"> y </w:t>
            </w:r>
            <w:r>
              <w:rPr>
                <w:rFonts w:ascii="Inter" w:hAnsi="Inter" w:cs="Inter"/>
                <w:b/>
                <w:i w:val="0"/>
                <w:color w:val="1C1E2E"/>
                <w:sz w:val="19"/>
              </w:rPr>
              <w:t>Ciencias Aplicadas al Mar</w:t>
            </w:r>
          </w:p>
        </w:tc>
      </w:tr>
      <w:tr>
        <w:tc>
          <w:tcPr>
            <w:tcW w:type="dxa" w:w="3216"/>
          </w:tcPr>
          <w:p>
            <w:pPr>
              <w:spacing w:after="40"/>
            </w:pPr>
            <w:r/>
            <w:r>
              <w:rPr>
                <w:rFonts w:ascii="Inter" w:hAnsi="Inter" w:cs="Inter"/>
                <w:b/>
                <w:i w:val="0"/>
                <w:color w:val="1C1E2E"/>
                <w:sz w:val="19"/>
              </w:rPr>
              <w:t>Materia</w:t>
            </w:r>
          </w:p>
        </w:tc>
        <w:tc>
          <w:tcPr>
            <w:tcW w:type="dxa" w:w="3216"/>
          </w:tcPr>
          <w:p>
            <w:pPr>
              <w:spacing w:after="40"/>
            </w:pPr>
            <w:r/>
            <w:r>
              <w:rPr>
                <w:rFonts w:ascii="Inter" w:hAnsi="Inter" w:cs="Inter"/>
                <w:b w:val="0"/>
                <w:i w:val="0"/>
                <w:color w:val="1C1E2E"/>
                <w:sz w:val="19"/>
              </w:rPr>
              <w:t xml:space="preserve">Inglés — </w:t>
            </w:r>
            <w:r>
              <w:rPr>
                <w:rFonts w:ascii="Inter" w:hAnsi="Inter" w:cs="Inter"/>
                <w:b/>
                <w:i w:val="0"/>
                <w:color w:val="1C1E2E"/>
                <w:sz w:val="19"/>
              </w:rPr>
              <w:t>36 horas semanales</w:t>
            </w:r>
          </w:p>
        </w:tc>
        <w:tc>
          <w:tcPr>
            <w:tcW w:type="dxa" w:w="3216"/>
          </w:tcPr>
          <w:p>
            <w:pPr>
              <w:spacing w:after="40"/>
            </w:pPr>
            <w:r/>
            <w:r>
              <w:rPr>
                <w:rFonts w:ascii="Inter" w:hAnsi="Inter" w:cs="Inter"/>
                <w:b w:val="0"/>
                <w:i w:val="0"/>
                <w:color w:val="1C1E2E"/>
                <w:sz w:val="19"/>
              </w:rPr>
              <w:t xml:space="preserve">Inglés Instrumental · Inglés I · Inglés II · Inglés I para Ciencias Administrativas · </w:t>
            </w:r>
            <w:r>
              <w:rPr>
                <w:rFonts w:ascii="Inter" w:hAnsi="Inter" w:cs="Inter"/>
                <w:b/>
                <w:i w:val="0"/>
                <w:color w:val="1C1E2E"/>
                <w:sz w:val="19"/>
              </w:rPr>
              <w:t>Inglés Técnico</w:t>
            </w:r>
          </w:p>
        </w:tc>
      </w:tr>
      <w:tr>
        <w:tc>
          <w:tcPr>
            <w:tcW w:type="dxa" w:w="3216"/>
          </w:tcPr>
          <w:p>
            <w:pPr>
              <w:spacing w:after="40"/>
            </w:pPr>
            <w:r/>
            <w:r>
              <w:rPr>
                <w:rFonts w:ascii="Inter" w:hAnsi="Inter" w:cs="Inter"/>
                <w:b/>
                <w:i w:val="0"/>
                <w:color w:val="1C1E2E"/>
                <w:sz w:val="19"/>
              </w:rPr>
              <w:t>Periodo</w:t>
            </w:r>
          </w:p>
        </w:tc>
        <w:tc>
          <w:tcPr>
            <w:tcW w:type="dxa" w:w="3216"/>
          </w:tcPr>
          <w:p>
            <w:pPr>
              <w:spacing w:after="40"/>
            </w:pPr>
            <w:r/>
            <w:r>
              <w:rPr>
                <w:rFonts w:ascii="Inter" w:hAnsi="Inter" w:cs="Inter"/>
                <w:b/>
                <w:i w:val="0"/>
                <w:color w:val="1C1E2E"/>
                <w:sz w:val="19"/>
              </w:rPr>
              <w:t>01/10/2006 – 01/01/2019</w:t>
            </w:r>
            <w:r>
              <w:rPr>
                <w:rFonts w:ascii="Inter" w:hAnsi="Inter" w:cs="Inter"/>
                <w:b w:val="0"/>
                <w:i w:val="0"/>
                <w:color w:val="1C1E2E"/>
                <w:sz w:val="19"/>
              </w:rPr>
              <w:t xml:space="preserve"> (12 años y 3 meses)</w:t>
            </w:r>
          </w:p>
        </w:tc>
        <w:tc>
          <w:tcPr>
            <w:tcW w:type="dxa" w:w="3216"/>
          </w:tcPr>
          <w:p>
            <w:pPr>
              <w:spacing w:after="40"/>
            </w:pPr>
            <w:r/>
            <w:r>
              <w:rPr>
                <w:rFonts w:ascii="Inter" w:hAnsi="Inter" w:cs="Inter"/>
                <w:b/>
                <w:i w:val="0"/>
                <w:color w:val="1C1E2E"/>
                <w:sz w:val="19"/>
              </w:rPr>
              <w:t>I-2007 – II-2010</w:t>
            </w:r>
            <w:r>
              <w:rPr>
                <w:rFonts w:ascii="Inter" w:hAnsi="Inter" w:cs="Inter"/>
                <w:b w:val="0"/>
                <w:i w:val="0"/>
                <w:color w:val="1C1E2E"/>
                <w:sz w:val="19"/>
              </w:rPr>
              <w:t xml:space="preserve"> · 8 semestres consecutivos · </w:t>
            </w:r>
            <w:r>
              <w:rPr>
                <w:rFonts w:ascii="Inter" w:hAnsi="Inter" w:cs="Inter"/>
                <w:b/>
                <w:i w:val="0"/>
                <w:color w:val="1C1E2E"/>
                <w:sz w:val="19"/>
              </w:rPr>
              <w:t>1.568 horas docentes</w:t>
            </w:r>
          </w:p>
        </w:tc>
      </w:tr>
      <w:tr>
        <w:tc>
          <w:tcPr>
            <w:tcW w:type="dxa" w:w="3216"/>
          </w:tcPr>
          <w:p>
            <w:pPr>
              <w:spacing w:after="40"/>
            </w:pPr>
            <w:r/>
            <w:r>
              <w:rPr>
                <w:rFonts w:ascii="Inter" w:hAnsi="Inter" w:cs="Inter"/>
                <w:b/>
                <w:i w:val="0"/>
                <w:color w:val="1C1E2E"/>
                <w:sz w:val="19"/>
              </w:rPr>
              <w:t>Nivel</w:t>
            </w:r>
          </w:p>
        </w:tc>
        <w:tc>
          <w:tcPr>
            <w:tcW w:type="dxa" w:w="3216"/>
          </w:tcPr>
          <w:p>
            <w:pPr>
              <w:spacing w:after="40"/>
            </w:pPr>
            <w:r/>
            <w:r>
              <w:rPr>
                <w:rFonts w:ascii="Inter" w:hAnsi="Inter" w:cs="Inter"/>
                <w:b w:val="0"/>
                <w:i w:val="0"/>
                <w:color w:val="1C1E2E"/>
                <w:sz w:val="19"/>
              </w:rPr>
              <w:t>Educación media</w:t>
            </w:r>
          </w:p>
        </w:tc>
        <w:tc>
          <w:tcPr>
            <w:tcW w:type="dxa" w:w="3216"/>
          </w:tcPr>
          <w:p>
            <w:pPr>
              <w:spacing w:after="40"/>
            </w:pPr>
            <w:r/>
            <w:r>
              <w:rPr>
                <w:rFonts w:ascii="Inter" w:hAnsi="Inter" w:cs="Inter"/>
                <w:b/>
                <w:i w:val="0"/>
                <w:color w:val="1C1E2E"/>
                <w:sz w:val="19"/>
              </w:rPr>
              <w:t>Universitario</w:t>
            </w:r>
          </w:p>
        </w:tc>
      </w:tr>
      <w:tr>
        <w:tc>
          <w:tcPr>
            <w:tcW w:type="dxa" w:w="3216"/>
          </w:tcPr>
          <w:p>
            <w:pPr>
              <w:spacing w:after="40"/>
            </w:pPr>
            <w:r/>
            <w:r>
              <w:rPr>
                <w:rFonts w:ascii="Inter" w:hAnsi="Inter" w:cs="Inter"/>
                <w:b/>
                <w:i w:val="0"/>
                <w:color w:val="1C1E2E"/>
                <w:sz w:val="19"/>
              </w:rPr>
              <w:t>Estado del archivo</w:t>
            </w:r>
          </w:p>
        </w:tc>
        <w:tc>
          <w:tcPr>
            <w:tcW w:type="dxa" w:w="3216"/>
          </w:tcPr>
          <w:p>
            <w:pPr>
              <w:spacing w:after="40"/>
            </w:pPr>
            <w:r/>
            <w:r>
              <w:rPr>
                <w:rFonts w:ascii="Inter" w:hAnsi="Inter" w:cs="Inter"/>
                <w:b w:val="0"/>
                <w:i w:val="0"/>
                <w:color w:val="1C1E2E"/>
                <w:sz w:val="19"/>
              </w:rPr>
              <w:t>✅ Íntegro y verificable en línea</w:t>
            </w:r>
          </w:p>
        </w:tc>
        <w:tc>
          <w:tcPr>
            <w:tcW w:type="dxa" w:w="3216"/>
          </w:tcPr>
          <w:p>
            <w:pPr>
              <w:spacing w:after="40"/>
            </w:pPr>
            <w:r/>
            <w:r>
              <w:rPr>
                <w:rFonts w:ascii="Inter" w:hAnsi="Inter" w:cs="Inter"/>
                <w:b w:val="0"/>
                <w:i w:val="0"/>
                <w:color w:val="1C1E2E"/>
                <w:sz w:val="19"/>
              </w:rPr>
              <w:t>⚠️ Parcialmente destruido</w:t>
            </w:r>
          </w:p>
        </w:tc>
      </w:tr>
    </w:tbl>
    <w:p/>
    <w:p>
      <w:r>
        <w:rPr>
          <w:rFonts w:ascii="Inter" w:hAnsi="Inter" w:cs="Inter"/>
          <w:b/>
          <w:i w:val="0"/>
          <w:color w:val="1C1E2E"/>
          <w:sz w:val="22"/>
        </w:rPr>
        <w:t>Se solapan.</w:t>
      </w:r>
      <w:r>
        <w:rPr>
          <w:rFonts w:ascii="Inter" w:hAnsi="Inter" w:cs="Inter"/>
          <w:b w:val="0"/>
          <w:i w:val="0"/>
          <w:color w:val="1C1E2E"/>
          <w:sz w:val="22"/>
        </w:rPr>
        <w:t xml:space="preserve"> Entre 2007 y 2010 compaginó la docencia de aula en el Ministerio con la docencia universitaria en la UDO. La contratación universitaria inicial fue por honorarios y </w:t>
      </w:r>
      <w:r>
        <w:rPr>
          <w:rFonts w:ascii="Inter" w:hAnsi="Inter" w:cs="Inter"/>
          <w:b/>
          <w:i w:val="0"/>
          <w:color w:val="1C1E2E"/>
          <w:sz w:val="22"/>
        </w:rPr>
        <w:t>no genera cotización a la seguridad social</w:t>
      </w:r>
      <w:r>
        <w:rPr>
          <w:rFonts w:ascii="Inter" w:hAnsi="Inter" w:cs="Inter"/>
          <w:b w:val="0"/>
          <w:i w:val="0"/>
          <w:color w:val="1C1E2E"/>
          <w:sz w:val="22"/>
        </w:rPr>
        <w:t xml:space="preserve">, por lo que </w:t>
      </w:r>
      <w:r>
        <w:rPr>
          <w:rFonts w:ascii="Inter" w:hAnsi="Inter" w:cs="Inter"/>
          <w:b/>
          <w:i w:val="0"/>
          <w:color w:val="1C1E2E"/>
          <w:sz w:val="22"/>
        </w:rPr>
        <w:t>no aparece en el IVSS</w:t>
      </w:r>
      <w:r>
        <w:rPr>
          <w:rFonts w:ascii="Inter" w:hAnsi="Inter" w:cs="Inter"/>
          <w:b w:val="0"/>
          <w:i w:val="0"/>
          <w:color w:val="1C1E2E"/>
          <w:sz w:val="22"/>
        </w:rPr>
        <w:t xml:space="preserve"> — la ausencia no es una laguna, es lo esperable en esa figura. Conviene explicarlo, porque un revisor que cruce ambos documentos se hará esa pregunta.</w:t>
      </w:r>
    </w:p>
    <w:p>
      <w:pPr>
        <w:pBdr>
          <w:bottom w:val="single" w:sz="6" w:space="1" w:color="E6E8F2"/>
        </w:pBdr>
      </w:pPr>
    </w:p>
    <w:p>
      <w:pPr>
        <w:spacing w:before="320" w:after="120"/>
      </w:pPr>
      <w:r>
        <w:rPr>
          <w:rFonts w:ascii="Fraunces" w:hAnsi="Fraunces" w:cs="Fraunces"/>
          <w:b/>
          <w:i w:val="0"/>
          <w:color w:val="22307C"/>
          <w:sz w:val="32"/>
        </w:rPr>
        <w:t>2 · Qué prueba cada documento</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Doc.</w:t>
            </w:r>
          </w:p>
        </w:tc>
        <w:tc>
          <w:tcPr>
            <w:tcW w:type="dxa" w:w="2412"/>
            <w:shd w:val="clear" w:color="auto" w:fill="EEF2FD"/>
          </w:tcPr>
          <w:p>
            <w:pPr>
              <w:spacing w:after="40"/>
            </w:pPr>
            <w:r/>
            <w:r>
              <w:rPr>
                <w:rFonts w:ascii="Inter" w:hAnsi="Inter" w:cs="Inter"/>
                <w:b/>
                <w:i w:val="0"/>
                <w:color w:val="22307C"/>
                <w:sz w:val="19"/>
              </w:rPr>
              <w:t>Documento</w:t>
            </w:r>
          </w:p>
        </w:tc>
        <w:tc>
          <w:tcPr>
            <w:tcW w:type="dxa" w:w="2412"/>
            <w:shd w:val="clear" w:color="auto" w:fill="EEF2FD"/>
          </w:tcPr>
          <w:p>
            <w:pPr>
              <w:spacing w:after="40"/>
            </w:pPr>
            <w:r/>
            <w:r>
              <w:rPr>
                <w:rFonts w:ascii="Inter" w:hAnsi="Inter" w:cs="Inter"/>
                <w:b/>
                <w:i w:val="0"/>
                <w:color w:val="22307C"/>
                <w:sz w:val="19"/>
              </w:rPr>
              <w:t>Qué acredita exactamente</w:t>
            </w:r>
          </w:p>
        </w:tc>
        <w:tc>
          <w:tcPr>
            <w:tcW w:type="dxa" w:w="2412"/>
            <w:shd w:val="clear" w:color="auto" w:fill="EEF2FD"/>
          </w:tcPr>
          <w:p>
            <w:pPr>
              <w:spacing w:after="40"/>
            </w:pPr>
            <w:r/>
            <w:r>
              <w:rPr>
                <w:rFonts w:ascii="Inter" w:hAnsi="Inter" w:cs="Inter"/>
                <w:b/>
                <w:i w:val="0"/>
                <w:color w:val="22307C"/>
                <w:sz w:val="19"/>
              </w:rPr>
              <w:t>Verificable por</w:t>
            </w:r>
          </w:p>
        </w:tc>
      </w:tr>
      <w:tr>
        <w:tc>
          <w:tcPr>
            <w:tcW w:type="dxa" w:w="2412"/>
          </w:tcPr>
          <w:p>
            <w:pPr>
              <w:spacing w:after="40"/>
            </w:pPr>
            <w:r/>
            <w:r>
              <w:rPr>
                <w:rFonts w:ascii="Inter" w:hAnsi="Inter" w:cs="Inter"/>
                <w:b/>
                <w:i w:val="0"/>
                <w:color w:val="1C1E2E"/>
                <w:sz w:val="19"/>
              </w:rPr>
              <w:t>A</w:t>
            </w:r>
          </w:p>
        </w:tc>
        <w:tc>
          <w:tcPr>
            <w:tcW w:type="dxa" w:w="2412"/>
          </w:tcPr>
          <w:p>
            <w:pPr>
              <w:spacing w:after="40"/>
            </w:pPr>
            <w:r/>
            <w:r>
              <w:rPr>
                <w:rFonts w:ascii="Inter" w:hAnsi="Inter" w:cs="Inter"/>
                <w:b/>
                <w:i w:val="0"/>
                <w:color w:val="1C1E2E"/>
                <w:sz w:val="19"/>
              </w:rPr>
              <w:t>Constancia de Carga Académica</w:t>
            </w:r>
            <w:r>
              <w:rPr>
                <w:rFonts w:ascii="Inter" w:hAnsi="Inter" w:cs="Inter"/>
                <w:b w:val="0"/>
                <w:i w:val="0"/>
                <w:color w:val="1C1E2E"/>
                <w:sz w:val="19"/>
              </w:rPr>
              <w:t xml:space="preserve"> — UDO Núcleo Nueva Esparta, Unidad de Estudios Básicos, 25 de mayo de 2026, firmada por la Directora (E) MSc. Yusmar Ramos G.</w:t>
            </w:r>
          </w:p>
        </w:tc>
        <w:tc>
          <w:tcPr>
            <w:tcW w:type="dxa" w:w="2412"/>
          </w:tcPr>
          <w:p>
            <w:pPr>
              <w:spacing w:after="40"/>
            </w:pPr>
            <w:r/>
            <w:r>
              <w:rPr>
                <w:rFonts w:ascii="Inter" w:hAnsi="Inter" w:cs="Inter"/>
                <w:b/>
                <w:i w:val="0"/>
                <w:color w:val="1C1E2E"/>
                <w:sz w:val="19"/>
              </w:rPr>
              <w:t>Docencia universitaria</w:t>
            </w:r>
            <w:r>
              <w:rPr>
                <w:rFonts w:ascii="Inter" w:hAnsi="Inter" w:cs="Inter"/>
                <w:b w:val="0"/>
                <w:i w:val="0"/>
                <w:color w:val="1C1E2E"/>
                <w:sz w:val="19"/>
              </w:rPr>
              <w:t xml:space="preserve">: 8 semestres (I-2007 a II-2010), asignaturas con código, unidades de crédito y </w:t>
            </w:r>
            <w:r>
              <w:rPr>
                <w:rFonts w:ascii="Inter" w:hAnsi="Inter" w:cs="Inter"/>
                <w:b/>
                <w:i w:val="0"/>
                <w:color w:val="1C1E2E"/>
                <w:sz w:val="19"/>
              </w:rPr>
              <w:t>12–14 horas semanales por semestre</w:t>
            </w:r>
          </w:p>
        </w:tc>
        <w:tc>
          <w:tcPr>
            <w:tcW w:type="dxa" w:w="2412"/>
          </w:tcPr>
          <w:p>
            <w:pPr>
              <w:spacing w:after="40"/>
            </w:pPr>
            <w:r/>
            <w:r>
              <w:rPr>
                <w:rFonts w:ascii="Inter" w:hAnsi="Inter" w:cs="Inter"/>
                <w:b w:val="0"/>
                <w:i w:val="0"/>
                <w:color w:val="1C1E2E"/>
                <w:sz w:val="19"/>
              </w:rPr>
              <w:t>Sello y firma de la Unidad de Estudios Básicos</w:t>
            </w:r>
          </w:p>
        </w:tc>
      </w:tr>
      <w:tr>
        <w:tc>
          <w:tcPr>
            <w:tcW w:type="dxa" w:w="2412"/>
          </w:tcPr>
          <w:p>
            <w:pPr>
              <w:spacing w:after="40"/>
            </w:pPr>
            <w:r/>
            <w:r>
              <w:rPr>
                <w:rFonts w:ascii="Inter" w:hAnsi="Inter" w:cs="Inter"/>
                <w:b/>
                <w:i w:val="0"/>
                <w:color w:val="1C1E2E"/>
                <w:sz w:val="19"/>
              </w:rPr>
              <w:t>B</w:t>
            </w:r>
          </w:p>
        </w:tc>
        <w:tc>
          <w:tcPr>
            <w:tcW w:type="dxa" w:w="2412"/>
          </w:tcPr>
          <w:p>
            <w:pPr>
              <w:spacing w:after="40"/>
            </w:pPr>
            <w:r/>
            <w:r>
              <w:rPr>
                <w:rFonts w:ascii="Inter" w:hAnsi="Inter" w:cs="Inter"/>
                <w:b/>
                <w:i w:val="0"/>
                <w:color w:val="1C1E2E"/>
                <w:sz w:val="19"/>
              </w:rPr>
              <w:t>Constancia de Trabajo</w:t>
            </w:r>
            <w:r>
              <w:rPr>
                <w:rFonts w:ascii="Inter" w:hAnsi="Inter" w:cs="Inter"/>
                <w:b w:val="0"/>
                <w:i w:val="0"/>
                <w:color w:val="1C1E2E"/>
                <w:sz w:val="19"/>
              </w:rPr>
              <w:t xml:space="preserve"> — Ministerio del Poder Popular para la Educación, Oficina de Gestión Humana, Caracas, 5 de marzo de 2018</w:t>
            </w:r>
          </w:p>
        </w:tc>
        <w:tc>
          <w:tcPr>
            <w:tcW w:type="dxa" w:w="2412"/>
          </w:tcPr>
          <w:p>
            <w:pPr>
              <w:spacing w:after="40"/>
            </w:pPr>
            <w:r/>
            <w:r>
              <w:rPr>
                <w:rFonts w:ascii="Inter" w:hAnsi="Inter" w:cs="Inter"/>
                <w:b w:val="0"/>
                <w:i w:val="0"/>
                <w:color w:val="1C1E2E"/>
                <w:sz w:val="19"/>
              </w:rPr>
              <w:t xml:space="preserve">Cargo </w:t>
            </w:r>
            <w:r>
              <w:rPr>
                <w:rFonts w:ascii="Inter" w:hAnsi="Inter" w:cs="Inter"/>
                <w:b/>
                <w:i w:val="0"/>
                <w:color w:val="1C1E2E"/>
                <w:sz w:val="19"/>
              </w:rPr>
              <w:t>Docente III de Aula</w:t>
            </w:r>
            <w:r>
              <w:rPr>
                <w:rFonts w:ascii="Inter" w:hAnsi="Inter" w:cs="Inter"/>
                <w:b w:val="0"/>
                <w:i w:val="0"/>
                <w:color w:val="1C1E2E"/>
                <w:sz w:val="19"/>
              </w:rPr>
              <w:t xml:space="preserve">, código 1133DH, centro y </w:t>
            </w:r>
            <w:r>
              <w:rPr>
                <w:rFonts w:ascii="Inter" w:hAnsi="Inter" w:cs="Inter"/>
                <w:b/>
                <w:i w:val="0"/>
                <w:color w:val="1C1E2E"/>
                <w:sz w:val="19"/>
              </w:rPr>
              <w:t>fecha de ingreso 01/10/2006</w:t>
            </w:r>
            <w:r>
              <w:rPr>
                <w:rFonts w:ascii="Inter" w:hAnsi="Inter" w:cs="Inter"/>
                <w:b w:val="0"/>
                <w:i w:val="0"/>
                <w:color w:val="1C1E2E"/>
                <w:sz w:val="19"/>
              </w:rPr>
              <w:t>, en activo a marzo de 2018</w:t>
            </w:r>
          </w:p>
        </w:tc>
        <w:tc>
          <w:tcPr>
            <w:tcW w:type="dxa" w:w="2412"/>
          </w:tcPr>
          <w:p>
            <w:pPr>
              <w:spacing w:after="40"/>
            </w:pPr>
            <w:r/>
            <w:r>
              <w:rPr>
                <w:rFonts w:ascii="Inter" w:hAnsi="Inter" w:cs="Inter"/>
                <w:b/>
                <w:i w:val="0"/>
                <w:color w:val="1C1E2E"/>
                <w:sz w:val="19"/>
              </w:rPr>
              <w:t>Código de verificación en línea</w:t>
            </w:r>
            <w:r>
              <w:rPr>
                <w:rFonts w:ascii="Inter" w:hAnsi="Inter" w:cs="Inter"/>
                <w:b w:val="0"/>
                <w:i w:val="0"/>
                <w:color w:val="1C1E2E"/>
                <w:sz w:val="19"/>
              </w:rPr>
              <w:t xml:space="preserve"> en el portal de autogestión del Ministerio</w:t>
            </w:r>
          </w:p>
        </w:tc>
      </w:tr>
      <w:tr>
        <w:tc>
          <w:tcPr>
            <w:tcW w:type="dxa" w:w="2412"/>
          </w:tcPr>
          <w:p>
            <w:pPr>
              <w:spacing w:after="40"/>
            </w:pPr>
            <w:r/>
            <w:r>
              <w:rPr>
                <w:rFonts w:ascii="Inter" w:hAnsi="Inter" w:cs="Inter"/>
                <w:b/>
                <w:i w:val="0"/>
                <w:color w:val="1C1E2E"/>
                <w:sz w:val="19"/>
              </w:rPr>
              <w:t>C</w:t>
            </w:r>
          </w:p>
        </w:tc>
        <w:tc>
          <w:tcPr>
            <w:tcW w:type="dxa" w:w="2412"/>
          </w:tcPr>
          <w:p>
            <w:pPr>
              <w:spacing w:after="40"/>
            </w:pPr>
            <w:r/>
            <w:r>
              <w:rPr>
                <w:rFonts w:ascii="Inter" w:hAnsi="Inter" w:cs="Inter"/>
                <w:b/>
                <w:i w:val="0"/>
                <w:color w:val="1C1E2E"/>
                <w:sz w:val="19"/>
              </w:rPr>
              <w:t>Constancia Provisional</w:t>
            </w:r>
            <w:r>
              <w:rPr>
                <w:rFonts w:ascii="Inter" w:hAnsi="Inter" w:cs="Inter"/>
                <w:b w:val="0"/>
                <w:i w:val="0"/>
                <w:color w:val="1C1E2E"/>
                <w:sz w:val="19"/>
              </w:rPr>
              <w:t xml:space="preserve"> — Zona Educativa Nueva Esparta, 6 de octubre de 2006</w:t>
            </w:r>
          </w:p>
        </w:tc>
        <w:tc>
          <w:tcPr>
            <w:tcW w:type="dxa" w:w="2412"/>
          </w:tcPr>
          <w:p>
            <w:pPr>
              <w:spacing w:after="40"/>
            </w:pPr>
            <w:r/>
            <w:r>
              <w:rPr>
                <w:rFonts w:ascii="Inter" w:hAnsi="Inter" w:cs="Inter"/>
                <w:b w:val="0"/>
                <w:i w:val="0"/>
                <w:color w:val="1C1E2E"/>
                <w:sz w:val="19"/>
              </w:rPr>
              <w:t xml:space="preserve">El </w:t>
            </w:r>
            <w:r>
              <w:rPr>
                <w:rFonts w:ascii="Inter" w:hAnsi="Inter" w:cs="Inter"/>
                <w:b/>
                <w:i w:val="0"/>
                <w:color w:val="1C1E2E"/>
                <w:sz w:val="19"/>
              </w:rPr>
              <w:t>inicio</w:t>
            </w:r>
            <w:r>
              <w:rPr>
                <w:rFonts w:ascii="Inter" w:hAnsi="Inter" w:cs="Inter"/>
                <w:b w:val="0"/>
                <w:i w:val="0"/>
                <w:color w:val="1C1E2E"/>
                <w:sz w:val="19"/>
              </w:rPr>
              <w:t xml:space="preserve"> del nombramiento: DOC/AULA, </w:t>
            </w:r>
            <w:r>
              <w:rPr>
                <w:rFonts w:ascii="Inter" w:hAnsi="Inter" w:cs="Inter"/>
                <w:b/>
                <w:i w:val="0"/>
                <w:color w:val="1C1E2E"/>
                <w:sz w:val="19"/>
              </w:rPr>
              <w:t>36 horas de Inglés</w:t>
            </w:r>
            <w:r>
              <w:rPr>
                <w:rFonts w:ascii="Inter" w:hAnsi="Inter" w:cs="Inter"/>
                <w:b w:val="0"/>
                <w:i w:val="0"/>
                <w:color w:val="1C1E2E"/>
                <w:sz w:val="19"/>
              </w:rPr>
              <w:t>, tramitado el 01/10/2006</w:t>
            </w:r>
          </w:p>
        </w:tc>
        <w:tc>
          <w:tcPr>
            <w:tcW w:type="dxa" w:w="2412"/>
          </w:tcPr>
          <w:p>
            <w:pPr>
              <w:spacing w:after="40"/>
            </w:pPr>
            <w:r/>
            <w:r>
              <w:rPr>
                <w:rFonts w:ascii="Inter" w:hAnsi="Inter" w:cs="Inter"/>
                <w:b w:val="0"/>
                <w:i w:val="0"/>
                <w:color w:val="1C1E2E"/>
                <w:sz w:val="19"/>
              </w:rPr>
              <w:t>Sello y firma de la Jefatura de Zona Educativa</w:t>
            </w:r>
          </w:p>
        </w:tc>
      </w:tr>
      <w:tr>
        <w:tc>
          <w:tcPr>
            <w:tcW w:type="dxa" w:w="2412"/>
          </w:tcPr>
          <w:p>
            <w:pPr>
              <w:spacing w:after="40"/>
            </w:pPr>
            <w:r/>
            <w:r>
              <w:rPr>
                <w:rFonts w:ascii="Inter" w:hAnsi="Inter" w:cs="Inter"/>
                <w:b/>
                <w:i w:val="0"/>
                <w:color w:val="1C1E2E"/>
                <w:sz w:val="19"/>
              </w:rPr>
              <w:t>D</w:t>
            </w:r>
          </w:p>
        </w:tc>
        <w:tc>
          <w:tcPr>
            <w:tcW w:type="dxa" w:w="2412"/>
          </w:tcPr>
          <w:p>
            <w:pPr>
              <w:spacing w:after="40"/>
            </w:pPr>
            <w:r/>
            <w:r>
              <w:rPr>
                <w:rFonts w:ascii="Inter" w:hAnsi="Inter" w:cs="Inter"/>
                <w:b/>
                <w:i w:val="0"/>
                <w:color w:val="1C1E2E"/>
                <w:sz w:val="19"/>
              </w:rPr>
              <w:t>Cuenta Individual (IVSS)</w:t>
            </w:r>
            <w:r>
              <w:rPr>
                <w:rFonts w:ascii="Inter" w:hAnsi="Inter" w:cs="Inter"/>
                <w:b w:val="0"/>
                <w:i w:val="0"/>
                <w:color w:val="1C1E2E"/>
                <w:sz w:val="19"/>
              </w:rPr>
              <w:t xml:space="preserve"> — Dirección General de Afiliación y Prestaciones en Dinero, actualizada al 3 de agosto de 2026</w:t>
            </w:r>
          </w:p>
        </w:tc>
        <w:tc>
          <w:tcPr>
            <w:tcW w:type="dxa" w:w="2412"/>
          </w:tcPr>
          <w:p>
            <w:pPr>
              <w:spacing w:after="40"/>
            </w:pPr>
            <w:r/>
            <w:r>
              <w:rPr>
                <w:rFonts w:ascii="Inter" w:hAnsi="Inter" w:cs="Inter"/>
                <w:b/>
                <w:i w:val="0"/>
                <w:color w:val="1C1E2E"/>
                <w:sz w:val="19"/>
              </w:rPr>
              <w:t>Continuidad de la relación laboral</w:t>
            </w:r>
            <w:r>
              <w:rPr>
                <w:rFonts w:ascii="Inter" w:hAnsi="Inter" w:cs="Inter"/>
                <w:b w:val="0"/>
                <w:i w:val="0"/>
                <w:color w:val="1C1E2E"/>
                <w:sz w:val="19"/>
              </w:rPr>
              <w:t xml:space="preserve">: primera afiliación 12/09/2005, egreso 01/01/2019, empleador Ministerio de Educación, y </w:t>
            </w:r>
            <w:r>
              <w:rPr>
                <w:rFonts w:ascii="Inter" w:hAnsi="Inter" w:cs="Inter"/>
                <w:b/>
                <w:i w:val="0"/>
                <w:color w:val="1C1E2E"/>
                <w:sz w:val="19"/>
              </w:rPr>
              <w:t>52–53 semanas cotizadas cada año de 2011 a 2018</w:t>
            </w:r>
          </w:p>
        </w:tc>
        <w:tc>
          <w:tcPr>
            <w:tcW w:type="dxa" w:w="2412"/>
          </w:tcPr>
          <w:p>
            <w:pPr>
              <w:spacing w:after="40"/>
            </w:pPr>
            <w:r/>
            <w:r>
              <w:rPr>
                <w:rFonts w:ascii="Inter" w:hAnsi="Inter" w:cs="Inter"/>
                <w:b w:val="0"/>
                <w:i w:val="0"/>
                <w:color w:val="1C1E2E"/>
                <w:sz w:val="19"/>
              </w:rPr>
              <w:t>Documento del sistema de seguridad social del Estado</w:t>
            </w:r>
          </w:p>
        </w:tc>
      </w:tr>
      <w:tr>
        <w:tc>
          <w:tcPr>
            <w:tcW w:type="dxa" w:w="2412"/>
          </w:tcPr>
          <w:p>
            <w:pPr>
              <w:spacing w:after="40"/>
            </w:pPr>
            <w:r/>
            <w:r>
              <w:rPr>
                <w:rFonts w:ascii="Inter" w:hAnsi="Inter" w:cs="Inter"/>
                <w:b/>
                <w:i w:val="0"/>
                <w:color w:val="1C1E2E"/>
                <w:sz w:val="19"/>
              </w:rPr>
              <w:t>F</w:t>
            </w:r>
          </w:p>
        </w:tc>
        <w:tc>
          <w:tcPr>
            <w:tcW w:type="dxa" w:w="2412"/>
          </w:tcPr>
          <w:p>
            <w:pPr>
              <w:spacing w:after="40"/>
            </w:pPr>
            <w:r/>
            <w:r>
              <w:rPr>
                <w:rFonts w:ascii="Inter" w:hAnsi="Inter" w:cs="Inter"/>
                <w:b/>
                <w:i w:val="0"/>
                <w:color w:val="1C1E2E"/>
                <w:sz w:val="19"/>
              </w:rPr>
              <w:t>Hoja de carga docente UDO 2007–2011</w:t>
            </w:r>
            <w:r>
              <w:rPr>
                <w:rFonts w:ascii="Inter" w:hAnsi="Inter" w:cs="Inter"/>
                <w:b w:val="0"/>
                <w:i w:val="0"/>
                <w:color w:val="1C1E2E"/>
                <w:sz w:val="19"/>
              </w:rPr>
              <w:t xml:space="preserve"> — detalle por sección, con totales por semestre</w:t>
            </w:r>
          </w:p>
        </w:tc>
        <w:tc>
          <w:tcPr>
            <w:tcW w:type="dxa" w:w="2412"/>
          </w:tcPr>
          <w:p>
            <w:pPr>
              <w:spacing w:after="40"/>
            </w:pPr>
            <w:r/>
            <w:r>
              <w:rPr>
                <w:rFonts w:ascii="Inter" w:hAnsi="Inter" w:cs="Inter"/>
                <w:b w:val="0"/>
                <w:i w:val="0"/>
                <w:color w:val="1C1E2E"/>
                <w:sz w:val="19"/>
              </w:rPr>
              <w:t xml:space="preserve">El </w:t>
            </w:r>
            <w:r>
              <w:rPr>
                <w:rFonts w:ascii="Inter" w:hAnsi="Inter" w:cs="Inter"/>
                <w:b/>
                <w:i w:val="0"/>
                <w:color w:val="1C1E2E"/>
                <w:sz w:val="19"/>
              </w:rPr>
              <w:t>desglose que resuelve el total</w:t>
            </w:r>
            <w:r>
              <w:rPr>
                <w:rFonts w:ascii="Inter" w:hAnsi="Inter" w:cs="Inter"/>
                <w:b w:val="0"/>
                <w:i w:val="0"/>
                <w:color w:val="1C1E2E"/>
                <w:sz w:val="19"/>
              </w:rPr>
              <w:t xml:space="preserve">: asignatura, código, sección, créditos, departamento, carrera, horas semanales, </w:t>
            </w:r>
            <w:r>
              <w:rPr>
                <w:rFonts w:ascii="Inter" w:hAnsi="Inter" w:cs="Inter"/>
                <w:b/>
                <w:i w:val="0"/>
                <w:color w:val="1C1E2E"/>
                <w:sz w:val="19"/>
              </w:rPr>
              <w:t>totales por semestre y total general de 1.568 horas</w:t>
            </w:r>
            <w:r>
              <w:rPr>
                <w:rFonts w:ascii="Inter" w:hAnsi="Inter" w:cs="Inter"/>
                <w:b w:val="0"/>
                <w:i w:val="0"/>
                <w:color w:val="1C1E2E"/>
                <w:sz w:val="19"/>
              </w:rPr>
              <w:t>, con los jefes de departamento responsables</w:t>
            </w:r>
          </w:p>
        </w:tc>
        <w:tc>
          <w:tcPr>
            <w:tcW w:type="dxa" w:w="2412"/>
          </w:tcPr>
          <w:p>
            <w:pPr>
              <w:spacing w:after="40"/>
            </w:pPr>
            <w:r/>
            <w:r>
              <w:rPr>
                <w:rFonts w:ascii="Inter" w:hAnsi="Inter" w:cs="Inter"/>
                <w:b w:val="0"/>
                <w:i w:val="0"/>
                <w:color w:val="1C1E2E"/>
                <w:sz w:val="19"/>
              </w:rPr>
              <w:t xml:space="preserve">⚠️ PDF nativo, </w:t>
            </w:r>
            <w:r>
              <w:rPr>
                <w:rFonts w:ascii="Inter" w:hAnsi="Inter" w:cs="Inter"/>
                <w:b/>
                <w:i w:val="0"/>
                <w:color w:val="1C1E2E"/>
                <w:sz w:val="19"/>
              </w:rPr>
              <w:t>sin sello ni firma</w:t>
            </w:r>
            <w:r>
              <w:rPr>
                <w:rFonts w:ascii="Inter" w:hAnsi="Inter" w:cs="Inter"/>
                <w:b w:val="0"/>
                <w:i w:val="0"/>
                <w:color w:val="1C1E2E"/>
                <w:sz w:val="19"/>
              </w:rPr>
              <w:t xml:space="preserve"> (§5)</w:t>
            </w:r>
          </w:p>
        </w:tc>
      </w:tr>
      <w:tr>
        <w:tc>
          <w:tcPr>
            <w:tcW w:type="dxa" w:w="2412"/>
          </w:tcPr>
          <w:p>
            <w:pPr>
              <w:spacing w:after="40"/>
            </w:pPr>
            <w:r/>
            <w:r>
              <w:rPr>
                <w:rFonts w:ascii="Inter" w:hAnsi="Inter" w:cs="Inter"/>
                <w:b/>
                <w:i w:val="0"/>
                <w:color w:val="1C1E2E"/>
                <w:sz w:val="19"/>
              </w:rPr>
              <w:t>E</w:t>
            </w:r>
          </w:p>
        </w:tc>
        <w:tc>
          <w:tcPr>
            <w:tcW w:type="dxa" w:w="2412"/>
          </w:tcPr>
          <w:p>
            <w:pPr>
              <w:spacing w:after="40"/>
            </w:pPr>
            <w:r/>
            <w:r>
              <w:rPr>
                <w:rFonts w:ascii="Inter" w:hAnsi="Inter" w:cs="Inter"/>
                <w:b/>
                <w:i w:val="0"/>
                <w:color w:val="1C1E2E"/>
                <w:sz w:val="19"/>
              </w:rPr>
              <w:t>Artículo de prensa</w:t>
            </w:r>
            <w:r>
              <w:rPr>
                <w:rFonts w:ascii="Inter" w:hAnsi="Inter" w:cs="Inter"/>
                <w:b w:val="0"/>
                <w:i w:val="0"/>
                <w:color w:val="1C1E2E"/>
                <w:sz w:val="19"/>
              </w:rPr>
              <w:t xml:space="preserve"> — </w:t>
            </w:r>
            <w:r>
              <w:rPr>
                <w:rFonts w:ascii="Inter" w:hAnsi="Inter" w:cs="Inter"/>
                <w:b w:val="0"/>
                <w:i/>
                <w:color w:val="1C1E2E"/>
                <w:sz w:val="19"/>
              </w:rPr>
              <w:t>La Izquierda Diario</w:t>
            </w:r>
            <w:r>
              <w:rPr>
                <w:rFonts w:ascii="Inter" w:hAnsi="Inter" w:cs="Inter"/>
                <w:b w:val="0"/>
                <w:i w:val="0"/>
                <w:color w:val="1C1E2E"/>
                <w:sz w:val="19"/>
              </w:rPr>
              <w:t>, 5 de junio de 2020</w:t>
            </w:r>
          </w:p>
        </w:tc>
        <w:tc>
          <w:tcPr>
            <w:tcW w:type="dxa" w:w="2412"/>
          </w:tcPr>
          <w:p>
            <w:pPr>
              <w:spacing w:after="40"/>
            </w:pPr>
            <w:r/>
            <w:r>
              <w:rPr>
                <w:rFonts w:ascii="Inter" w:hAnsi="Inter" w:cs="Inter"/>
                <w:b w:val="0"/>
                <w:i w:val="0"/>
                <w:color w:val="1C1E2E"/>
                <w:sz w:val="19"/>
              </w:rPr>
              <w:t xml:space="preserve">El </w:t>
            </w:r>
            <w:r>
              <w:rPr>
                <w:rFonts w:ascii="Inter" w:hAnsi="Inter" w:cs="Inter"/>
                <w:b/>
                <w:i w:val="0"/>
                <w:color w:val="1C1E2E"/>
                <w:sz w:val="19"/>
              </w:rPr>
              <w:t>contexto de la pérdida documental</w:t>
            </w:r>
            <w:r>
              <w:rPr>
                <w:rFonts w:ascii="Inter" w:hAnsi="Inter" w:cs="Inter"/>
                <w:b w:val="0"/>
                <w:i w:val="0"/>
                <w:color w:val="1C1E2E"/>
                <w:sz w:val="19"/>
              </w:rPr>
              <w:t xml:space="preserve">: vandalismo sistemático en la UDO, y un </w:t>
            </w:r>
            <w:r>
              <w:rPr>
                <w:rFonts w:ascii="Inter" w:hAnsi="Inter" w:cs="Inter"/>
                <w:b/>
                <w:i w:val="0"/>
                <w:color w:val="1C1E2E"/>
                <w:sz w:val="19"/>
              </w:rPr>
              <w:t>incendio en noviembre de 2019 que arrasó la planta baja del edificio donde estaba el archivo de la universidad</w:t>
            </w:r>
          </w:p>
        </w:tc>
        <w:tc>
          <w:tcPr>
            <w:tcW w:type="dxa" w:w="2412"/>
          </w:tcPr>
          <w:p>
            <w:pPr>
              <w:spacing w:after="40"/>
            </w:pPr>
            <w:r/>
            <w:r>
              <w:rPr>
                <w:rFonts w:ascii="Inter" w:hAnsi="Inter" w:cs="Inter"/>
                <w:b w:val="0"/>
                <w:i w:val="0"/>
                <w:color w:val="1C1E2E"/>
                <w:sz w:val="19"/>
              </w:rPr>
              <w:t>Publicación de acceso público con fecha y autoría</w:t>
            </w:r>
          </w:p>
        </w:tc>
      </w:tr>
    </w:tbl>
    <w:p/>
    <w:p>
      <w:r>
        <w:rPr>
          <w:rFonts w:ascii="Inter" w:hAnsi="Inter" w:cs="Inter"/>
          <w:b/>
          <w:i w:val="0"/>
          <w:color w:val="1C1E2E"/>
          <w:sz w:val="22"/>
        </w:rPr>
        <w:t>El documento D es el más potente y el menos obvio.</w:t>
      </w:r>
      <w:r>
        <w:rPr>
          <w:rFonts w:ascii="Inter" w:hAnsi="Inter" w:cs="Inter"/>
          <w:b w:val="0"/>
          <w:i w:val="0"/>
          <w:color w:val="1C1E2E"/>
          <w:sz w:val="22"/>
        </w:rPr>
        <w:t xml:space="preserve"> Una cuenta individual del IVSS con 52–53 semanas cotizadas cada año durante ocho años consecutivos es prueba de </w:t>
      </w:r>
      <w:r>
        <w:rPr>
          <w:rFonts w:ascii="Inter" w:hAnsi="Inter" w:cs="Inter"/>
          <w:b/>
          <w:i w:val="0"/>
          <w:color w:val="1C1E2E"/>
          <w:sz w:val="22"/>
        </w:rPr>
        <w:t>continuidad laboral emitida por el Estado</w:t>
      </w:r>
      <w:r>
        <w:rPr>
          <w:rFonts w:ascii="Inter" w:hAnsi="Inter" w:cs="Inter"/>
          <w:b w:val="0"/>
          <w:i w:val="0"/>
          <w:color w:val="1C1E2E"/>
          <w:sz w:val="22"/>
        </w:rPr>
        <w:t>, no por el empleador. No depende de ningún archivo universitario y no puede haberse perdido en un incendio.</w:t>
      </w:r>
    </w:p>
    <w:p>
      <w:pPr>
        <w:pBdr>
          <w:bottom w:val="single" w:sz="6" w:space="1" w:color="E6E8F2"/>
        </w:pBdr>
      </w:pPr>
    </w:p>
    <w:p>
      <w:pPr>
        <w:spacing w:before="320" w:after="120"/>
      </w:pPr>
      <w:r>
        <w:rPr>
          <w:rFonts w:ascii="Fraunces" w:hAnsi="Fraunces" w:cs="Fraunces"/>
          <w:b/>
          <w:i w:val="0"/>
          <w:color w:val="22307C"/>
          <w:sz w:val="32"/>
        </w:rPr>
        <w:t>3 · La pérdida documental — cómo plantearla sin sobreafirmar</w:t>
      </w:r>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Precisión necesaria.</w:t>
      </w:r>
      <w:r>
        <w:rPr>
          <w:rFonts w:ascii="Inter" w:hAnsi="Inter" w:cs="Inter"/>
          <w:b w:val="0"/>
          <w:i w:val="0"/>
          <w:color w:val="5B5F77"/>
          <w:sz w:val="21"/>
        </w:rPr>
        <w:t xml:space="preserve"> El artículo documenta que el </w:t>
      </w:r>
      <w:r>
        <w:rPr>
          <w:rFonts w:ascii="Inter" w:hAnsi="Inter" w:cs="Inter"/>
          <w:b/>
          <w:i w:val="0"/>
          <w:color w:val="5B5F77"/>
          <w:sz w:val="21"/>
        </w:rPr>
        <w:t>incendio del archivo universitario (noviembre de 2019)</w:t>
      </w:r>
      <w:r>
        <w:rPr>
          <w:rFonts w:ascii="Inter" w:hAnsi="Inter" w:cs="Inter"/>
          <w:b w:val="0"/>
          <w:i w:val="0"/>
          <w:color w:val="5B5F77"/>
          <w:sz w:val="21"/>
        </w:rPr>
        <w:t xml:space="preserve"> y la quema de la Biblioteca General (1 de junio de 2020) ocurrieron en el </w:t>
      </w:r>
      <w:r>
        <w:rPr>
          <w:rFonts w:ascii="Inter" w:hAnsi="Inter" w:cs="Inter"/>
          <w:b/>
          <w:i w:val="0"/>
          <w:color w:val="5B5F77"/>
          <w:sz w:val="21"/>
        </w:rPr>
        <w:t>Núcleo Sucre, en Cumaná</w:t>
      </w:r>
      <w:r>
        <w:rPr>
          <w:rFonts w:ascii="Inter" w:hAnsi="Inter" w:cs="Inter"/>
          <w:b w:val="0"/>
          <w:i w:val="0"/>
          <w:color w:val="5B5F77"/>
          <w:sz w:val="21"/>
        </w:rPr>
        <w:t xml:space="preserve">, no en Nueva Esparta. El artículo sí afirma que </w:t>
      </w:r>
      <w:r>
        <w:rPr>
          <w:rFonts w:ascii="Inter" w:hAnsi="Inter" w:cs="Inter"/>
          <w:b/>
          <w:i w:val="0"/>
          <w:color w:val="5B5F77"/>
          <w:sz w:val="21"/>
        </w:rPr>
        <w:t>todas las sedes —Sucre, Anzoátegui, Bolívar, Monagas y Margarita— quedaron expuestas</w:t>
      </w:r>
      <w:r>
        <w:rPr>
          <w:rFonts w:ascii="Inter" w:hAnsi="Inter" w:cs="Inter"/>
          <w:b w:val="0"/>
          <w:i w:val="0"/>
          <w:color w:val="5B5F77"/>
          <w:sz w:val="21"/>
        </w:rPr>
        <w:t xml:space="preserve"> a estas incursiones, y describe 72 hurtos y destrozos en el conjunto de universidades públicas del país hasta mayo de 2020. </w:t>
      </w:r>
      <w:r>
        <w:rPr>
          <w:rFonts w:ascii="Inter" w:hAnsi="Inter" w:cs="Inter"/>
          <w:b/>
          <w:i w:val="0"/>
          <w:color w:val="5B5F77"/>
          <w:sz w:val="21"/>
        </w:rPr>
        <w:t>Por qué importa.</w:t>
      </w:r>
      <w:r>
        <w:rPr>
          <w:rFonts w:ascii="Inter" w:hAnsi="Inter" w:cs="Inter"/>
          <w:b w:val="0"/>
          <w:i w:val="0"/>
          <w:color w:val="5B5F77"/>
          <w:sz w:val="21"/>
        </w:rPr>
        <w:t xml:space="preserve"> Si presentas el artículo diciendo «se quemaron mis archivos», alguien que lo lea con cuidado verá que el incendio documentado fue en otro núcleo, y eso daña la credibilidad de todo lo demás. Si lo presentas como </w:t>
      </w:r>
      <w:r>
        <w:rPr>
          <w:rFonts w:ascii="Inter" w:hAnsi="Inter" w:cs="Inter"/>
          <w:b/>
          <w:i w:val="0"/>
          <w:color w:val="5B5F77"/>
          <w:sz w:val="21"/>
        </w:rPr>
        <w:t>contexto institucional verificable</w:t>
      </w:r>
      <w:r>
        <w:rPr>
          <w:rFonts w:ascii="Inter" w:hAnsi="Inter" w:cs="Inter"/>
          <w:b w:val="0"/>
          <w:i w:val="0"/>
          <w:color w:val="5B5F77"/>
          <w:sz w:val="21"/>
        </w:rPr>
        <w:t xml:space="preserve"> de por qué la UDO no puede hoy emitir certificaciones exhaustivas, el argumento se sostiene entero y no se puede rebatir.</w:t>
      </w:r>
    </w:p>
    <w:p>
      <w:r>
        <w:rPr>
          <w:rFonts w:ascii="Inter" w:hAnsi="Inter" w:cs="Inter"/>
          <w:b/>
          <w:i w:val="0"/>
          <w:color w:val="1C1E2E"/>
          <w:sz w:val="22"/>
        </w:rPr>
        <w:t>El hecho más elocuente no es el artículo: es la propia constancia A.</w:t>
      </w:r>
      <w:r>
        <w:rPr>
          <w:rFonts w:ascii="Inter" w:hAnsi="Inter" w:cs="Inter"/>
          <w:b w:val="0"/>
          <w:i w:val="0"/>
          <w:color w:val="1C1E2E"/>
          <w:sz w:val="22"/>
        </w:rPr>
        <w:t xml:space="preserve"> Que la Unidad de Estudios Básicos haya podido certificar en 2026 </w:t>
      </w:r>
      <w:r>
        <w:rPr>
          <w:rFonts w:ascii="Inter" w:hAnsi="Inter" w:cs="Inter"/>
          <w:b/>
          <w:i w:val="0"/>
          <w:color w:val="1C1E2E"/>
          <w:sz w:val="22"/>
        </w:rPr>
        <w:t>exactamente ocho semestres, y solo esos</w:t>
      </w:r>
      <w:r>
        <w:rPr>
          <w:rFonts w:ascii="Inter" w:hAnsi="Inter" w:cs="Inter"/>
          <w:b w:val="0"/>
          <w:i w:val="0"/>
          <w:color w:val="1C1E2E"/>
          <w:sz w:val="22"/>
        </w:rPr>
        <w:t>, es en sí mismo la evidencia de que se certificó lo que quedaba. Un archivo íntegro habría producido una certificación completa del periodo de servicio.</w:t>
      </w:r>
    </w:p>
    <w:p>
      <w:pPr>
        <w:pBdr>
          <w:bottom w:val="single" w:sz="6" w:space="1" w:color="E6E8F2"/>
        </w:pBdr>
      </w:pPr>
    </w:p>
    <w:p>
      <w:pPr>
        <w:spacing w:before="320" w:after="120"/>
      </w:pPr>
      <w:r>
        <w:rPr>
          <w:rFonts w:ascii="Fraunces" w:hAnsi="Fraunces" w:cs="Fraunces"/>
          <w:b/>
          <w:i w:val="0"/>
          <w:color w:val="22307C"/>
          <w:sz w:val="32"/>
        </w:rPr>
        <w:t>4 · Nota explicativa — texto listo para el expediente</w:t>
      </w:r>
    </w:p>
    <w:p>
      <w:pPr>
        <w:pBdr>
          <w:left w:val="single" w:sz="18" w:space="8" w:color="9A5B00"/>
        </w:pBdr>
        <w:spacing w:before="120" w:after="200"/>
        <w:ind w:left="317"/>
      </w:pPr>
      <w:r>
        <w:rPr>
          <w:rFonts w:ascii="Inter" w:hAnsi="Inter" w:cs="Inter"/>
          <w:b w:val="0"/>
          <w:i w:val="0"/>
          <w:color w:val="5B5F77"/>
          <w:sz w:val="21"/>
        </w:rPr>
        <w:t>Adjúntala inmediatamente antes de los documentos A–E, en una página. Explica la situación sin dramatizarla y sin pedir que se dé nada por supuesto.</w:t>
      </w:r>
    </w:p>
    <w:p>
      <w:pPr>
        <w:pBdr>
          <w:left w:val="single" w:sz="18" w:space="8" w:color="9A5B00"/>
        </w:pBdr>
        <w:spacing w:before="120" w:after="200"/>
        <w:ind w:left="317"/>
      </w:pPr>
      <w:r>
        <w:rPr>
          <w:rFonts w:ascii="Inter" w:hAnsi="Inter" w:cs="Inter"/>
          <w:b/>
          <w:i w:val="0"/>
          <w:color w:val="5B5F77"/>
          <w:sz w:val="21"/>
        </w:rPr>
        <w:t>Nota sobre la acreditación de la docencia en Venezuela</w:t>
      </w:r>
      <w:r>
        <w:rPr>
          <w:rFonts w:ascii="Inter" w:hAnsi="Inter" w:cs="Inter"/>
          <w:b w:val="0"/>
          <w:i w:val="0"/>
          <w:color w:val="5B5F77"/>
          <w:sz w:val="21"/>
        </w:rPr>
        <w:t xml:space="preserve"> La experiencia docente en Venezuela corresponde a </w:t>
      </w:r>
      <w:r>
        <w:rPr>
          <w:rFonts w:ascii="Inter" w:hAnsi="Inter" w:cs="Inter"/>
          <w:b/>
          <w:i w:val="0"/>
          <w:color w:val="5B5F77"/>
          <w:sz w:val="21"/>
        </w:rPr>
        <w:t>dos relaciones laborales simultáneas y de naturaleza distinta</w:t>
      </w:r>
      <w:r>
        <w:rPr>
          <w:rFonts w:ascii="Inter" w:hAnsi="Inter" w:cs="Inter"/>
          <w:b w:val="0"/>
          <w:i w:val="0"/>
          <w:color w:val="5B5F77"/>
          <w:sz w:val="21"/>
        </w:rPr>
        <w:t xml:space="preserve">: 1. </w:t>
      </w:r>
      <w:r>
        <w:rPr>
          <w:rFonts w:ascii="Inter" w:hAnsi="Inter" w:cs="Inter"/>
          <w:b/>
          <w:i w:val="0"/>
          <w:color w:val="5B5F77"/>
          <w:sz w:val="21"/>
        </w:rPr>
        <w:t>Ministerio del Poder Popular para la Educación</w:t>
      </w:r>
      <w:r>
        <w:rPr>
          <w:rFonts w:ascii="Inter" w:hAnsi="Inter" w:cs="Inter"/>
          <w:b w:val="0"/>
          <w:i w:val="0"/>
          <w:color w:val="5B5F77"/>
          <w:sz w:val="21"/>
        </w:rPr>
        <w:t xml:space="preserve"> — Docente III de Aula (código 1133DH), 36 horas semanales de Inglés, desde el 1 de octubre de 2006 hasta el 1 de enero de 2019. Se acredita mediante constancia de trabajo de la Oficina de Gestión Humana del Ministerio, con código de verificación en línea, constancia provisional de nombramiento de la Zona Educativa, y cuenta individual del Instituto Venezolano de los Seguros Sociales, que registra cotización continuada. 2. </w:t>
      </w:r>
      <w:r>
        <w:rPr>
          <w:rFonts w:ascii="Inter" w:hAnsi="Inter" w:cs="Inter"/>
          <w:b/>
          <w:i w:val="0"/>
          <w:color w:val="5B5F77"/>
          <w:sz w:val="21"/>
        </w:rPr>
        <w:t>Universidad de Oriente, Núcleo Nueva Esparta</w:t>
      </w:r>
      <w:r>
        <w:rPr>
          <w:rFonts w:ascii="Inter" w:hAnsi="Inter" w:cs="Inter"/>
          <w:b w:val="0"/>
          <w:i w:val="0"/>
          <w:color w:val="5B5F77"/>
          <w:sz w:val="21"/>
        </w:rPr>
        <w:t xml:space="preserve"> — profesora contratada por honorarios profesionales en la Unidad de Estudios Básicos, con docencia de Inglés Instrumental, Inglés I, Inglés II e Inglés Técnico durante ocho semestres consecutivos (I-2007 a II-2010), con una carga de 12 a 14 horas semanales. Se acredita mediante Constancia de Carga Académica emitida por la Dirección de la Unidad de Estudios Básicos. Por tratarse de una contratación por honorarios profesionales, la relación con la Universidad de Oriente no genera cotización a la seguridad social, razón por la cual no figura en la cuenta individual del IVSS. La Universidad de Oriente ha sufrido, entre 2018 y 2020, un proceso documentado de vandalismo, hurto e incendios que afectó a su infraestructura y a sus archivos, incluido el incendio de noviembre de 2019 que destruyó la planta baja del edificio donde se hallaba el archivo de la universidad. En consecuencia, la certificación disponible se limita a los periodos cuyos registros pudieron ser recuperados. Se adjunta referencia de prensa a título contextual.</w:t>
      </w:r>
    </w:p>
    <w:p>
      <w:pPr>
        <w:pBdr>
          <w:bottom w:val="single" w:sz="6" w:space="1" w:color="E6E8F2"/>
        </w:pBdr>
      </w:pPr>
    </w:p>
    <w:p>
      <w:pPr>
        <w:spacing w:before="320" w:after="120"/>
      </w:pPr>
      <w:r>
        <w:rPr>
          <w:rFonts w:ascii="Fraunces" w:hAnsi="Fraunces" w:cs="Fraunces"/>
          <w:b/>
          <w:i w:val="0"/>
          <w:color w:val="22307C"/>
          <w:sz w:val="32"/>
        </w:rPr>
        <w:t>5 · La cifra de 1.568 horas — confirmada, con un matiz de forma</w:t>
      </w:r>
    </w:p>
    <w:p>
      <w:r>
        <w:rPr>
          <w:rFonts w:ascii="Inter" w:hAnsi="Inter" w:cs="Inter"/>
          <w:b/>
          <w:i w:val="0"/>
          <w:color w:val="1C1E2E"/>
          <w:sz w:val="22"/>
        </w:rPr>
        <w:t>La cifra es correcta y está desglosada.</w:t>
      </w:r>
      <w:r>
        <w:rPr>
          <w:rFonts w:ascii="Inter" w:hAnsi="Inter" w:cs="Inter"/>
          <w:b w:val="0"/>
          <w:i w:val="0"/>
          <w:color w:val="1C1E2E"/>
          <w:sz w:val="22"/>
        </w:rPr>
        <w:t xml:space="preserve"> La hoja de carga docente (documento F) la descompone semestre a semestre:</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Semestres</w:t>
            </w:r>
          </w:p>
        </w:tc>
        <w:tc>
          <w:tcPr>
            <w:tcW w:type="dxa" w:w="3216"/>
            <w:shd w:val="clear" w:color="auto" w:fill="EEF2FD"/>
          </w:tcPr>
          <w:p>
            <w:pPr>
              <w:spacing w:after="40"/>
            </w:pPr>
            <w:r/>
            <w:r>
              <w:rPr>
                <w:rFonts w:ascii="Inter" w:hAnsi="Inter" w:cs="Inter"/>
                <w:b/>
                <w:i w:val="0"/>
                <w:color w:val="22307C"/>
                <w:sz w:val="19"/>
              </w:rPr>
              <w:t>Horas por semestre</w:t>
            </w:r>
          </w:p>
        </w:tc>
        <w:tc>
          <w:tcPr>
            <w:tcW w:type="dxa" w:w="3216"/>
            <w:shd w:val="clear" w:color="auto" w:fill="EEF2FD"/>
          </w:tcPr>
          <w:p>
            <w:pPr>
              <w:spacing w:after="40"/>
            </w:pPr>
            <w:r/>
            <w:r>
              <w:rPr>
                <w:rFonts w:ascii="Inter" w:hAnsi="Inter" w:cs="Inter"/>
                <w:b/>
                <w:i w:val="0"/>
                <w:color w:val="22307C"/>
                <w:sz w:val="19"/>
              </w:rPr>
              <w:t>Subtotal</w:t>
            </w:r>
          </w:p>
        </w:tc>
      </w:tr>
      <w:tr>
        <w:tc>
          <w:tcPr>
            <w:tcW w:type="dxa" w:w="3216"/>
          </w:tcPr>
          <w:p>
            <w:pPr>
              <w:spacing w:after="40"/>
            </w:pPr>
            <w:r/>
            <w:r>
              <w:rPr>
                <w:rFonts w:ascii="Inter" w:hAnsi="Inter" w:cs="Inter"/>
                <w:b w:val="0"/>
                <w:i w:val="0"/>
                <w:color w:val="1C1E2E"/>
                <w:sz w:val="19"/>
              </w:rPr>
              <w:t>Siete semestres</w:t>
            </w:r>
          </w:p>
        </w:tc>
        <w:tc>
          <w:tcPr>
            <w:tcW w:type="dxa" w:w="3216"/>
          </w:tcPr>
          <w:p>
            <w:pPr>
              <w:spacing w:after="40"/>
            </w:pPr>
            <w:r/>
            <w:r>
              <w:rPr>
                <w:rFonts w:ascii="Inter" w:hAnsi="Inter" w:cs="Inter"/>
                <w:b w:val="0"/>
                <w:i w:val="0"/>
                <w:color w:val="1C1E2E"/>
                <w:sz w:val="19"/>
              </w:rPr>
              <w:t>192 h</w:t>
            </w:r>
          </w:p>
        </w:tc>
        <w:tc>
          <w:tcPr>
            <w:tcW w:type="dxa" w:w="3216"/>
          </w:tcPr>
          <w:p>
            <w:pPr>
              <w:spacing w:after="40"/>
            </w:pPr>
            <w:r/>
            <w:r>
              <w:rPr>
                <w:rFonts w:ascii="Inter" w:hAnsi="Inter" w:cs="Inter"/>
                <w:b w:val="0"/>
                <w:i w:val="0"/>
                <w:color w:val="1C1E2E"/>
                <w:sz w:val="19"/>
              </w:rPr>
              <w:t>1.344 h</w:t>
            </w:r>
          </w:p>
        </w:tc>
      </w:tr>
      <w:tr>
        <w:tc>
          <w:tcPr>
            <w:tcW w:type="dxa" w:w="3216"/>
          </w:tcPr>
          <w:p>
            <w:pPr>
              <w:spacing w:after="40"/>
            </w:pPr>
            <w:r/>
            <w:r>
              <w:rPr>
                <w:rFonts w:ascii="Inter" w:hAnsi="Inter" w:cs="Inter"/>
                <w:b w:val="0"/>
                <w:i w:val="0"/>
                <w:color w:val="1C1E2E"/>
                <w:sz w:val="19"/>
              </w:rPr>
              <w:t>Un semestre</w:t>
            </w:r>
          </w:p>
        </w:tc>
        <w:tc>
          <w:tcPr>
            <w:tcW w:type="dxa" w:w="3216"/>
          </w:tcPr>
          <w:p>
            <w:pPr>
              <w:spacing w:after="40"/>
            </w:pPr>
            <w:r/>
            <w:r>
              <w:rPr>
                <w:rFonts w:ascii="Inter" w:hAnsi="Inter" w:cs="Inter"/>
                <w:b w:val="0"/>
                <w:i w:val="0"/>
                <w:color w:val="1C1E2E"/>
                <w:sz w:val="19"/>
              </w:rPr>
              <w:t>224 h</w:t>
            </w:r>
          </w:p>
        </w:tc>
        <w:tc>
          <w:tcPr>
            <w:tcW w:type="dxa" w:w="3216"/>
          </w:tcPr>
          <w:p>
            <w:pPr>
              <w:spacing w:after="40"/>
            </w:pPr>
            <w:r/>
            <w:r>
              <w:rPr>
                <w:rFonts w:ascii="Inter" w:hAnsi="Inter" w:cs="Inter"/>
                <w:b w:val="0"/>
                <w:i w:val="0"/>
                <w:color w:val="1C1E2E"/>
                <w:sz w:val="19"/>
              </w:rPr>
              <w:t>224 h</w:t>
            </w:r>
          </w:p>
        </w:tc>
      </w:tr>
      <w:tr>
        <w:tc>
          <w:tcPr>
            <w:tcW w:type="dxa" w:w="3216"/>
          </w:tcPr>
          <w:p>
            <w:pPr>
              <w:spacing w:after="40"/>
            </w:pPr>
            <w:r/>
            <w:r>
              <w:rPr>
                <w:rFonts w:ascii="Inter" w:hAnsi="Inter" w:cs="Inter"/>
                <w:b/>
                <w:i w:val="0"/>
                <w:color w:val="1C1E2E"/>
                <w:sz w:val="19"/>
              </w:rPr>
              <w:t>Total de horas docentes</w:t>
            </w:r>
          </w:p>
        </w:tc>
        <w:tc>
          <w:tcPr>
            <w:tcW w:type="dxa" w:w="3216"/>
          </w:tcPr>
          <w:p>
            <w:pPr>
              <w:spacing w:after="40"/>
            </w:pPr>
            <w:r/>
          </w:p>
        </w:tc>
        <w:tc>
          <w:tcPr>
            <w:tcW w:type="dxa" w:w="3216"/>
          </w:tcPr>
          <w:p>
            <w:pPr>
              <w:spacing w:after="40"/>
            </w:pPr>
            <w:r/>
            <w:r>
              <w:rPr>
                <w:rFonts w:ascii="Inter" w:hAnsi="Inter" w:cs="Inter"/>
                <w:b/>
                <w:i w:val="0"/>
                <w:color w:val="1C1E2E"/>
                <w:sz w:val="19"/>
              </w:rPr>
              <w:t>1.568 h</w:t>
            </w:r>
          </w:p>
        </w:tc>
      </w:tr>
    </w:tbl>
    <w:p/>
    <w:p>
      <w:r>
        <w:rPr>
          <w:rFonts w:ascii="Inter" w:hAnsi="Inter" w:cs="Inter"/>
          <w:b w:val="0"/>
          <w:i w:val="0"/>
          <w:color w:val="1C1E2E"/>
          <w:sz w:val="22"/>
        </w:rPr>
        <w:t xml:space="preserve">Y cuadra con el certificado sellado: </w:t>
      </w:r>
      <w:r>
        <w:rPr>
          <w:rFonts w:ascii="Inter" w:hAnsi="Inter" w:cs="Inter"/>
          <w:b/>
          <w:i w:val="0"/>
          <w:color w:val="1C1E2E"/>
          <w:sz w:val="22"/>
        </w:rPr>
        <w:t>192 h ÷ 16 semanas = 12 h semanales</w:t>
      </w:r>
      <w:r>
        <w:rPr>
          <w:rFonts w:ascii="Inter" w:hAnsi="Inter" w:cs="Inter"/>
          <w:b w:val="0"/>
          <w:i w:val="0"/>
          <w:color w:val="1C1E2E"/>
          <w:sz w:val="22"/>
        </w:rPr>
        <w:t xml:space="preserve"> y </w:t>
      </w:r>
      <w:r>
        <w:rPr>
          <w:rFonts w:ascii="Inter" w:hAnsi="Inter" w:cs="Inter"/>
          <w:b/>
          <w:i w:val="0"/>
          <w:color w:val="1C1E2E"/>
          <w:sz w:val="22"/>
        </w:rPr>
        <w:t>224 h ÷ 16 semanas = 14 h semanales</w:t>
      </w:r>
      <w:r>
        <w:rPr>
          <w:rFonts w:ascii="Inter" w:hAnsi="Inter" w:cs="Inter"/>
          <w:b w:val="0"/>
          <w:i w:val="0"/>
          <w:color w:val="1C1E2E"/>
          <w:sz w:val="22"/>
        </w:rPr>
        <w:t>, que son exactamente las cargas que declara la Constancia de Carga Académica.</w:t>
      </w:r>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El matiz, que conviene resolver antes de enviar.</w:t>
      </w:r>
      <w:r>
        <w:rPr>
          <w:rFonts w:ascii="Inter" w:hAnsi="Inter" w:cs="Inter"/>
          <w:b w:val="0"/>
          <w:i w:val="0"/>
          <w:color w:val="5B5F77"/>
          <w:sz w:val="21"/>
        </w:rPr>
        <w:t xml:space="preserve"> Hay dos asimetrías entre los dos documentos de la UDO: 1. </w:t>
      </w:r>
      <w:r>
        <w:rPr>
          <w:rFonts w:ascii="Inter" w:hAnsi="Inter" w:cs="Inter"/>
          <w:b/>
          <w:i w:val="0"/>
          <w:color w:val="5B5F77"/>
          <w:sz w:val="21"/>
        </w:rPr>
        <w:t>El documento F no está sellado.</w:t>
      </w:r>
      <w:r>
        <w:rPr>
          <w:rFonts w:ascii="Inter" w:hAnsi="Inter" w:cs="Inter"/>
          <w:b w:val="0"/>
          <w:i w:val="0"/>
          <w:color w:val="5B5F77"/>
          <w:sz w:val="21"/>
        </w:rPr>
        <w:t xml:space="preserve"> Es un PDF nativo exportado de hoja de cálculo, sin sello ni firma. El certificado sellado (A) da las horas </w:t>
      </w:r>
      <w:r>
        <w:rPr>
          <w:rFonts w:ascii="Inter" w:hAnsi="Inter" w:cs="Inter"/>
          <w:b/>
          <w:i w:val="0"/>
          <w:color w:val="5B5F77"/>
          <w:sz w:val="21"/>
        </w:rPr>
        <w:t>semanales</w:t>
      </w:r>
      <w:r>
        <w:rPr>
          <w:rFonts w:ascii="Inter" w:hAnsi="Inter" w:cs="Inter"/>
          <w:b w:val="0"/>
          <w:i w:val="0"/>
          <w:color w:val="5B5F77"/>
          <w:sz w:val="21"/>
        </w:rPr>
        <w:t xml:space="preserve">; el total de 1.568 h solo aparece en F. Un revisor estricto puede aceptar el total como derivado del certificado —el cálculo cuadra— pero </w:t>
      </w:r>
      <w:r>
        <w:rPr>
          <w:rFonts w:ascii="Inter" w:hAnsi="Inter" w:cs="Inter"/>
          <w:b/>
          <w:i w:val="0"/>
          <w:color w:val="5B5F77"/>
          <w:sz w:val="21"/>
        </w:rPr>
        <w:t>lo limpio es pedir a la Unidad de Estudios Básicos que selle y firme también la hoja de detalle</w:t>
      </w:r>
      <w:r>
        <w:rPr>
          <w:rFonts w:ascii="Inter" w:hAnsi="Inter" w:cs="Inter"/>
          <w:b w:val="0"/>
          <w:i w:val="0"/>
          <w:color w:val="5B5F77"/>
          <w:sz w:val="21"/>
        </w:rPr>
        <w:t xml:space="preserve">. Es un trámite pequeño y cierra el asunto. 2. </w:t>
      </w:r>
      <w:r>
        <w:rPr>
          <w:rFonts w:ascii="Inter" w:hAnsi="Inter" w:cs="Inter"/>
          <w:b/>
          <w:i w:val="0"/>
          <w:color w:val="5B5F77"/>
          <w:sz w:val="21"/>
        </w:rPr>
        <w:t>La dedicación no coincide.</w:t>
      </w:r>
      <w:r>
        <w:rPr>
          <w:rFonts w:ascii="Inter" w:hAnsi="Inter" w:cs="Inter"/>
          <w:b w:val="0"/>
          <w:i w:val="0"/>
          <w:color w:val="5B5F77"/>
          <w:sz w:val="21"/>
        </w:rPr>
        <w:t xml:space="preserve"> El certificado A dice «contratada por honorarios profesionales» para todo el periodo; la hoja F muestra la progresión </w:t>
      </w:r>
      <w:r>
        <w:rPr>
          <w:rFonts w:ascii="Inter" w:hAnsi="Inter" w:cs="Inter"/>
          <w:b/>
          <w:i w:val="0"/>
          <w:color w:val="5B5F77"/>
          <w:sz w:val="21"/>
        </w:rPr>
        <w:t>Contratada → Pase a Código Cargo Tiempo Completo → Tiempo Completo</w:t>
      </w:r>
      <w:r>
        <w:rPr>
          <w:rFonts w:ascii="Inter" w:hAnsi="Inter" w:cs="Inter"/>
          <w:b w:val="0"/>
          <w:i w:val="0"/>
          <w:color w:val="5B5F77"/>
          <w:sz w:val="21"/>
        </w:rPr>
        <w:t xml:space="preserve">. La segunda versión es </w:t>
      </w:r>
      <w:r>
        <w:rPr>
          <w:rFonts w:ascii="Inter" w:hAnsi="Inter" w:cs="Inter"/>
          <w:b/>
          <w:i w:val="0"/>
          <w:color w:val="5B5F77"/>
          <w:sz w:val="21"/>
        </w:rPr>
        <w:t>más favorable</w:t>
      </w:r>
      <w:r>
        <w:rPr>
          <w:rFonts w:ascii="Inter" w:hAnsi="Inter" w:cs="Inter"/>
          <w:b w:val="0"/>
          <w:i w:val="0"/>
          <w:color w:val="5B5F77"/>
          <w:sz w:val="21"/>
        </w:rPr>
        <w:t xml:space="preserve"> —un cargo a tiempo completo pesa más que una contratación por honorarios— pero no puedes declarar lo que el documento sellado contradice. </w:t>
      </w:r>
      <w:r>
        <w:rPr>
          <w:rFonts w:ascii="Inter" w:hAnsi="Inter" w:cs="Inter"/>
          <w:b/>
          <w:i w:val="0"/>
          <w:color w:val="5B5F77"/>
          <w:sz w:val="21"/>
        </w:rPr>
        <w:t>Pide que la constancia recoja la progresión de dedicación</w:t>
      </w:r>
      <w:r>
        <w:rPr>
          <w:rFonts w:ascii="Inter" w:hAnsi="Inter" w:cs="Inter"/>
          <w:b w:val="0"/>
          <w:i w:val="0"/>
          <w:color w:val="5B5F77"/>
          <w:sz w:val="21"/>
        </w:rPr>
        <w:t xml:space="preserve">, que es lo que realmente ocurrió. Si no da tiempo a rehacer los documentos: declara </w:t>
      </w:r>
      <w:r>
        <w:rPr>
          <w:rFonts w:ascii="Inter" w:hAnsi="Inter" w:cs="Inter"/>
          <w:b/>
          <w:i w:val="0"/>
          <w:color w:val="5B5F77"/>
          <w:sz w:val="21"/>
        </w:rPr>
        <w:t>1.568 horas</w:t>
      </w:r>
      <w:r>
        <w:rPr>
          <w:rFonts w:ascii="Inter" w:hAnsi="Inter" w:cs="Inter"/>
          <w:b w:val="0"/>
          <w:i w:val="0"/>
          <w:color w:val="5B5F77"/>
          <w:sz w:val="21"/>
        </w:rPr>
        <w:t xml:space="preserve"> citando A y F conjuntamente, y describe la dedicación como </w:t>
      </w:r>
      <w:r>
        <w:rPr>
          <w:rFonts w:ascii="Inter" w:hAnsi="Inter" w:cs="Inter"/>
          <w:b/>
          <w:i w:val="0"/>
          <w:color w:val="5B5F77"/>
          <w:sz w:val="21"/>
        </w:rPr>
        <w:t>«contratada, con posterior pase a cargo a tiempo completo»</w:t>
      </w:r>
      <w:r>
        <w:rPr>
          <w:rFonts w:ascii="Inter" w:hAnsi="Inter" w:cs="Inter"/>
          <w:b w:val="0"/>
          <w:i w:val="0"/>
          <w:color w:val="5B5F77"/>
          <w:sz w:val="21"/>
        </w:rPr>
        <w:t>, que es lo que dice F sin contradecir a A.</w:t>
      </w:r>
    </w:p>
    <w:p>
      <w:pPr>
        <w:spacing w:before="240" w:after="120"/>
      </w:pPr>
      <w:r>
        <w:rPr>
          <w:rFonts w:ascii="Inter" w:hAnsi="Inter" w:cs="Inter"/>
          <w:b/>
          <w:i w:val="0"/>
          <w:color w:val="1C1E2E"/>
          <w:sz w:val="26"/>
        </w:rPr>
        <w:t>Lo que el desglose añade y no estabas usando</w:t>
      </w:r>
    </w:p>
    <w:p>
      <w:r>
        <w:rPr>
          <w:rFonts w:ascii="Inter" w:hAnsi="Inter" w:cs="Inter"/>
          <w:b w:val="0"/>
          <w:i w:val="0"/>
          <w:color w:val="1C1E2E"/>
          <w:sz w:val="22"/>
        </w:rPr>
        <w:t xml:space="preserve">La hoja F no solo confirma el total: </w:t>
      </w:r>
      <w:r>
        <w:rPr>
          <w:rFonts w:ascii="Inter" w:hAnsi="Inter" w:cs="Inter"/>
          <w:b/>
          <w:i w:val="0"/>
          <w:color w:val="1C1E2E"/>
          <w:sz w:val="22"/>
        </w:rPr>
        <w:t>dice qué enseñabas y a quién</w:t>
      </w:r>
      <w:r>
        <w:rPr>
          <w:rFonts w:ascii="Inter" w:hAnsi="Inter" w:cs="Inter"/>
          <w:b w:val="0"/>
          <w:i w:val="0"/>
          <w:color w:val="1C1E2E"/>
          <w:sz w:val="22"/>
        </w:rPr>
        <w:t>, y ahí hay un argumento que el expediente no estaba aprovechando.</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Departamento</w:t>
            </w:r>
          </w:p>
        </w:tc>
        <w:tc>
          <w:tcPr>
            <w:tcW w:type="dxa" w:w="3216"/>
            <w:shd w:val="clear" w:color="auto" w:fill="EEF2FD"/>
          </w:tcPr>
          <w:p>
            <w:pPr>
              <w:spacing w:after="40"/>
            </w:pPr>
            <w:r/>
            <w:r>
              <w:rPr>
                <w:rFonts w:ascii="Inter" w:hAnsi="Inter" w:cs="Inter"/>
                <w:b/>
                <w:i w:val="0"/>
                <w:color w:val="22307C"/>
                <w:sz w:val="19"/>
              </w:rPr>
              <w:t>Carreras servidas</w:t>
            </w:r>
          </w:p>
        </w:tc>
        <w:tc>
          <w:tcPr>
            <w:tcW w:type="dxa" w:w="3216"/>
            <w:shd w:val="clear" w:color="auto" w:fill="EEF2FD"/>
          </w:tcPr>
          <w:p>
            <w:pPr>
              <w:spacing w:after="40"/>
            </w:pPr>
            <w:r/>
            <w:r>
              <w:rPr>
                <w:rFonts w:ascii="Inter" w:hAnsi="Inter" w:cs="Inter"/>
                <w:b/>
                <w:i w:val="0"/>
                <w:color w:val="22307C"/>
                <w:sz w:val="19"/>
              </w:rPr>
              <w:t>Asignaturas</w:t>
            </w:r>
          </w:p>
        </w:tc>
      </w:tr>
      <w:tr>
        <w:tc>
          <w:tcPr>
            <w:tcW w:type="dxa" w:w="3216"/>
          </w:tcPr>
          <w:p>
            <w:pPr>
              <w:spacing w:after="40"/>
            </w:pPr>
            <w:r/>
            <w:r>
              <w:rPr>
                <w:rFonts w:ascii="Inter" w:hAnsi="Inter" w:cs="Inter"/>
                <w:b w:val="0"/>
                <w:i w:val="0"/>
                <w:color w:val="1C1E2E"/>
                <w:sz w:val="19"/>
              </w:rPr>
              <w:t>Socio-Humanidades</w:t>
            </w:r>
          </w:p>
        </w:tc>
        <w:tc>
          <w:tcPr>
            <w:tcW w:type="dxa" w:w="3216"/>
          </w:tcPr>
          <w:p>
            <w:pPr>
              <w:spacing w:after="40"/>
            </w:pPr>
            <w:r/>
            <w:r>
              <w:rPr>
                <w:rFonts w:ascii="Inter" w:hAnsi="Inter" w:cs="Inter"/>
                <w:b w:val="0"/>
                <w:i w:val="0"/>
                <w:color w:val="1C1E2E"/>
                <w:sz w:val="19"/>
              </w:rPr>
              <w:t>Turismo · Contaduría</w:t>
            </w:r>
          </w:p>
        </w:tc>
        <w:tc>
          <w:tcPr>
            <w:tcW w:type="dxa" w:w="3216"/>
          </w:tcPr>
          <w:p>
            <w:pPr>
              <w:spacing w:after="40"/>
            </w:pPr>
            <w:r/>
            <w:r>
              <w:rPr>
                <w:rFonts w:ascii="Inter" w:hAnsi="Inter" w:cs="Inter"/>
                <w:b w:val="0"/>
                <w:i w:val="0"/>
                <w:color w:val="1C1E2E"/>
                <w:sz w:val="19"/>
              </w:rPr>
              <w:t>Inglés Instrumental · Inglés II · Inglés I para Ciencias Administrativas</w:t>
            </w:r>
          </w:p>
        </w:tc>
      </w:tr>
      <w:tr>
        <w:tc>
          <w:tcPr>
            <w:tcW w:type="dxa" w:w="3216"/>
          </w:tcPr>
          <w:p>
            <w:pPr>
              <w:spacing w:after="40"/>
            </w:pPr>
            <w:r/>
            <w:r>
              <w:rPr>
                <w:rFonts w:ascii="Inter" w:hAnsi="Inter" w:cs="Inter"/>
                <w:b w:val="0"/>
                <w:i w:val="0"/>
                <w:color w:val="1C1E2E"/>
                <w:sz w:val="19"/>
              </w:rPr>
              <w:t>Hotelería y Turismo</w:t>
            </w:r>
          </w:p>
        </w:tc>
        <w:tc>
          <w:tcPr>
            <w:tcW w:type="dxa" w:w="3216"/>
          </w:tcPr>
          <w:p>
            <w:pPr>
              <w:spacing w:after="40"/>
            </w:pPr>
            <w:r/>
            <w:r>
              <w:rPr>
                <w:rFonts w:ascii="Inter" w:hAnsi="Inter" w:cs="Inter"/>
                <w:b w:val="0"/>
                <w:i w:val="0"/>
                <w:color w:val="1C1E2E"/>
                <w:sz w:val="19"/>
              </w:rPr>
              <w:t>Turismo · Servicios Turísticos</w:t>
            </w:r>
          </w:p>
        </w:tc>
        <w:tc>
          <w:tcPr>
            <w:tcW w:type="dxa" w:w="3216"/>
          </w:tcPr>
          <w:p>
            <w:pPr>
              <w:spacing w:after="40"/>
            </w:pPr>
            <w:r/>
            <w:r>
              <w:rPr>
                <w:rFonts w:ascii="Inter" w:hAnsi="Inter" w:cs="Inter"/>
                <w:b w:val="0"/>
                <w:i w:val="0"/>
                <w:color w:val="1C1E2E"/>
                <w:sz w:val="19"/>
              </w:rPr>
              <w:t>Inglés I · Inglés II</w:t>
            </w:r>
          </w:p>
        </w:tc>
      </w:tr>
      <w:tr>
        <w:tc>
          <w:tcPr>
            <w:tcW w:type="dxa" w:w="3216"/>
          </w:tcPr>
          <w:p>
            <w:pPr>
              <w:spacing w:after="40"/>
            </w:pPr>
            <w:r/>
            <w:r>
              <w:rPr>
                <w:rFonts w:ascii="Inter" w:hAnsi="Inter" w:cs="Inter"/>
                <w:b/>
                <w:i w:val="0"/>
                <w:color w:val="1C1E2E"/>
                <w:sz w:val="19"/>
              </w:rPr>
              <w:t>Ciencias Aplicadas al Mar</w:t>
            </w:r>
          </w:p>
        </w:tc>
        <w:tc>
          <w:tcPr>
            <w:tcW w:type="dxa" w:w="3216"/>
          </w:tcPr>
          <w:p>
            <w:pPr>
              <w:spacing w:after="40"/>
            </w:pPr>
            <w:r/>
            <w:r>
              <w:rPr>
                <w:rFonts w:ascii="Inter" w:hAnsi="Inter" w:cs="Inter"/>
                <w:b/>
                <w:i w:val="0"/>
                <w:color w:val="1C1E2E"/>
                <w:sz w:val="19"/>
              </w:rPr>
              <w:t>Biología Marina · Acuacultura</w:t>
            </w:r>
          </w:p>
        </w:tc>
        <w:tc>
          <w:tcPr>
            <w:tcW w:type="dxa" w:w="3216"/>
          </w:tcPr>
          <w:p>
            <w:pPr>
              <w:spacing w:after="40"/>
            </w:pPr>
            <w:r/>
            <w:r>
              <w:rPr>
                <w:rFonts w:ascii="Inter" w:hAnsi="Inter" w:cs="Inter"/>
                <w:b/>
                <w:i w:val="0"/>
                <w:color w:val="1C1E2E"/>
                <w:sz w:val="19"/>
              </w:rPr>
              <w:t>Inglés Técnico · Inglés Instrumental</w:t>
            </w:r>
          </w:p>
        </w:tc>
      </w:tr>
    </w:tbl>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La conexión que hay que poner por escrito.</w:t>
      </w:r>
      <w:r>
        <w:rPr>
          <w:rFonts w:ascii="Inter" w:hAnsi="Inter" w:cs="Inter"/>
          <w:b w:val="0"/>
          <w:i w:val="0"/>
          <w:color w:val="5B5F77"/>
          <w:sz w:val="21"/>
        </w:rPr>
        <w:t xml:space="preserve"> Enseñaste </w:t>
      </w:r>
      <w:r>
        <w:rPr>
          <w:rFonts w:ascii="Inter" w:hAnsi="Inter" w:cs="Inter"/>
          <w:b/>
          <w:i w:val="0"/>
          <w:color w:val="5B5F77"/>
          <w:sz w:val="21"/>
        </w:rPr>
        <w:t>Inglés Técnico e Inglés Instrumental a Biología Marina y Acuacultura</w:t>
      </w:r>
      <w:r>
        <w:rPr>
          <w:rFonts w:ascii="Inter" w:hAnsi="Inter" w:cs="Inter"/>
          <w:b w:val="0"/>
          <w:i w:val="0"/>
          <w:color w:val="5B5F77"/>
          <w:sz w:val="21"/>
        </w:rPr>
        <w:t xml:space="preserve"> — y el reconocimiento en agradecimientos que aportas es de un artículo de </w:t>
      </w:r>
      <w:r>
        <w:rPr>
          <w:rFonts w:ascii="Inter" w:hAnsi="Inter" w:cs="Inter"/>
          <w:b/>
          <w:i w:val="0"/>
          <w:color w:val="5B5F77"/>
          <w:sz w:val="21"/>
        </w:rPr>
        <w:t>biología marina</w:t>
      </w:r>
      <w:r>
        <w:rPr>
          <w:rFonts w:ascii="Inter" w:hAnsi="Inter" w:cs="Inter"/>
          <w:b w:val="0"/>
          <w:i w:val="0"/>
          <w:color w:val="5B5F77"/>
          <w:sz w:val="21"/>
        </w:rPr>
        <w:t xml:space="preserve"> publicado en </w:t>
      </w:r>
      <w:r>
        <w:rPr>
          <w:rFonts w:ascii="Inter" w:hAnsi="Inter" w:cs="Inter"/>
          <w:b w:val="0"/>
          <w:i/>
          <w:color w:val="5B5F77"/>
          <w:sz w:val="21"/>
        </w:rPr>
        <w:t>Estuarine, Coastal and Shelf Science</w:t>
      </w:r>
      <w:r>
        <w:rPr>
          <w:rFonts w:ascii="Inter" w:hAnsi="Inter" w:cs="Inter"/>
          <w:b w:val="0"/>
          <w:i w:val="0"/>
          <w:color w:val="5B5F77"/>
          <w:sz w:val="21"/>
        </w:rPr>
        <w:t xml:space="preserve"> (Elsevier). No son dos méritos separados: son </w:t>
      </w:r>
      <w:r>
        <w:rPr>
          <w:rFonts w:ascii="Inter" w:hAnsi="Inter" w:cs="Inter"/>
          <w:b/>
          <w:i w:val="0"/>
          <w:color w:val="5B5F77"/>
          <w:sz w:val="21"/>
        </w:rPr>
        <w:t>la misma especialización, enseñada y ejercida</w:t>
      </w:r>
      <w:r>
        <w:rPr>
          <w:rFonts w:ascii="Inter" w:hAnsi="Inter" w:cs="Inter"/>
          <w:b w:val="0"/>
          <w:i w:val="0"/>
          <w:color w:val="5B5F77"/>
          <w:sz w:val="21"/>
        </w:rPr>
        <w:t xml:space="preserve">. Inglés para las ciencias del mar, dictado en la universidad y practicado como redactora y revisora para publicación internacional. Eso convierte tu perfil de «profesora de inglés con experiencia en escritura científica» en algo mucho más preciso: </w:t>
      </w:r>
      <w:r>
        <w:rPr>
          <w:rFonts w:ascii="Inter" w:hAnsi="Inter" w:cs="Inter"/>
          <w:b/>
          <w:i w:val="0"/>
          <w:color w:val="5B5F77"/>
          <w:sz w:val="21"/>
        </w:rPr>
        <w:t>especialista en inglés para fines específicos en ciencias, con docencia universitaria y práctica editorial en el mismo dominio</w:t>
      </w:r>
      <w:r>
        <w:rPr>
          <w:rFonts w:ascii="Inter" w:hAnsi="Inter" w:cs="Inter"/>
          <w:b w:val="0"/>
          <w:i w:val="0"/>
          <w:color w:val="5B5F77"/>
          <w:sz w:val="21"/>
        </w:rPr>
        <w:t>. Para una tesis sobre escritura académica y evaluación de la competencia lingüística, es exactamente la credencial que se busca.</w:t>
      </w:r>
    </w:p>
    <w:p>
      <w:r>
        <w:rPr>
          <w:rFonts w:ascii="Inter" w:hAnsi="Inter" w:cs="Inter"/>
          <w:b w:val="0"/>
          <w:i w:val="0"/>
          <w:color w:val="1C1E2E"/>
          <w:sz w:val="22"/>
        </w:rPr>
        <w:t xml:space="preserve">También acredita </w:t>
      </w:r>
      <w:r>
        <w:rPr>
          <w:rFonts w:ascii="Inter" w:hAnsi="Inter" w:cs="Inter"/>
          <w:b/>
          <w:i w:val="0"/>
          <w:color w:val="1C1E2E"/>
          <w:sz w:val="22"/>
        </w:rPr>
        <w:t>docencia multidepartamental</w:t>
      </w:r>
      <w:r>
        <w:rPr>
          <w:rFonts w:ascii="Inter" w:hAnsi="Inter" w:cs="Inter"/>
          <w:b w:val="0"/>
          <w:i w:val="0"/>
          <w:color w:val="1C1E2E"/>
          <w:sz w:val="22"/>
        </w:rPr>
        <w:t xml:space="preserve"> —tres departamentos, cinco titulaciones, múltiples secciones por asignatura— con los jefes de departamento nombrados, lo que da trazabilidad para verificación.</w:t>
      </w:r>
    </w:p>
    <w:p>
      <w:pPr>
        <w:spacing w:before="320" w:after="120"/>
      </w:pPr>
      <w:r>
        <w:rPr>
          <w:rFonts w:ascii="Fraunces" w:hAnsi="Fraunces" w:cs="Fraunces"/>
          <w:b/>
          <w:i w:val="0"/>
          <w:color w:val="22307C"/>
          <w:sz w:val="32"/>
        </w:rPr>
        <w:t>6 · Cómo queda B.6 del baremo con esto</w:t>
      </w:r>
    </w:p>
    <w:p>
      <w:r>
        <w:rPr>
          <w:rFonts w:ascii="Inter" w:hAnsi="Inter" w:cs="Inter"/>
          <w:b w:val="0"/>
          <w:i w:val="0"/>
          <w:color w:val="1C1E2E"/>
          <w:sz w:val="22"/>
        </w:rPr>
        <w:t>El apartado se refuerza de forma sustancial, y por partida doble:</w:t>
      </w:r>
    </w:p>
    <w:p>
      <w:pPr>
        <w:pStyle w:val="ListBullet"/>
        <w:spacing w:after="60"/>
        <w:ind w:left="403"/>
      </w:pPr>
      <w:r>
        <w:rPr>
          <w:rFonts w:ascii="Inter" w:hAnsi="Inter" w:cs="Inter"/>
          <w:b/>
          <w:i w:val="0"/>
          <w:color w:val="1C1E2E"/>
          <w:sz w:val="22"/>
        </w:rPr>
        <w:t>Docencia universitaria acreditada</w:t>
      </w:r>
      <w:r>
        <w:rPr>
          <w:rFonts w:ascii="Inter" w:hAnsi="Inter" w:cs="Inter"/>
          <w:b w:val="0"/>
          <w:i w:val="0"/>
          <w:color w:val="1C1E2E"/>
          <w:sz w:val="22"/>
        </w:rPr>
        <w:t xml:space="preserve"> — </w:t>
      </w:r>
      <w:r>
        <w:rPr>
          <w:rFonts w:ascii="Inter" w:hAnsi="Inter" w:cs="Inter"/>
          <w:b/>
          <w:i w:val="0"/>
          <w:color w:val="1C1E2E"/>
          <w:sz w:val="22"/>
        </w:rPr>
        <w:t>1.568 horas</w:t>
      </w:r>
      <w:r>
        <w:rPr>
          <w:rFonts w:ascii="Inter" w:hAnsi="Inter" w:cs="Inter"/>
          <w:b w:val="0"/>
          <w:i w:val="0"/>
          <w:color w:val="1C1E2E"/>
          <w:sz w:val="22"/>
        </w:rPr>
        <w:t xml:space="preserve">, 8 semestres, cinco asignaturas de inglés, </w:t>
      </w:r>
      <w:r>
        <w:rPr>
          <w:rFonts w:ascii="Inter" w:hAnsi="Inter" w:cs="Inter"/>
          <w:b/>
          <w:i w:val="0"/>
          <w:color w:val="1C1E2E"/>
          <w:sz w:val="22"/>
        </w:rPr>
        <w:t>tres departamentos y cinco titulaciones</w:t>
      </w:r>
      <w:r>
        <w:rPr>
          <w:rFonts w:ascii="Inter" w:hAnsi="Inter" w:cs="Inter"/>
          <w:b w:val="0"/>
          <w:i w:val="0"/>
          <w:color w:val="1C1E2E"/>
          <w:sz w:val="22"/>
        </w:rPr>
        <w:t xml:space="preserve">, incluida la docencia de </w:t>
      </w:r>
      <w:r>
        <w:rPr>
          <w:rFonts w:ascii="Inter" w:hAnsi="Inter" w:cs="Inter"/>
          <w:b/>
          <w:i w:val="0"/>
          <w:color w:val="1C1E2E"/>
          <w:sz w:val="22"/>
        </w:rPr>
        <w:t>Inglés Técnico a Biología Marina y Acuacultura</w:t>
      </w:r>
      <w:r>
        <w:rPr>
          <w:rFonts w:ascii="Inter" w:hAnsi="Inter" w:cs="Inter"/>
          <w:b w:val="0"/>
          <w:i w:val="0"/>
          <w:color w:val="1C1E2E"/>
          <w:sz w:val="22"/>
        </w:rPr>
        <w:t xml:space="preserve">. Es </w:t>
      </w:r>
      <w:r>
        <w:rPr>
          <w:rFonts w:ascii="Inter" w:hAnsi="Inter" w:cs="Inter"/>
          <w:b/>
          <w:i w:val="0"/>
          <w:color w:val="1C1E2E"/>
          <w:sz w:val="22"/>
        </w:rPr>
        <w:t>docencia universitaria de inglés con fines específicos (ESP/EAP)</w:t>
      </w:r>
      <w:r>
        <w:rPr>
          <w:rFonts w:ascii="Inter" w:hAnsi="Inter" w:cs="Inter"/>
          <w:b w:val="0"/>
          <w:i w:val="0"/>
          <w:color w:val="1C1E2E"/>
          <w:sz w:val="22"/>
        </w:rPr>
        <w:t xml:space="preserve"> en ciencias, que es el terreno exacto de la tesis — y el mismo dominio en el que ejerció como redactora y revisora científica.</w:t>
      </w:r>
    </w:p>
    <w:p>
      <w:pPr>
        <w:pStyle w:val="ListBullet"/>
        <w:spacing w:after="60"/>
        <w:ind w:left="403"/>
      </w:pPr>
      <w:r>
        <w:rPr>
          <w:rFonts w:ascii="Inter" w:hAnsi="Inter" w:cs="Inter"/>
          <w:b/>
          <w:i w:val="0"/>
          <w:color w:val="1C1E2E"/>
          <w:sz w:val="22"/>
        </w:rPr>
        <w:t>Docencia de aula acreditada</w:t>
      </w:r>
      <w:r>
        <w:rPr>
          <w:rFonts w:ascii="Inter" w:hAnsi="Inter" w:cs="Inter"/>
          <w:b w:val="0"/>
          <w:i w:val="0"/>
          <w:color w:val="1C1E2E"/>
          <w:sz w:val="22"/>
        </w:rPr>
        <w:t xml:space="preserve"> — 12 años y 3 meses, 36 horas semanales de inglés, con constancia ministerial verificable en línea y respaldo del IVSS. Es el volumen que sostiene la afirmación de «más de 20 años».</w:t>
      </w:r>
    </w:p>
    <w:p>
      <w:r>
        <w:rPr>
          <w:rFonts w:ascii="Inter" w:hAnsi="Inter" w:cs="Inter"/>
          <w:b w:val="0"/>
          <w:i w:val="0"/>
          <w:color w:val="1C1E2E"/>
          <w:sz w:val="22"/>
        </w:rPr>
        <w:t xml:space="preserve">Sumado a la práctica profesional en diseño instruccional desde 2019, el apartado queda cubierto </w:t>
      </w:r>
      <w:r>
        <w:rPr>
          <w:rFonts w:ascii="Inter" w:hAnsi="Inter" w:cs="Inter"/>
          <w:b/>
          <w:i w:val="0"/>
          <w:color w:val="1C1E2E"/>
          <w:sz w:val="22"/>
        </w:rPr>
        <w:t>por tres vías independientes</w:t>
      </w:r>
      <w:r>
        <w:rPr>
          <w:rFonts w:ascii="Inter" w:hAnsi="Inter" w:cs="Inter"/>
          <w:b w:val="0"/>
          <w:i w:val="0"/>
          <w:color w:val="1C1E2E"/>
          <w:sz w:val="22"/>
        </w:rPr>
        <w:t>, cada una con documento oficial distinto.</w:t>
      </w:r>
    </w:p>
    <w:p>
      <w:pPr>
        <w:pBdr>
          <w:bottom w:val="single" w:sz="6" w:space="1" w:color="E6E8F2"/>
        </w:pBdr>
      </w:pPr>
    </w:p>
    <w:p>
      <w:pPr>
        <w:spacing w:before="320" w:after="120"/>
      </w:pPr>
      <w:r>
        <w:rPr>
          <w:rFonts w:ascii="Fraunces" w:hAnsi="Fraunces" w:cs="Fraunces"/>
          <w:b/>
          <w:i w:val="0"/>
          <w:color w:val="22307C"/>
          <w:sz w:val="32"/>
        </w:rPr>
        <w:t>7 · Lo que falta</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Origen de la cifra de 1.568 horas</w:t>
      </w:r>
      <w:r>
        <w:rPr>
          <w:rFonts w:ascii="Inter" w:hAnsi="Inter" w:cs="Inter"/>
          <w:b w:val="0"/>
          <w:i w:val="0"/>
          <w:color w:val="1C1E2E"/>
          <w:sz w:val="22"/>
        </w:rPr>
        <w:t xml:space="preserve"> — documentada y cuadrada con el certificado sellado (§5).</w:t>
      </w:r>
    </w:p>
    <w:p>
      <w:pPr>
        <w:pStyle w:val="ListBullet"/>
        <w:spacing w:after="60"/>
        <w:ind w:left="403"/>
      </w:pPr>
      <w:r>
        <w:rPr>
          <w:rFonts w:ascii="Inter" w:hAnsi="Inter" w:cs="Inter"/>
          <w:b w:val="0"/>
          <w:i w:val="0"/>
          <w:color w:val="1C1E2E"/>
          <w:sz w:val="22"/>
        </w:rPr>
        <w:t xml:space="preserve">☐ 🟠 </w:t>
      </w:r>
      <w:r>
        <w:rPr>
          <w:rFonts w:ascii="Inter" w:hAnsi="Inter" w:cs="Inter"/>
          <w:b/>
          <w:i w:val="0"/>
          <w:color w:val="1C1E2E"/>
          <w:sz w:val="22"/>
        </w:rPr>
        <w:t>Pedir a la Unidad de Estudios Básicos que selle y firme la hoja de carga docente</w:t>
      </w:r>
      <w:r>
        <w:rPr>
          <w:rFonts w:ascii="Inter" w:hAnsi="Inter" w:cs="Inter"/>
          <w:b w:val="0"/>
          <w:i w:val="0"/>
          <w:color w:val="1C1E2E"/>
          <w:sz w:val="22"/>
        </w:rPr>
        <w:t xml:space="preserve"> (documento F) y que la constancia recoja la </w:t>
      </w:r>
      <w:r>
        <w:rPr>
          <w:rFonts w:ascii="Inter" w:hAnsi="Inter" w:cs="Inter"/>
          <w:b/>
          <w:i w:val="0"/>
          <w:color w:val="1C1E2E"/>
          <w:sz w:val="22"/>
        </w:rPr>
        <w:t>progresión de dedicación</w:t>
      </w:r>
      <w:r>
        <w:rPr>
          <w:rFonts w:ascii="Inter" w:hAnsi="Inter" w:cs="Inter"/>
          <w:b w:val="0"/>
          <w:i w:val="0"/>
          <w:color w:val="1C1E2E"/>
          <w:sz w:val="22"/>
        </w:rPr>
        <w:t xml:space="preserve"> hasta Tiempo Completo (§5).</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¿Hubo docencia en la UDO fuera de 2007–2010?</w:t>
      </w:r>
      <w:r>
        <w:rPr>
          <w:rFonts w:ascii="Inter" w:hAnsi="Inter" w:cs="Inter"/>
          <w:b w:val="0"/>
          <w:i w:val="0"/>
          <w:color w:val="1C1E2E"/>
          <w:sz w:val="22"/>
        </w:rPr>
        <w:t xml:space="preserve"> La hoja F titula el periodo como «2007 al 2011», mientras que la constancia sellada llega hasta II-2010. Aclarar si hubo semestres en 2011 y, si los hubo, si son certificables. Si la hubo, aunque no pueda certificarse, conviene mencionarla en la nota explicativa como periodo no certificable, sin cuantificarla.</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Fecha del pase a Tiempo Completo</w:t>
      </w:r>
      <w:r>
        <w:rPr>
          <w:rFonts w:ascii="Inter" w:hAnsi="Inter" w:cs="Inter"/>
          <w:b w:val="0"/>
          <w:i w:val="0"/>
          <w:color w:val="1C1E2E"/>
          <w:sz w:val="22"/>
        </w:rPr>
        <w:t xml:space="preserve"> — la hoja F muestra la progresión pero no la fecha; si hay resolución o acta, adjuntarla: eleva el mérito de contratación a cargo.</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Traducción jurada</w:t>
      </w:r>
      <w:r>
        <w:rPr>
          <w:rFonts w:ascii="Inter" w:hAnsi="Inter" w:cs="Inter"/>
          <w:b w:val="0"/>
          <w:i w:val="0"/>
          <w:color w:val="1C1E2E"/>
          <w:sz w:val="22"/>
        </w:rPr>
        <w:t xml:space="preserve"> de los cinco documentos, si la convocatoria la exige para documentación extranjera.</w:t>
      </w:r>
    </w:p>
    <w:p>
      <w:pPr>
        <w:pStyle w:val="ListBullet"/>
        <w:spacing w:after="60"/>
        <w:ind w:left="403"/>
      </w:pPr>
      <w:r>
        <w:rPr>
          <w:rFonts w:ascii="Inter" w:hAnsi="Inter" w:cs="Inter"/>
          <w:b w:val="0"/>
          <w:i w:val="0"/>
          <w:color w:val="1C1E2E"/>
          <w:sz w:val="22"/>
        </w:rPr>
        <w:t xml:space="preserve">☐ Comprobar si el </w:t>
      </w:r>
      <w:r>
        <w:rPr>
          <w:rFonts w:ascii="Inter" w:hAnsi="Inter" w:cs="Inter"/>
          <w:b/>
          <w:i w:val="0"/>
          <w:color w:val="1C1E2E"/>
          <w:sz w:val="22"/>
        </w:rPr>
        <w:t>código de verificación</w:t>
      </w:r>
      <w:r>
        <w:rPr>
          <w:rFonts w:ascii="Inter" w:hAnsi="Inter" w:cs="Inter"/>
          <w:b w:val="0"/>
          <w:i w:val="0"/>
          <w:color w:val="1C1E2E"/>
          <w:sz w:val="22"/>
        </w:rPr>
        <w:t xml:space="preserve"> de la constancia ministerial sigue activo en el portal; si no, la constancia vale igual, pero conviene saberlo antes de que lo compruebe la comisión.</w:t>
      </w:r>
    </w:p>
    <w:p>
      <w:pPr>
        <w:pBdr>
          <w:bottom w:val="single" w:sz="6" w:space="1" w:color="E6E8F2"/>
        </w:pBdr>
      </w:pPr>
    </w:p>
    <w:p>
      <w:r>
        <w:rPr>
          <w:rFonts w:ascii="Inter" w:hAnsi="Inter" w:cs="Inter"/>
          <w:b w:val="0"/>
          <w:i/>
          <w:color w:val="1C1E2E"/>
          <w:sz w:val="22"/>
        </w:rPr>
        <w:t>© 2026 Ana Zoraimy Eslava Graterol. Dossier elaborado con asistencia de IA bajo supervisión y verificación humanas, a partir de documentación oficial aportada por la autora.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Inter" w:hAnsi="Inter"/>
      <w:color w:val="1C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