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42"/>
        </w:rPr>
        <w:t>Experiencia académica universitaria: docencia e investigación</w:t>
      </w:r>
    </w:p>
    <w:p>
      <w:r>
        <w:rPr>
          <w:rFonts w:ascii="Inter" w:hAnsi="Inter" w:cs="Inter"/>
          <w:b/>
          <w:i w:val="0"/>
          <w:color w:val="1C1E2E"/>
          <w:sz w:val="22"/>
        </w:rPr>
        <w:t>Ana Zoraimy Eslava Graterol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ORCID 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Para qué sirve este documento.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Hasta ahora la docencia y la investigación aparecían en bloques separados —y repetidos— en el CV por baremo, el CV académico y el §3.3 del plan. Esto los unifica en </w:t>
      </w:r>
      <w:r>
        <w:rPr>
          <w:rFonts w:ascii="Inter" w:hAnsi="Inter" w:cs="Inter"/>
          <w:b/>
          <w:i w:val="0"/>
          <w:color w:val="5B5F77"/>
          <w:sz w:val="21"/>
        </w:rPr>
        <w:t>una sola fuente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: cada periodo se presenta con lo que enseñaste </w:t>
      </w:r>
      <w:r>
        <w:rPr>
          <w:rFonts w:ascii="Inter" w:hAnsi="Inter" w:cs="Inter"/>
          <w:b/>
          <w:i w:val="0"/>
          <w:color w:val="5B5F77"/>
          <w:sz w:val="21"/>
        </w:rPr>
        <w:t>y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lo que investigaste, porque para una comisión de doctorado son la misma trayectoria. De aquí salen las tres versiones que necesitas (§5).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1 · Resumen en cifras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Indicador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Valor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Fuente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Docencia universitaria acreditada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1.568 horas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en 8 semestres (I-2007 a II-2010)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Constancia de Carga Académica + hoja de carga docente, UDO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[DOC-16]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Departamentos y titulaciones servidas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3 departamentos · 5 titulaciones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incluida Biología Marina y Acuacultura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UDO, Núcleo Nueva Esparta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Docencia de aula en educación media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12 años y 3 meses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(oct. 2006 – ene. 2019), 36 h semanales de Inglés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Ministerio de Educación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[DOC-16b]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· IVSS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Años de docencia de lenguas a adultos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20+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(2004–actualidad)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Trayectoria continuada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Instituciones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4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ULA (formación y práctica docente), UDO (docencia universitaria), Ministerio de Educación (docencia media), UPV (investigación)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Práctica profesional en el ámbito de la tesis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6+ años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(2019–actualidad) — diseño instruccional y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language learning experience design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§2.4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Organizaciones y clientes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[pendiente de completar — §2.4]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Publicación arbitrada e indexada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Kaleidoscopio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2(3), 51–56 (2005), CLASE–UNAM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[DOC-19]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Ponencia arbitrada en congreso internacional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II CIES, Cumaná, 2008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[DOC-24]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Reconocimiento en agradecimientos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Elsevier, 2019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[DOC-14]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Estudios de corpus dirigidos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1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— TFM, 180 resúmenes, 6 disciplinas (UPV, 2026)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—</w:t>
            </w:r>
          </w:p>
        </w:tc>
      </w:tr>
    </w:tbl>
    <w:p/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2 · Trayectoria por periodos — docencia e investigación juntas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2.1 · Universidad de Los Andes (ULA), Núcleo Táchira · 1999 – 2004</w:t>
      </w:r>
    </w:p>
    <w:p>
      <w:r>
        <w:rPr>
          <w:rFonts w:ascii="Inter" w:hAnsi="Inter" w:cs="Inter"/>
          <w:b/>
          <w:i w:val="0"/>
          <w:color w:val="1C1E2E"/>
          <w:sz w:val="22"/>
        </w:rPr>
        <w:t>Formación e iniciación docente e investigadora</w:t>
      </w:r>
    </w:p>
    <w:p>
      <w:r>
        <w:rPr>
          <w:rFonts w:ascii="Inter" w:hAnsi="Inter" w:cs="Inter"/>
          <w:b/>
          <w:i w:val="0"/>
          <w:color w:val="1C1E2E"/>
          <w:sz w:val="22"/>
        </w:rPr>
        <w:t>Docencia.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Cuatro </w:t>
      </w:r>
      <w:r>
        <w:rPr>
          <w:rFonts w:ascii="Inter" w:hAnsi="Inter" w:cs="Inter"/>
          <w:b/>
          <w:i w:val="0"/>
          <w:color w:val="1C1E2E"/>
          <w:sz w:val="22"/>
        </w:rPr>
        <w:t>Prácticas Profesionales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supervisadas (I–IV, cursos 2000 a 2003), que constituyen la formación práctica docente reglada de la titulación, todas superadas con calificaciones entre 18 y 20 sobre 20.</w:t>
      </w:r>
    </w:p>
    <w:p>
      <w:r>
        <w:rPr>
          <w:rFonts w:ascii="Inter" w:hAnsi="Inter" w:cs="Inter"/>
          <w:b/>
          <w:i w:val="0"/>
          <w:color w:val="1C1E2E"/>
          <w:sz w:val="22"/>
        </w:rPr>
        <w:t>Investigación.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/>
          <w:i w:val="0"/>
          <w:color w:val="1C1E2E"/>
          <w:sz w:val="22"/>
        </w:rPr>
        <w:t>Trabajo Especial de Grado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sobre el perfil del egresado de Educación mención Inglés, contrastado con la reforma curricular de la carrera: análisis descriptivo-interpretativo con análisis documental de programas, entrevistas a especialistas y encuestas al alumnado. Calificado </w:t>
      </w:r>
      <w:r>
        <w:rPr>
          <w:rFonts w:ascii="Inter" w:hAnsi="Inter" w:cs="Inter"/>
          <w:b/>
          <w:i w:val="0"/>
          <w:color w:val="1C1E2E"/>
          <w:sz w:val="22"/>
        </w:rPr>
        <w:t>20/20, Sobresaliente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</w:t>
      </w:r>
      <w:r>
        <w:rPr>
          <w:rFonts w:ascii="Inter" w:hAnsi="Inter" w:cs="Inter"/>
          <w:b/>
          <w:i w:val="0"/>
          <w:color w:val="1C1E2E"/>
          <w:sz w:val="22"/>
        </w:rPr>
        <w:t>Diploma de Honor del Rector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(15 nov. 2004).</w:t>
      </w:r>
    </w:p>
    <w:p>
      <w:r>
        <w:rPr>
          <w:rFonts w:ascii="Inter" w:hAnsi="Inter" w:cs="Inter"/>
          <w:b/>
          <w:i w:val="0"/>
          <w:color w:val="1C1E2E"/>
          <w:sz w:val="22"/>
        </w:rPr>
        <w:t>Formación metodológica del periodo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acreditada en el expediente: </w:t>
      </w:r>
      <w:r>
        <w:rPr>
          <w:rFonts w:ascii="Inter" w:hAnsi="Inter" w:cs="Inter"/>
          <w:b w:val="0"/>
          <w:i/>
          <w:color w:val="1C1E2E"/>
          <w:sz w:val="22"/>
        </w:rPr>
        <w:t>Diseño de Investigación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(19/20), </w:t>
      </w:r>
      <w:r>
        <w:rPr>
          <w:rFonts w:ascii="Inter" w:hAnsi="Inter" w:cs="Inter"/>
          <w:b w:val="0"/>
          <w:i/>
          <w:color w:val="1C1E2E"/>
          <w:sz w:val="22"/>
        </w:rPr>
        <w:t>Estadística Aplicada a la Investigación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(16/20), </w:t>
      </w:r>
      <w:r>
        <w:rPr>
          <w:rFonts w:ascii="Inter" w:hAnsi="Inter" w:cs="Inter"/>
          <w:b w:val="0"/>
          <w:i/>
          <w:color w:val="1C1E2E"/>
          <w:sz w:val="22"/>
        </w:rPr>
        <w:t>Investigación Cualitativa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(20/20), </w:t>
      </w:r>
      <w:r>
        <w:rPr>
          <w:rFonts w:ascii="Inter" w:hAnsi="Inter" w:cs="Inter"/>
          <w:b w:val="0"/>
          <w:i/>
          <w:color w:val="1C1E2E"/>
          <w:sz w:val="22"/>
        </w:rPr>
        <w:t>Información y Divulgación de la Investigación Socioeducativa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(20/20) y </w:t>
      </w:r>
      <w:r>
        <w:rPr>
          <w:rFonts w:ascii="Inter" w:hAnsi="Inter" w:cs="Inter"/>
          <w:b w:val="0"/>
          <w:i/>
          <w:color w:val="1C1E2E"/>
          <w:sz w:val="22"/>
        </w:rPr>
        <w:t>Desarrollo Curricular e Innovaciones Educativas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(20/20).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Por qué incluir esto.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No es relleno: acredita </w:t>
      </w:r>
      <w:r>
        <w:rPr>
          <w:rFonts w:ascii="Inter" w:hAnsi="Inter" w:cs="Inter"/>
          <w:b/>
          <w:i w:val="0"/>
          <w:color w:val="5B5F77"/>
          <w:sz w:val="21"/>
        </w:rPr>
        <w:t>formación metodológica reglada en investigación educativa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—diseño, estadística, cualitativa y difusión— que sostiene la metodología mixta del plan doctoral. Una comisión que dude de tu base metodológica encuentra aquí la respuesta.</w:t>
      </w:r>
    </w:p>
    <w:p>
      <w:pPr>
        <w:pBdr>
          <w:bottom w:val="single" w:sz="6" w:space="1" w:color="E6E8F2"/>
        </w:pBdr>
      </w:pP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2.2 · Universidad de Oriente (UDO), Núcleo Nueva Esparta · 2007 – 2010</w:t>
      </w:r>
    </w:p>
    <w:p>
      <w:r>
        <w:rPr>
          <w:rFonts w:ascii="Inter" w:hAnsi="Inter" w:cs="Inter"/>
          <w:b/>
          <w:i w:val="0"/>
          <w:color w:val="1C1E2E"/>
          <w:sz w:val="22"/>
        </w:rPr>
        <w:t>Docencia universitaria de inglés para fines específicos — 1.568 horas</w:t>
      </w:r>
    </w:p>
    <w:p>
      <w:r>
        <w:rPr>
          <w:rFonts w:ascii="Inter" w:hAnsi="Inter" w:cs="Inter"/>
          <w:b/>
          <w:i w:val="0"/>
          <w:color w:val="1C1E2E"/>
          <w:sz w:val="22"/>
        </w:rPr>
        <w:t>Cargo.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Profesora </w:t>
      </w:r>
      <w:r>
        <w:rPr>
          <w:rFonts w:ascii="Inter" w:hAnsi="Inter" w:cs="Inter"/>
          <w:b/>
          <w:i w:val="0"/>
          <w:color w:val="1C1E2E"/>
          <w:sz w:val="22"/>
        </w:rPr>
        <w:t>contratada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posterior </w:t>
      </w:r>
      <w:r>
        <w:rPr>
          <w:rFonts w:ascii="Inter" w:hAnsi="Inter" w:cs="Inter"/>
          <w:b/>
          <w:i w:val="0"/>
          <w:color w:val="1C1E2E"/>
          <w:sz w:val="22"/>
        </w:rPr>
        <w:t>pase a código de cargo a Tiempo Completo</w:t>
      </w:r>
      <w:r>
        <w:rPr>
          <w:rFonts w:ascii="Inter" w:hAnsi="Inter" w:cs="Inter"/>
          <w:b w:val="0"/>
          <w:i w:val="0"/>
          <w:color w:val="1C1E2E"/>
          <w:sz w:val="22"/>
        </w:rPr>
        <w:t>, en la Unidad de Estudios Básicos.</w:t>
      </w:r>
    </w:p>
    <w:p>
      <w:r>
        <w:rPr>
          <w:rFonts w:ascii="Inter" w:hAnsi="Inter" w:cs="Inter"/>
          <w:b/>
          <w:i w:val="0"/>
          <w:color w:val="1C1E2E"/>
          <w:sz w:val="22"/>
        </w:rPr>
        <w:t>Volumen certificado: 1.568 horas docentes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</w:t>
      </w:r>
      <w:r>
        <w:rPr>
          <w:rFonts w:ascii="Inter" w:hAnsi="Inter" w:cs="Inter"/>
          <w:b/>
          <w:i w:val="0"/>
          <w:color w:val="1C1E2E"/>
          <w:sz w:val="22"/>
        </w:rPr>
        <w:t>8 semestres consecutivos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(I-2007 a II-2010): siete semestres de 192 h y uno de 224 h, equivalentes a 12–14 horas semanales.</w:t>
      </w:r>
    </w:p>
    <w:p>
      <w:r>
        <w:rPr>
          <w:rFonts w:ascii="Inter" w:hAnsi="Inter" w:cs="Inter"/>
          <w:b/>
          <w:i w:val="0"/>
          <w:color w:val="1C1E2E"/>
          <w:sz w:val="22"/>
        </w:rPr>
        <w:t>Alcance — tres departamentos, cinco titulaciones: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Departamento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Titulaciones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Asignaturas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Socio-Humanidades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Turismo · Contaduría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Inglés Instrumental · Inglés II · Inglés I para Ciencias Administrativas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Hotelería y Turismo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Turismo · Servicios Turísticos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Inglés I · Inglés II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Ciencias Aplicadas al Mar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Biología Marina · Acuacultura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Inglés Técnico · Inglés Instrumental</w:t>
            </w:r>
          </w:p>
        </w:tc>
      </w:tr>
    </w:tbl>
    <w:p/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⭐ </w:t>
      </w:r>
      <w:r>
        <w:rPr>
          <w:rFonts w:ascii="Inter" w:hAnsi="Inter" w:cs="Inter"/>
          <w:b/>
          <w:i w:val="0"/>
          <w:color w:val="5B5F77"/>
          <w:sz w:val="21"/>
        </w:rPr>
        <w:t>La especialización que esto acredita.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Enseñó </w:t>
      </w:r>
      <w:r>
        <w:rPr>
          <w:rFonts w:ascii="Inter" w:hAnsi="Inter" w:cs="Inter"/>
          <w:b/>
          <w:i w:val="0"/>
          <w:color w:val="5B5F77"/>
          <w:sz w:val="21"/>
        </w:rPr>
        <w:t>Inglés Técnico e Inglés Instrumental a Biología Marina y Acuacultura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, y en el mismo periodo redactaba y revisaba artículos científicos en inglés de </w:t>
      </w:r>
      <w:r>
        <w:rPr>
          <w:rFonts w:ascii="Inter" w:hAnsi="Inter" w:cs="Inter"/>
          <w:b/>
          <w:i w:val="0"/>
          <w:color w:val="5B5F77"/>
          <w:sz w:val="21"/>
        </w:rPr>
        <w:t>biología marina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para publicación internacional — trabajo reconocido en los agradecimientos de Sotelo-Casas et al. (2019), </w:t>
      </w:r>
      <w:r>
        <w:rPr>
          <w:rFonts w:ascii="Inter" w:hAnsi="Inter" w:cs="Inter"/>
          <w:b w:val="0"/>
          <w:i/>
          <w:color w:val="5B5F77"/>
          <w:sz w:val="21"/>
        </w:rPr>
        <w:t>Estuarine, Coastal and Shelf Science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(Elsevier), p. 8, como A. Z. Eslava de Morales. </w:t>
      </w:r>
      <w:r>
        <w:rPr>
          <w:rFonts w:ascii="Inter" w:hAnsi="Inter" w:cs="Inter"/>
          <w:b/>
          <w:i w:val="0"/>
          <w:color w:val="5B5F77"/>
          <w:sz w:val="21"/>
        </w:rPr>
        <w:t>[DOC-14]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No son dos méritos separados: son </w:t>
      </w:r>
      <w:r>
        <w:rPr>
          <w:rFonts w:ascii="Inter" w:hAnsi="Inter" w:cs="Inter"/>
          <w:b/>
          <w:i w:val="0"/>
          <w:color w:val="5B5F77"/>
          <w:sz w:val="21"/>
        </w:rPr>
        <w:t>inglés para las ciencias, enseñado en la universidad y ejercido para publicación</w:t>
      </w:r>
      <w:r>
        <w:rPr>
          <w:rFonts w:ascii="Inter" w:hAnsi="Inter" w:cs="Inter"/>
          <w:b w:val="0"/>
          <w:i w:val="0"/>
          <w:color w:val="5B5F77"/>
          <w:sz w:val="21"/>
        </w:rPr>
        <w:t>. Para una tesis sobre escritura académica y evaluación de la competencia lingüística, es la credencial más pertinente del expediente.</w:t>
      </w:r>
    </w:p>
    <w:p>
      <w:r>
        <w:rPr>
          <w:rFonts w:ascii="Inter" w:hAnsi="Inter" w:cs="Inter"/>
          <w:b/>
          <w:i w:val="0"/>
          <w:color w:val="1C1E2E"/>
          <w:sz w:val="22"/>
        </w:rPr>
        <w:t>Difusión.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Ponencia </w:t>
      </w:r>
      <w:r>
        <w:rPr>
          <w:rFonts w:ascii="Inter" w:hAnsi="Inter" w:cs="Inter"/>
          <w:b/>
          <w:i w:val="0"/>
          <w:color w:val="1C1E2E"/>
          <w:sz w:val="22"/>
        </w:rPr>
        <w:t>aceptada por arbitraje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presentada, con afiliación a la UDO Núcleo Nueva Esparta, en el </w:t>
      </w:r>
      <w:r>
        <w:rPr>
          <w:rFonts w:ascii="Inter" w:hAnsi="Inter" w:cs="Inter"/>
          <w:b/>
          <w:i w:val="0"/>
          <w:color w:val="1C1E2E"/>
          <w:sz w:val="22"/>
        </w:rPr>
        <w:t>II Congreso Internacional de Educación Superior — «Tendencias y Perspectivas de la Educación Superior en América Latina»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(Asociación de Educadores de Latinoamérica y del Caribe · Universidad de Oriente), Cumaná, 31 jul. – 2 ago. 2008 (ref. CIES/P 048). </w:t>
      </w:r>
      <w:r>
        <w:rPr>
          <w:rFonts w:ascii="Inter" w:hAnsi="Inter" w:cs="Inter"/>
          <w:b/>
          <w:i w:val="0"/>
          <w:color w:val="1C1E2E"/>
          <w:sz w:val="22"/>
        </w:rPr>
        <w:t>[DOC-24]</w:t>
      </w:r>
    </w:p>
    <w:p>
      <w:r>
        <w:rPr>
          <w:rFonts w:ascii="Inter" w:hAnsi="Inter" w:cs="Inter"/>
          <w:b/>
          <w:i w:val="0"/>
          <w:color w:val="1C1E2E"/>
          <w:sz w:val="22"/>
        </w:rPr>
        <w:t>Publicación arbitrada e indexada del periodo previo: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Eslava Graterol, A. Z. (2005). Estudio sobre el perfil del alumno en Educación Mención Inglés de la ULA-Táchira. </w:t>
      </w:r>
      <w:r>
        <w:rPr>
          <w:rFonts w:ascii="Inter" w:hAnsi="Inter" w:cs="Inter"/>
          <w:b w:val="0"/>
          <w:i/>
          <w:color w:val="5B5F77"/>
          <w:sz w:val="21"/>
        </w:rPr>
        <w:t>Kaleidoscopio, 2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(3), 51–56. Universidad Nacional Experimental de Guayana. ISSN 1690-6054. Indexada en </w:t>
      </w:r>
      <w:r>
        <w:rPr>
          <w:rFonts w:ascii="Inter" w:hAnsi="Inter" w:cs="Inter"/>
          <w:b/>
          <w:i w:val="0"/>
          <w:color w:val="5B5F77"/>
          <w:sz w:val="21"/>
        </w:rPr>
        <w:t>CLASE (UNAM)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.  ·  </w:t>
      </w:r>
      <w:r>
        <w:rPr>
          <w:rFonts w:ascii="Inter" w:hAnsi="Inter" w:cs="Inter"/>
          <w:b/>
          <w:i w:val="0"/>
          <w:color w:val="5B5F77"/>
          <w:sz w:val="21"/>
        </w:rPr>
        <w:t>[DOC-19]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</w:t>
      </w:r>
      <w:r>
        <w:rPr>
          <w:rFonts w:ascii="Inter" w:hAnsi="Inter" w:cs="Inter"/>
          <w:b w:val="0"/>
          <w:i/>
          <w:color w:val="5B5F77"/>
          <w:sz w:val="21"/>
        </w:rPr>
        <w:t>La revista dejó de publicarse en 2015; el registro indexado en CLASE es la evidencia permanente del arbitraje y la publicación.</w:t>
      </w:r>
    </w:p>
    <w:p>
      <w:pPr>
        <w:pBdr>
          <w:bottom w:val="single" w:sz="6" w:space="1" w:color="E6E8F2"/>
        </w:pBdr>
      </w:pP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2.2b · Ministerio del Poder Popular para la Educación · octubre 2006 – enero 2019</w:t>
      </w:r>
    </w:p>
    <w:p>
      <w:r>
        <w:rPr>
          <w:rFonts w:ascii="Inter" w:hAnsi="Inter" w:cs="Inter"/>
          <w:b/>
          <w:i w:val="0"/>
          <w:color w:val="1C1E2E"/>
          <w:sz w:val="22"/>
        </w:rPr>
        <w:t>Docencia de inglés en educación media — 12 años y 3 meses</w:t>
      </w:r>
    </w:p>
    <w:p>
      <w:r>
        <w:rPr>
          <w:rFonts w:ascii="Inter" w:hAnsi="Inter" w:cs="Inter"/>
          <w:b/>
          <w:i w:val="0"/>
          <w:color w:val="1C1E2E"/>
          <w:sz w:val="22"/>
        </w:rPr>
        <w:t>Docente III de Aula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código de cargo </w:t>
      </w:r>
      <w:r>
        <w:rPr>
          <w:rFonts w:ascii="Inter" w:hAnsi="Inter" w:cs="Inter"/>
          <w:b/>
          <w:i w:val="0"/>
          <w:color w:val="1C1E2E"/>
          <w:sz w:val="22"/>
        </w:rPr>
        <w:t>1133DH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en la </w:t>
      </w:r>
      <w:r>
        <w:rPr>
          <w:rFonts w:ascii="Inter" w:hAnsi="Inter" w:cs="Inter"/>
          <w:b/>
          <w:i w:val="0"/>
          <w:color w:val="1C1E2E"/>
          <w:sz w:val="22"/>
        </w:rPr>
        <w:t>L.N. Santa Rosalía de Palermo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(antes E.B. Antonio Díaz), Zona Educativa del Estado Nueva Esparta. </w:t>
      </w:r>
      <w:r>
        <w:rPr>
          <w:rFonts w:ascii="Inter" w:hAnsi="Inter" w:cs="Inter"/>
          <w:b/>
          <w:i w:val="0"/>
          <w:color w:val="1C1E2E"/>
          <w:sz w:val="22"/>
        </w:rPr>
        <w:t>36 horas semanales de Inglés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desde el nombramiento.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Dato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Valor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Documento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Fecha de ingreso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01/10/2006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Constancia provisional de la Zona Educativa (06/10/2006) y constancia de trabajo del Ministerio (05/03/2018)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Fecha de egreso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01/01/2019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Cuenta Individual del IVSS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Continuidad cotizada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52–53 semanas cada año, de 2011 a 2018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Cuenta Individual del IVSS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Verificación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Constancia ministerial con </w:t>
            </w:r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código de verificación en línea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Portal de autogestión del Ministerio</w:t>
            </w:r>
          </w:p>
        </w:tc>
      </w:tr>
    </w:tbl>
    <w:p/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Por qué conviene declararlo aparte y no fundirlo con la UDO.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Son dos relaciones laborales distintas, simultáneas entre 2007 y 2010, con empleador, nivel educativo y régimen diferentes. Fundirlas confunde y expone a que un revisor detecte la inconsistencia. Separadas, </w:t>
      </w:r>
      <w:r>
        <w:rPr>
          <w:rFonts w:ascii="Inter" w:hAnsi="Inter" w:cs="Inter"/>
          <w:b/>
          <w:i w:val="0"/>
          <w:color w:val="5B5F77"/>
          <w:sz w:val="21"/>
        </w:rPr>
        <w:t>suman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: docencia universitaria certificada por horas, y docencia de aula certificada por años y verificable ante el Estado. Es también la parte del expediente </w:t>
      </w:r>
      <w:r>
        <w:rPr>
          <w:rFonts w:ascii="Inter" w:hAnsi="Inter" w:cs="Inter"/>
          <w:b/>
          <w:i w:val="0"/>
          <w:color w:val="5B5F77"/>
          <w:sz w:val="21"/>
        </w:rPr>
        <w:t>inmune a la pérdida de archivos de la UDO</w:t>
      </w:r>
      <w:r>
        <w:rPr>
          <w:rFonts w:ascii="Inter" w:hAnsi="Inter" w:cs="Inter"/>
          <w:b w:val="0"/>
          <w:i w:val="0"/>
          <w:color w:val="5B5F77"/>
          <w:sz w:val="21"/>
        </w:rPr>
        <w:t>: la cuenta individual del IVSS la emite la seguridad social, no el empleador.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 xml:space="preserve">2.3 · Instituto Cervantes · desde </w:t>
      </w:r>
      <w:r>
        <w:rPr>
          <w:rFonts w:ascii="Inter" w:hAnsi="Inter" w:cs="Inter"/>
          <w:b/>
          <w:i w:val="0"/>
          <w:color w:val="1C1E2E"/>
          <w:sz w:val="26"/>
        </w:rPr>
        <w:t>[año a confirmar]</w:t>
      </w:r>
    </w:p>
    <w:p>
      <w:r>
        <w:rPr>
          <w:rFonts w:ascii="Inter" w:hAnsi="Inter" w:cs="Inter"/>
          <w:b/>
          <w:i w:val="0"/>
          <w:color w:val="1C1E2E"/>
          <w:sz w:val="22"/>
        </w:rPr>
        <w:t>Tutoría en aula virtual y evaluación oficial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Tutora en AVE Global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el aula virtual de español del Instituto Cervantes: tutorización de aprendices en entorno LMS. </w:t>
      </w:r>
      <w:r>
        <w:rPr>
          <w:rFonts w:ascii="Inter" w:hAnsi="Inter" w:cs="Inter"/>
          <w:b/>
          <w:i w:val="0"/>
          <w:color w:val="1C1E2E"/>
          <w:sz w:val="22"/>
        </w:rPr>
        <w:t>[DOC-18]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Examinadora acreditada DELE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: acreditación oficial para </w:t>
      </w:r>
      <w:r>
        <w:rPr>
          <w:rFonts w:ascii="Inter" w:hAnsi="Inter" w:cs="Inter"/>
          <w:b/>
          <w:i w:val="0"/>
          <w:color w:val="1C1E2E"/>
          <w:sz w:val="22"/>
        </w:rPr>
        <w:t>evaluar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el español conforme al MCER. </w:t>
      </w:r>
      <w:r>
        <w:rPr>
          <w:rFonts w:ascii="Inter" w:hAnsi="Inter" w:cs="Inter"/>
          <w:b/>
          <w:i w:val="0"/>
          <w:color w:val="1C1E2E"/>
          <w:sz w:val="22"/>
        </w:rPr>
        <w:t>[DOC-11]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Relevancia directa para la tesis.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La acreditación DELE no es un mérito de idiomas sin más: acredita </w:t>
      </w:r>
      <w:r>
        <w:rPr>
          <w:rFonts w:ascii="Inter" w:hAnsi="Inter" w:cs="Inter"/>
          <w:b/>
          <w:i w:val="0"/>
          <w:color w:val="5B5F77"/>
          <w:sz w:val="21"/>
        </w:rPr>
        <w:t>capacidad de evaluar conforme al MCER</w:t>
      </w:r>
      <w:r>
        <w:rPr>
          <w:rFonts w:ascii="Inter" w:hAnsi="Inter" w:cs="Inter"/>
          <w:b w:val="0"/>
          <w:i w:val="0"/>
          <w:color w:val="5B5F77"/>
          <w:sz w:val="21"/>
        </w:rPr>
        <w:t>, que es el criterio experto sobre el que se validará el Tier 1 del Módulo de Medición. Sitúa a la doctoranda dentro del propio marco de evaluación que la tesis estudia.</w:t>
      </w:r>
    </w:p>
    <w:p>
      <w:pPr>
        <w:pBdr>
          <w:bottom w:val="single" w:sz="6" w:space="1" w:color="E6E8F2"/>
        </w:pBdr>
      </w:pP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 xml:space="preserve">2.4 · Diseño instruccional y </w:t>
      </w:r>
      <w:r>
        <w:rPr>
          <w:rFonts w:ascii="Inter" w:hAnsi="Inter" w:cs="Inter"/>
          <w:b/>
          <w:i w:val="0"/>
          <w:color w:val="1C1E2E"/>
          <w:sz w:val="26"/>
        </w:rPr>
        <w:t>Language Learning Experience Design</w:t>
      </w:r>
      <w:r>
        <w:rPr>
          <w:rFonts w:ascii="Inter" w:hAnsi="Inter" w:cs="Inter"/>
          <w:b/>
          <w:i w:val="0"/>
          <w:color w:val="1C1E2E"/>
          <w:sz w:val="26"/>
        </w:rPr>
        <w:t xml:space="preserve"> · octubre 2019 – actualidad</w:t>
      </w:r>
    </w:p>
    <w:p>
      <w:r>
        <w:rPr>
          <w:rFonts w:ascii="Inter" w:hAnsi="Inter" w:cs="Inter"/>
          <w:b/>
          <w:i w:val="0"/>
          <w:color w:val="1C1E2E"/>
          <w:sz w:val="22"/>
        </w:rPr>
        <w:t>Práctica profesional con clientes y organizaciones — el ámbito exacto del doctorado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Por qué este bloque pesa en el baremo, y no poco.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El apartado del baremo se llama «</w:t>
      </w:r>
      <w:r>
        <w:rPr>
          <w:rFonts w:ascii="Inter" w:hAnsi="Inter" w:cs="Inter"/>
          <w:b/>
          <w:i w:val="0"/>
          <w:color w:val="5B5F77"/>
          <w:sz w:val="21"/>
        </w:rPr>
        <w:t>experiencia profesional en el ámbito del doctorado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». El ámbito de esta tesis no es la docencia en general: es el </w:t>
      </w:r>
      <w:r>
        <w:rPr>
          <w:rFonts w:ascii="Inter" w:hAnsi="Inter" w:cs="Inter"/>
          <w:b/>
          <w:i w:val="0"/>
          <w:color w:val="5B5F77"/>
          <w:sz w:val="21"/>
        </w:rPr>
        <w:t>diseño y la medición de productos de aprendizaje de lenguas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. Por tanto, el trabajo de diseño instruccional y </w:t>
      </w:r>
      <w:r>
        <w:rPr>
          <w:rFonts w:ascii="Inter" w:hAnsi="Inter" w:cs="Inter"/>
          <w:b w:val="0"/>
          <w:i/>
          <w:color w:val="5B5F77"/>
          <w:sz w:val="21"/>
        </w:rPr>
        <w:t>language learning experience design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para clientes y organizaciones </w:t>
      </w:r>
      <w:r>
        <w:rPr>
          <w:rFonts w:ascii="Inter" w:hAnsi="Inter" w:cs="Inter"/>
          <w:b/>
          <w:i w:val="0"/>
          <w:color w:val="5B5F77"/>
          <w:sz w:val="21"/>
        </w:rPr>
        <w:t>no es un complemento del mérito: es el mérito en su acepción más literal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. Es, además, lo que sostiene la afirmación metodológica del plan —investigación basada en diseño en </w:t>
      </w:r>
      <w:r>
        <w:rPr>
          <w:rFonts w:ascii="Inter" w:hAnsi="Inter" w:cs="Inter"/>
          <w:b/>
          <w:i w:val="0"/>
          <w:color w:val="5B5F77"/>
          <w:sz w:val="21"/>
        </w:rPr>
        <w:t>contextos auténticos</w:t>
      </w:r>
      <w:r>
        <w:rPr>
          <w:rFonts w:ascii="Inter" w:hAnsi="Inter" w:cs="Inter"/>
          <w:b w:val="0"/>
          <w:i w:val="0"/>
          <w:color w:val="5B5F77"/>
          <w:sz w:val="21"/>
        </w:rPr>
        <w:t>— y el origen documentado del requisito de voz medible en xAPI, que nació de una petición real de un cliente.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3"/>
        </w:rPr>
        <w:t>Clientes y organizaciones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⚠️ </w:t>
      </w:r>
      <w:r>
        <w:rPr>
          <w:rFonts w:ascii="Inter" w:hAnsi="Inter" w:cs="Inter"/>
          <w:b/>
          <w:i w:val="0"/>
          <w:color w:val="5B5F77"/>
          <w:sz w:val="21"/>
        </w:rPr>
        <w:t>Pendiente de completar — necesito los datos.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No figuran en el perfil verificado, así que no los invento. Rellena una fila por cada organización con la que hayas trabajado. Con eso lo redacto en las tres versiones.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#</w:t>
            </w:r>
          </w:p>
        </w:tc>
        <w:tc>
          <w:tcPr>
            <w:tcW w:type="dxa" w:w="1378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Organización / cliente</w:t>
            </w:r>
          </w:p>
        </w:tc>
        <w:tc>
          <w:tcPr>
            <w:tcW w:type="dxa" w:w="1378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Sector</w:t>
            </w:r>
          </w:p>
        </w:tc>
        <w:tc>
          <w:tcPr>
            <w:tcW w:type="dxa" w:w="1378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Rol</w:t>
            </w:r>
          </w:p>
        </w:tc>
        <w:tc>
          <w:tcPr>
            <w:tcW w:type="dxa" w:w="1378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Periodo</w:t>
            </w:r>
          </w:p>
        </w:tc>
        <w:tc>
          <w:tcPr>
            <w:tcW w:type="dxa" w:w="1378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Alcance del encargo</w:t>
            </w:r>
          </w:p>
        </w:tc>
        <w:tc>
          <w:tcPr>
            <w:tcW w:type="dxa" w:w="1378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Evidencia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1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[nombre]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[EdTech · idiomas · corporativo · universidad · editorial…]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[diseñadora instruccional / LX designer / consultora…]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[mm-aaaa – mm-aaaa]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[qué diseñaste: nº de módulos, horas de formación, idiomas, niveles MCER, plataforma]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[contrato, factura, certificado, URL pública, testimonio]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2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3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4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  <w:tc>
          <w:tcPr>
            <w:tcW w:type="dxa" w:w="1378"/>
          </w:tcPr>
          <w:p>
            <w:pPr>
              <w:spacing w:after="40"/>
            </w:pPr>
            <w:r/>
          </w:p>
        </w:tc>
      </w:tr>
    </w:tbl>
    <w:p/>
    <w:p>
      <w:r>
        <w:rPr>
          <w:rFonts w:ascii="Inter" w:hAnsi="Inter" w:cs="Inter"/>
          <w:b/>
          <w:i w:val="0"/>
          <w:color w:val="1C1E2E"/>
          <w:sz w:val="22"/>
        </w:rPr>
        <w:t>Qué conviene registrar de cada uno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por orden de peso ante la comisión: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Si el producto es de lenguas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a qué </w:t>
      </w:r>
      <w:r>
        <w:rPr>
          <w:rFonts w:ascii="Inter" w:hAnsi="Inter" w:cs="Inter"/>
          <w:b/>
          <w:i w:val="0"/>
          <w:color w:val="1C1E2E"/>
          <w:sz w:val="22"/>
        </w:rPr>
        <w:t>nivel MCER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es lo que lo sitúa en el ámbito de la tesis.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Volumen</w:t>
      </w:r>
      <w:r>
        <w:rPr>
          <w:rFonts w:ascii="Inter" w:hAnsi="Inter" w:cs="Inter"/>
          <w:b w:val="0"/>
          <w:i w:val="0"/>
          <w:color w:val="1C1E2E"/>
          <w:sz w:val="22"/>
        </w:rPr>
        <w:t>: número de módulos, horas de formación resultantes, número de aprendices alcanzados.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Si hubo medición</w:t>
      </w:r>
      <w:r>
        <w:rPr>
          <w:rFonts w:ascii="Inter" w:hAnsi="Inter" w:cs="Inter"/>
          <w:b w:val="0"/>
          <w:i w:val="0"/>
          <w:color w:val="1C1E2E"/>
          <w:sz w:val="22"/>
        </w:rPr>
        <w:t>: SCORM, xAPI, LRS, informes de resultados. Es lo que conecta con el Módulo de Medición.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Si hubo accesibilidad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como requisito (WCAG, DUA).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Si el encargo dio lugar a una decisión de diseño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que después se generalizó en MLLDE — como el modo voz.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3"/>
        </w:rPr>
        <w:t>Proyecto propio — Talkétika</w:t>
      </w:r>
    </w:p>
    <w:p>
      <w:r>
        <w:rPr>
          <w:rFonts w:ascii="Inter" w:hAnsi="Inter" w:cs="Inter"/>
          <w:b/>
          <w:i w:val="0"/>
          <w:color w:val="1C1E2E"/>
          <w:sz w:val="22"/>
        </w:rPr>
        <w:t>Fundadora y diseñadora de contenidos eLearning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2019 – actualidad · remoto Administradora de </w:t>
      </w:r>
      <w:r>
        <w:rPr>
          <w:rFonts w:ascii="Inter" w:hAnsi="Inter" w:cs="Inter"/>
          <w:b/>
          <w:i w:val="0"/>
          <w:color w:val="1C1E2E"/>
          <w:sz w:val="22"/>
        </w:rPr>
        <w:t>Chamilo (LMS)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desde 2019; contenido gamificado en </w:t>
      </w:r>
      <w:r>
        <w:rPr>
          <w:rFonts w:ascii="Inter" w:hAnsi="Inter" w:cs="Inter"/>
          <w:b/>
          <w:i w:val="0"/>
          <w:color w:val="1C1E2E"/>
          <w:sz w:val="22"/>
        </w:rPr>
        <w:t>Moodle, Canvas LMS y Chamilo</w:t>
      </w:r>
      <w:r>
        <w:rPr>
          <w:rFonts w:ascii="Inter" w:hAnsi="Inter" w:cs="Inter"/>
          <w:b w:val="0"/>
          <w:i w:val="0"/>
          <w:color w:val="1C1E2E"/>
          <w:sz w:val="22"/>
        </w:rPr>
        <w:t>; producción de audiolibros en Adobe Podcast. Sitio de evaluación de productos EdTech (</w:t>
      </w:r>
      <w:r>
        <w:rPr>
          <w:rFonts w:ascii="Inter" w:hAnsi="Inter" w:cs="Inter"/>
          <w:b w:val="0"/>
          <w:i/>
          <w:color w:val="1C1E2E"/>
          <w:sz w:val="22"/>
        </w:rPr>
        <w:t>TK Coach Review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): </w:t>
      </w:r>
    </w:p>
    <w:p>
      <w:r>
        <w:rPr>
          <w:rFonts w:ascii="Inter" w:hAnsi="Inter" w:cs="Inter"/>
          <w:b/>
          <w:i w:val="0"/>
          <w:color w:val="1C1E2E"/>
          <w:sz w:val="22"/>
        </w:rPr>
        <w:t>TK Coach («Capi»)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tutor de inglés de negocios por voz, con el </w:t>
      </w:r>
      <w:r>
        <w:rPr>
          <w:rFonts w:ascii="Inter" w:hAnsi="Inter" w:cs="Inter"/>
          <w:b/>
          <w:i w:val="0"/>
          <w:color w:val="1C1E2E"/>
          <w:sz w:val="22"/>
        </w:rPr>
        <w:t>Módulo de Medición en producción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: Tier 1 de extremo a extremo, tres agentes LLM que observan, consolidador determinista, y evidencia </w:t>
      </w:r>
      <w:r>
        <w:rPr>
          <w:rFonts w:ascii="Inter" w:hAnsi="Inter" w:cs="Inter"/>
          <w:b/>
          <w:i w:val="0"/>
          <w:color w:val="1C1E2E"/>
          <w:sz w:val="22"/>
        </w:rPr>
        <w:t>xAPI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emitida a un </w:t>
      </w:r>
      <w:r>
        <w:rPr>
          <w:rFonts w:ascii="Inter" w:hAnsi="Inter" w:cs="Inter"/>
          <w:b/>
          <w:i w:val="0"/>
          <w:color w:val="1C1E2E"/>
          <w:sz w:val="22"/>
        </w:rPr>
        <w:t>LRS conformante</w:t>
      </w:r>
      <w:r>
        <w:rPr>
          <w:rFonts w:ascii="Inter" w:hAnsi="Inter" w:cs="Inter"/>
          <w:b w:val="0"/>
          <w:i w:val="0"/>
          <w:color w:val="1C1E2E"/>
          <w:sz w:val="22"/>
        </w:rPr>
        <w:t>. Es la instancia industrial que da soporte empírico a la segunda aportación del plan.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3"/>
        </w:rPr>
        <w:t>Artefactos con evaluación académica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Academic Writing Journey (AWJ)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curso gamificado de inglés académico B2→C1, seis niveles, alineado al MCER. </w:t>
      </w:r>
      <w:r>
        <w:rPr>
          <w:rFonts w:ascii="Inter" w:hAnsi="Inter" w:cs="Inter"/>
          <w:b/>
          <w:i w:val="0"/>
          <w:color w:val="1C1E2E"/>
          <w:sz w:val="22"/>
        </w:rPr>
        <w:t>Calificado 10/10 por diseño inclusivo (UPV, 2026)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cero errores de navegación del alumnado. Agnóstico de plataforma: reconstruido de Canva a Articulate 360 Rise con SCORM/xAPI y desplegado en cuatro familias de LMS. </w:t>
      </w:r>
      <w:r>
        <w:rPr>
          <w:rFonts w:ascii="Inter" w:hAnsi="Inter" w:cs="Inter"/>
          <w:b/>
          <w:i w:val="0"/>
          <w:color w:val="1C1E2E"/>
          <w:sz w:val="22"/>
        </w:rPr>
        <w:t>[DOC-15]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Prototipo mobile-native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PWA sin conexión, WCAG-AA, mentor de IA que andamia sin dar respuestas. Demo funcional de la fase </w:t>
      </w:r>
      <w:r>
        <w:rPr>
          <w:rFonts w:ascii="Inter" w:hAnsi="Inter" w:cs="Inter"/>
          <w:b w:val="0"/>
          <w:i/>
          <w:color w:val="1C1E2E"/>
          <w:sz w:val="22"/>
        </w:rPr>
        <w:t>Output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del modelo IPO en móvil.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Modelo documentado de gobernanza humano–IA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formalizado en un </w:t>
      </w:r>
      <w:r>
        <w:rPr>
          <w:rFonts w:ascii="Inter" w:hAnsi="Inter" w:cs="Inter"/>
          <w:b w:val="0"/>
          <w:i/>
          <w:color w:val="1C1E2E"/>
          <w:sz w:val="22"/>
        </w:rPr>
        <w:t>High-Level Design Document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antecedente directo del principio </w:t>
      </w:r>
      <w:r>
        <w:rPr>
          <w:rFonts w:ascii="Inter" w:hAnsi="Inter" w:cs="Inter"/>
          <w:b/>
          <w:i/>
          <w:color w:val="1C1E2E"/>
          <w:sz w:val="22"/>
        </w:rPr>
        <w:t>Measure ≠ Decide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tesis.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3"/>
        </w:rPr>
        <w:t>Competencias aplicadas en estos encargos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Diseño instruccional (ADDIE, SAM) · </w:t>
      </w:r>
      <w:r>
        <w:rPr>
          <w:rFonts w:ascii="Inter" w:hAnsi="Inter" w:cs="Inter"/>
          <w:b w:val="0"/>
          <w:i/>
          <w:color w:val="1C1E2E"/>
          <w:sz w:val="22"/>
        </w:rPr>
        <w:t>language learning experience design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guionización y narrativa didáctica · gamificación y microlearning · diseño curricular alineado al MCER · evaluación por competencias · accesibilidad (DUA, WCAG 2.1 AA, Acta Europea de Accesibilidad) · empaquetado </w:t>
      </w:r>
      <w:r>
        <w:rPr>
          <w:rFonts w:ascii="Inter" w:hAnsi="Inter" w:cs="Inter"/>
          <w:b/>
          <w:i w:val="0"/>
          <w:color w:val="1C1E2E"/>
          <w:sz w:val="22"/>
        </w:rPr>
        <w:t>SCORM / xAPI / cmi5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administración de LMS (Chamilo, Moodle, Canvas LMS) · autoría en Articulate 360 Rise y Canva · producción de audio (Adobe Podcast) · gobernanza humano–IA.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2.5 · Universitat Politècnica de València · hasta julio de 2026</w:t>
      </w:r>
    </w:p>
    <w:p>
      <w:r>
        <w:rPr>
          <w:rFonts w:ascii="Inter" w:hAnsi="Inter" w:cs="Inter"/>
          <w:b/>
          <w:i w:val="0"/>
          <w:color w:val="1C1E2E"/>
          <w:sz w:val="22"/>
        </w:rPr>
        <w:t>Investigación de corpus en lingüística aplicada</w:t>
      </w:r>
    </w:p>
    <w:p>
      <w:r>
        <w:rPr>
          <w:rFonts w:ascii="Inter" w:hAnsi="Inter" w:cs="Inter"/>
          <w:b/>
          <w:i w:val="0"/>
          <w:color w:val="1C1E2E"/>
          <w:sz w:val="22"/>
        </w:rPr>
        <w:t>Máster Universitario en Lenguas y Tecnología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especialidad Didáctica — nota media </w:t>
      </w:r>
      <w:r>
        <w:rPr>
          <w:rFonts w:ascii="Inter" w:hAnsi="Inter" w:cs="Inter"/>
          <w:b/>
          <w:i w:val="0"/>
          <w:color w:val="1C1E2E"/>
          <w:sz w:val="22"/>
        </w:rPr>
        <w:t>9,4/10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</w:t>
      </w:r>
      <w:r>
        <w:rPr>
          <w:rFonts w:ascii="Inter" w:hAnsi="Inter" w:cs="Inter"/>
          <w:b/>
          <w:i w:val="0"/>
          <w:color w:val="1C1E2E"/>
          <w:sz w:val="22"/>
        </w:rPr>
        <w:t>2 Matrículas de Honor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r>
        <w:rPr>
          <w:rFonts w:ascii="Inter" w:hAnsi="Inter" w:cs="Inter"/>
          <w:b/>
          <w:i w:val="0"/>
          <w:color w:val="1C1E2E"/>
          <w:sz w:val="22"/>
        </w:rPr>
        <w:t>Investigación.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Estudio de corpus sobre </w:t>
      </w:r>
      <w:r>
        <w:rPr>
          <w:rFonts w:ascii="Inter" w:hAnsi="Inter" w:cs="Inter"/>
          <w:b/>
          <w:i w:val="0"/>
          <w:color w:val="1C1E2E"/>
          <w:sz w:val="22"/>
        </w:rPr>
        <w:t>variación disciplinar en el uso del metadiscurso en resúmenes de trabajos de fin de máster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: 180 resúmenes de seis disciplinas (18.000 palabras, 920 marcadores), etiquetado con </w:t>
      </w:r>
      <w:r>
        <w:rPr>
          <w:rFonts w:ascii="Inter" w:hAnsi="Inter" w:cs="Inter"/>
          <w:b/>
          <w:i w:val="0"/>
          <w:color w:val="1C1E2E"/>
          <w:sz w:val="22"/>
        </w:rPr>
        <w:t>METOOL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(Carrió-Pastor, 2020) bajo el marco de </w:t>
      </w:r>
      <w:r>
        <w:rPr>
          <w:rFonts w:ascii="Inter" w:hAnsi="Inter" w:cs="Inter"/>
          <w:b/>
          <w:i w:val="0"/>
          <w:color w:val="1C1E2E"/>
          <w:sz w:val="22"/>
        </w:rPr>
        <w:t>Hyland (2005)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con estadística inferencial (chi-cuadrado, tamaños del efecto, dispersión de Juilland, factores de Bayes) contrastada con Lancaster Stats Tools. </w:t>
      </w:r>
      <w:r>
        <w:rPr>
          <w:rFonts w:ascii="Inter" w:hAnsi="Inter" w:cs="Inter"/>
          <w:b/>
          <w:i w:val="0"/>
          <w:color w:val="1C1E2E"/>
          <w:sz w:val="22"/>
        </w:rPr>
        <w:t>Dirección: Prof.ª Mª Luisa Carrió-Pastor</w:t>
      </w:r>
      <w:r>
        <w:rPr>
          <w:rFonts w:ascii="Inter" w:hAnsi="Inter" w:cs="Inter"/>
          <w:b w:val="0"/>
          <w:i w:val="0"/>
          <w:color w:val="1C1E2E"/>
          <w:sz w:val="22"/>
        </w:rPr>
        <w:t>, Departamento de Lingüística Aplicada.</w:t>
      </w:r>
    </w:p>
    <w:p>
      <w:r>
        <w:rPr>
          <w:rFonts w:ascii="Inter" w:hAnsi="Inter" w:cs="Inter"/>
          <w:b/>
          <w:i w:val="0"/>
          <w:color w:val="1C1E2E"/>
          <w:sz w:val="22"/>
        </w:rPr>
        <w:t>Difusión de resultados.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Libro de datos interactivo de acceso abierto, con vista de tabla en cada gráfico y paleta validada para deficiencias de visión cromática: 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Continuidad con la tesis.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El </w:t>
      </w:r>
      <w:r>
        <w:rPr>
          <w:rFonts w:ascii="Inter" w:hAnsi="Inter" w:cs="Inter"/>
          <w:b/>
          <w:i w:val="0"/>
          <w:color w:val="5B5F77"/>
          <w:sz w:val="21"/>
        </w:rPr>
        <w:t>Objetivo 4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de este TFM es el punto de partida directo de la primera aportación del plan doctoral (escritura y alfabetización en IA). La tesis no cambia de línea: la extiende.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3 · Lectura de conjunto — cómo presentar esta trayectoria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Cuatro rasgos que conviene que una comisión vea de un golpe: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Docencia universitaria certificada, no estimada.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1.568 horas con certificación de servicio, no «más de veinte años» sin más.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Investigación en los dos extremos de la trayectoria.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Un TFG que llegó a revista indexada y a congreso internacional (2004–2008) y un estudio de corpus dirigido en la UPV (2026). No es una vuelta a la investigación después de un paréntesis: es una línea con dos momentos documentados y el mismo objeto de fondo —cómo alinear formación y competencia con un marco verificable.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Inglés para las ciencias, enseñado y ejercido a la vez.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Docencia universitaria de </w:t>
      </w:r>
      <w:r>
        <w:rPr>
          <w:rFonts w:ascii="Inter" w:hAnsi="Inter" w:cs="Inter"/>
          <w:b/>
          <w:i w:val="0"/>
          <w:color w:val="1C1E2E"/>
          <w:sz w:val="22"/>
        </w:rPr>
        <w:t>Inglés Técnico e Instrumental a Biología Marina y Acuacultura</w:t>
      </w:r>
      <w:r>
        <w:rPr>
          <w:rFonts w:ascii="Inter" w:hAnsi="Inter" w:cs="Inter"/>
          <w:b w:val="0"/>
          <w:i w:val="0"/>
          <w:color w:val="1C1E2E"/>
          <w:sz w:val="22"/>
        </w:rPr>
        <w:t>, en el mismo periodo en que redactaba y revisaba artículos de biología marina para revistas de alto impacto, con reconocimiento en Elsevier. Es la misma especialización por dos vías, no dos méritos sueltos.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Evaluación acreditada conforme al MCER.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Examinadora DELE del Instituto Cervantes: el criterio experto que la propia tesis usará para validar la medición automática.</w:t>
      </w:r>
    </w:p>
    <w:p>
      <w:pPr>
        <w:pStyle w:val="ListNumber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Práctica profesional en el ámbito exacto de la tesis.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Seis años diseñando y midiendo productos de aprendizaje de lenguas para clientes y organizaciones. No es experiencia «relacionada»: es el objeto de estudio ejercido profesionalmente, y es de donde salen los contextos auténticos que la investigación basada en diseño exige.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4 · Lo que falta confirmar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</w:t>
      </w:r>
      <w:r>
        <w:rPr>
          <w:rFonts w:ascii="Inter" w:hAnsi="Inter" w:cs="Inter"/>
          <w:b/>
          <w:i w:val="0"/>
          <w:color w:val="1C1E2E"/>
          <w:sz w:val="22"/>
        </w:rPr>
        <w:t>Año de inicio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tutoría en AVE Global y de la acreditación DELE.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</w:t>
      </w:r>
      <w:r>
        <w:rPr>
          <w:rFonts w:ascii="Inter" w:hAnsi="Inter" w:cs="Inter"/>
          <w:b/>
          <w:i w:val="0"/>
          <w:color w:val="1C1E2E"/>
          <w:sz w:val="22"/>
        </w:rPr>
        <w:t>Fecha del pase a Tiempo Completo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la UDO, y sello de la hoja de carga docente (ver </w:t>
      </w:r>
      <w:r>
        <w:rPr>
          <w:rFonts w:ascii="Consolas" w:hAnsi="Consolas" w:cs="Consolas"/>
          <w:b w:val="0"/>
          <w:i w:val="0"/>
          <w:color w:val="5B5F77"/>
          <w:sz w:val="21"/>
        </w:rPr>
        <w:t>09-evidencia-docencia/</w:t>
      </w:r>
      <w:r>
        <w:rPr>
          <w:rFonts w:ascii="Inter" w:hAnsi="Inter" w:cs="Inter"/>
          <w:b w:val="0"/>
          <w:i w:val="0"/>
          <w:color w:val="1C1E2E"/>
          <w:sz w:val="22"/>
        </w:rPr>
        <w:t>).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Si hubo </w:t>
      </w:r>
      <w:r>
        <w:rPr>
          <w:rFonts w:ascii="Inter" w:hAnsi="Inter" w:cs="Inter"/>
          <w:b/>
          <w:i w:val="0"/>
          <w:color w:val="1C1E2E"/>
          <w:sz w:val="22"/>
        </w:rPr>
        <w:t>docencia en la ULA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más allá de las Prácticas Profesionales (preparaduría, ayudantía), acreditarla.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¿Hubo semestres en la UDO en </w:t>
      </w:r>
      <w:r>
        <w:rPr>
          <w:rFonts w:ascii="Inter" w:hAnsi="Inter" w:cs="Inter"/>
          <w:b/>
          <w:i w:val="0"/>
          <w:color w:val="1C1E2E"/>
          <w:sz w:val="22"/>
        </w:rPr>
        <w:t>2011</w:t>
      </w:r>
      <w:r>
        <w:rPr>
          <w:rFonts w:ascii="Inter" w:hAnsi="Inter" w:cs="Inter"/>
          <w:b w:val="0"/>
          <w:i w:val="0"/>
          <w:color w:val="1C1E2E"/>
          <w:sz w:val="22"/>
        </w:rPr>
        <w:t>? La hoja de carga titula «2007 al 2011»; el certificado sellado llega a II-2010.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</w:t>
      </w:r>
      <w:r>
        <w:rPr>
          <w:rFonts w:ascii="Inter" w:hAnsi="Inter" w:cs="Inter"/>
          <w:b/>
          <w:i w:val="0"/>
          <w:color w:val="1C1E2E"/>
          <w:sz w:val="22"/>
        </w:rPr>
        <w:t>Curso de inicio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del máster en la UPV.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🔴 </w:t>
      </w:r>
      <w:r>
        <w:rPr>
          <w:rFonts w:ascii="Inter" w:hAnsi="Inter" w:cs="Inter"/>
          <w:b/>
          <w:i w:val="0"/>
          <w:color w:val="1C1E2E"/>
          <w:sz w:val="22"/>
        </w:rPr>
        <w:t>Lista de organizaciones y clientes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diseño instruccional y </w:t>
      </w:r>
      <w:r>
        <w:rPr>
          <w:rFonts w:ascii="Inter" w:hAnsi="Inter" w:cs="Inter"/>
          <w:b w:val="0"/>
          <w:i/>
          <w:color w:val="1C1E2E"/>
          <w:sz w:val="22"/>
        </w:rPr>
        <w:t>language learning experience design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(§2.4), con periodo, rol y alcance. Es el dato que más refuerza el apartado B.6 del baremo y hoy es el único hueco grande del expediente.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5 · Las tres versiones que salen de aquí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Destino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Qué usar</w:t>
            </w:r>
          </w:p>
        </w:tc>
        <w:tc>
          <w:tcPr>
            <w:tcW w:type="dxa" w:w="3216"/>
            <w:shd w:val="clear" w:color="auto" w:fill="EEF2FD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22307C"/>
                <w:sz w:val="19"/>
              </w:rPr>
              <w:t>Extensión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CV académico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(§6 Experiencia docente e investigadora)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§2 condensado a un párrafo por periodo, sin las cajas de comentario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~½ página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CV por baremo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(§B.6)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§1 (cifras) + §2 completo, con los códigos DOC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~1½ páginas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Plan de Investigación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 (§3.3, resultados previos de la doctoranda)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§1 + los rasgos 1–4 de §3, en prosa continua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~1 párrafo denso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ORCID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§2 →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Employment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; §2.5 y §2.1 →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Education</w:t>
            </w:r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 xml:space="preserve">; publicaciones → </w:t>
            </w:r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Works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por campos</w:t>
            </w:r>
          </w:p>
        </w:tc>
      </w:tr>
    </w:tbl>
    <w:p/>
    <w:p>
      <w:pPr>
        <w:pBdr>
          <w:bottom w:val="single" w:sz="6" w:space="1" w:color="E6E8F2"/>
        </w:pBdr>
      </w:pPr>
    </w:p>
    <w:p>
      <w:r>
        <w:rPr>
          <w:rFonts w:ascii="Inter" w:hAnsi="Inter" w:cs="Inter"/>
          <w:b w:val="0"/>
          <w:i/>
          <w:color w:val="1C1E2E"/>
          <w:sz w:val="22"/>
        </w:rPr>
        <w:t>© 2026 Ana Zoraimy Eslava Graterol. Todos los datos proceden de documentación oficial verificada en este expediente. Documento elaborado con asistencia de IA bajo supervisión y verificación humanas.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Inter" w:hAnsi="Inter"/>
      <w:color w:val="1C1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