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42"/>
        </w:rPr>
        <w:t>Revisión del correo a Marisa</w:t>
      </w:r>
    </w:p>
    <w:p>
      <w:r>
        <w:rPr>
          <w:rFonts w:ascii="Inter" w:hAnsi="Inter" w:cs="Inter"/>
          <w:b/>
          <w:i w:val="0"/>
          <w:color w:val="1C1E2E"/>
          <w:sz w:val="22"/>
        </w:rPr>
        <w:t>Objetivo: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solicitar la dirección de la tesis para la convocatoria 2026-27. </w:t>
      </w:r>
      <w:r>
        <w:rPr>
          <w:rFonts w:ascii="Inter" w:hAnsi="Inter" w:cs="Inter"/>
          <w:b/>
          <w:i w:val="0"/>
          <w:color w:val="1C1E2E"/>
          <w:sz w:val="22"/>
        </w:rPr>
        <w:t>Fecha límite dura: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preinscripción </w:t>
      </w:r>
      <w:r>
        <w:rPr>
          <w:rFonts w:ascii="Inter" w:hAnsi="Inter" w:cs="Inter"/>
          <w:b/>
          <w:i w:val="0"/>
          <w:color w:val="1C1E2E"/>
          <w:sz w:val="22"/>
        </w:rPr>
        <w:t>15 de octubre</w:t>
      </w:r>
      <w:r>
        <w:rPr>
          <w:rFonts w:ascii="Inter" w:hAnsi="Inter" w:cs="Inter"/>
          <w:b w:val="0"/>
          <w:i w:val="0"/>
          <w:color w:val="1C1E2E"/>
          <w:sz w:val="22"/>
        </w:rPr>
        <w:t>.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/>
          <w:i w:val="0"/>
          <w:color w:val="5B5F77"/>
          <w:sz w:val="21"/>
        </w:rPr>
        <w:t>Valoración general.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El correo está bien planteado y hace lo más difícil bien: pide sin presionar, y ancla la propuesta en el trabajo que ya hicisteis juntas. Tiene </w:t>
      </w:r>
      <w:r>
        <w:rPr>
          <w:rFonts w:ascii="Inter" w:hAnsi="Inter" w:cs="Inter"/>
          <w:b/>
          <w:i w:val="0"/>
          <w:color w:val="5B5F77"/>
          <w:sz w:val="21"/>
        </w:rPr>
        <w:t>un error que hay que corregir sí o sí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y tres ajustes de legibilidad. Nada de fondo.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1 · 🔴 El error que hay que corregir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>El párrafo 2 dice: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 w:val="0"/>
          <w:i w:val="0"/>
          <w:color w:val="5B5F77"/>
          <w:sz w:val="21"/>
        </w:rPr>
        <w:t>«La línea es MLLDE (</w:t>
      </w:r>
      <w:r>
        <w:rPr>
          <w:rFonts w:ascii="Inter" w:hAnsi="Inter" w:cs="Inter"/>
          <w:b/>
          <w:i w:val="0"/>
          <w:color w:val="5B5F77"/>
          <w:sz w:val="21"/>
        </w:rPr>
        <w:t>Mobile</w:t>
      </w:r>
      <w:r>
        <w:rPr>
          <w:rFonts w:ascii="Inter" w:hAnsi="Inter" w:cs="Inter"/>
          <w:b w:val="0"/>
          <w:i w:val="0"/>
          <w:color w:val="5B5F77"/>
          <w:sz w:val="21"/>
        </w:rPr>
        <w:t xml:space="preserve"> Language Learning Design Environment)…»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Es la denominación que ya identificaste como errónea. </w:t>
      </w:r>
      <w:r>
        <w:rPr>
          <w:rFonts w:ascii="Inter" w:hAnsi="Inter" w:cs="Inter"/>
          <w:b/>
          <w:i w:val="0"/>
          <w:color w:val="1C1E2E"/>
          <w:sz w:val="22"/>
        </w:rPr>
        <w:t>Y va en el correo que abre la relación de dirección.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Si lo envías así y luego lo corriges, Marisa habrá conocido el proyecto con un nombre y lo verá con otro en el plan definitivo.</w:t>
      </w:r>
    </w:p>
    <w:p>
      <w:r>
        <w:rPr>
          <w:rFonts w:ascii="Inter" w:hAnsi="Inter" w:cs="Inter"/>
          <w:b/>
          <w:i w:val="0"/>
          <w:color w:val="1C1E2E"/>
          <w:sz w:val="22"/>
        </w:rPr>
        <w:t>Corrige a la vez el correo y el plan adjunto.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No tiene sentido enviar un correo con el nombre corregido y un PDF con el antiguo. → </w:t>
      </w:r>
      <w:r>
        <w:rPr>
          <w:rFonts w:ascii="Inter" w:hAnsi="Inter" w:cs="Inter"/>
          <w:b w:val="0"/>
          <w:i/>
          <w:color w:val="1C1E2E"/>
          <w:sz w:val="22"/>
        </w:rPr>
        <w:t>Multimodal Language Learning Design &amp; Evaluation</w:t>
      </w:r>
      <w:r>
        <w:rPr>
          <w:rFonts w:ascii="Inter" w:hAnsi="Inter" w:cs="Inter"/>
          <w:b w:val="0"/>
          <w:i w:val="0"/>
          <w:color w:val="1C1E2E"/>
          <w:sz w:val="22"/>
        </w:rPr>
        <w:t>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2 · 🟠 Tres ajustes de legibilidad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>2.1 El párrafo 3 lleva demasiada carga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Una sola frase sostiene: el artefacto, el modo voz, la evaluación de pronunciación, xAPI, el MCER, la cohorte, Casañ-Pitarch, la replicación al español y la validación en industria. Es el párrafo que más le importa a una directora y es el más difícil de leer. </w:t>
      </w:r>
      <w:r>
        <w:rPr>
          <w:rFonts w:ascii="Inter" w:hAnsi="Inter" w:cs="Inter"/>
          <w:b/>
          <w:i w:val="0"/>
          <w:color w:val="1C1E2E"/>
          <w:sz w:val="22"/>
        </w:rPr>
        <w:t>Pártelo en tres</w:t>
      </w:r>
      <w:r>
        <w:rPr>
          <w:rFonts w:ascii="Inter" w:hAnsi="Inter" w:cs="Inter"/>
          <w:b w:val="0"/>
          <w:i w:val="0"/>
          <w:color w:val="1C1E2E"/>
          <w:sz w:val="22"/>
        </w:rPr>
        <w:t>: qué se construye · con quién se prueba · qué existe ya.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>2.2 La codirección llega tarde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Aparece en el párrafo 5, después de los adjuntos. Marisa se estará formando una opinión sobre la dirección mientras lee los párrafos 2–4, y esa información le falta. </w:t>
      </w:r>
      <w:r>
        <w:rPr>
          <w:rFonts w:ascii="Inter" w:hAnsi="Inter" w:cs="Inter"/>
          <w:b/>
          <w:i w:val="0"/>
          <w:color w:val="1C1E2E"/>
          <w:sz w:val="22"/>
        </w:rPr>
        <w:t>Súbelo justo después del artefacto</w:t>
      </w:r>
      <w:r>
        <w:rPr>
          <w:rFonts w:ascii="Inter" w:hAnsi="Inter" w:cs="Inter"/>
          <w:b w:val="0"/>
          <w:i w:val="0"/>
          <w:color w:val="1C1E2E"/>
          <w:sz w:val="22"/>
        </w:rPr>
        <w:t>, antes de los adjuntos.</w:t>
      </w:r>
    </w:p>
    <w:p>
      <w:pPr>
        <w:spacing w:before="240" w:after="120"/>
      </w:pPr>
      <w:r>
        <w:rPr>
          <w:rFonts w:ascii="Inter" w:hAnsi="Inter" w:cs="Inter"/>
          <w:b/>
          <w:i w:val="0"/>
          <w:color w:val="1C1E2E"/>
          <w:sz w:val="26"/>
        </w:rPr>
        <w:t>2.3 «él necesitaría codirección» es ambiguo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Puede leerse como que Ricardo exige que haya codirección, o como que él solo participaría en calidad de codirector. Es lo segundo. </w:t>
      </w:r>
      <w:r>
        <w:rPr>
          <w:rFonts w:ascii="Inter" w:hAnsi="Inter" w:cs="Inter"/>
          <w:b/>
          <w:i w:val="0"/>
          <w:color w:val="1C1E2E"/>
          <w:sz w:val="22"/>
        </w:rPr>
        <w:t>Dilo explícito</w:t>
      </w:r>
      <w:r>
        <w:rPr>
          <w:rFonts w:ascii="Inter" w:hAnsi="Inter" w:cs="Inter"/>
          <w:b w:val="0"/>
          <w:i w:val="0"/>
          <w:color w:val="1C1E2E"/>
          <w:sz w:val="22"/>
        </w:rPr>
        <w:t>: «participaría como codirector, contigo como directora».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3 · 🟡 Dos cosas que ganarías añadiendo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Qué gana ella.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Está implícito («nace del trabajo que hice contigo») pero puede decirse en media frase: la tesis </w:t>
      </w:r>
      <w:r>
        <w:rPr>
          <w:rFonts w:ascii="Inter" w:hAnsi="Inter" w:cs="Inter"/>
          <w:b/>
          <w:i w:val="0"/>
          <w:color w:val="1C1E2E"/>
          <w:sz w:val="22"/>
        </w:rPr>
        <w:t>prolonga su línea de metadiscurso a un dominio nuevo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—la evaluación multimodal y la escritura asistida por LLM— y usa </w:t>
      </w:r>
      <w:r>
        <w:rPr>
          <w:rFonts w:ascii="Inter" w:hAnsi="Inter" w:cs="Inter"/>
          <w:b/>
          <w:i w:val="0"/>
          <w:color w:val="1C1E2E"/>
          <w:sz w:val="22"/>
        </w:rPr>
        <w:t>METOOL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como instrumento. Para una directora, ver su propia línea continuada pesa.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Facilita el encuentro.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«¿Podríamos vernos en septiembre?» obliga a Marisa a proponer. </w:t>
      </w:r>
      <w:r>
        <w:rPr>
          <w:rFonts w:ascii="Inter" w:hAnsi="Inter" w:cs="Inter"/>
          <w:b/>
          <w:i w:val="0"/>
          <w:color w:val="1C1E2E"/>
          <w:sz w:val="22"/>
        </w:rPr>
        <w:t>Ofrece tú dos o tres franjas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y añade que te adaptas: quita fricción y acelera, que es lo que necesitas con el 15 de octubre encima.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4 · ✅ Lo que está bien y no conviene tocar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El anclaje en el TFM.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«Nace directamente del trabajo que hice contigo en el máster» es el mejor argumento del correo. Va pronto y en su sitio.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El manejo de la codirección.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Transparente, sin presentar nada como hecho consumado, y con la decisión explícitamente en sus manos. Es exactamente la etiqueta correcta.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La cohorte de ~300.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Desactiva de entrada la objeción práctica que más pesa: dónde vas a conseguir participantes.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El TFM con sus correcciones ya incorporadas.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Señal de que trabajas rápido y aceptas revisión. Mantenlo.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«Sin ninguna prisa por tu parte»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después de dar la fecha límite. Da la información sin cargarla sobre ella.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/>
          <w:i w:val="0"/>
          <w:color w:val="1C1E2E"/>
          <w:sz w:val="22"/>
        </w:rPr>
        <w:t>El tono.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Cercano y profesional, coherente con haber sido su alumna de máster.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32"/>
        </w:rPr>
        <w:t>5 · Antes de darle a enviar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☐ 🔴 Corregir </w:t>
      </w:r>
      <w:r>
        <w:rPr>
          <w:rFonts w:ascii="Inter" w:hAnsi="Inter" w:cs="Inter"/>
          <w:b/>
          <w:i w:val="0"/>
          <w:color w:val="1C1E2E"/>
          <w:sz w:val="22"/>
        </w:rPr>
        <w:t>Multimodal Language Learning Design &amp; Evaluation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en el correo </w:t>
      </w:r>
      <w:r>
        <w:rPr>
          <w:rFonts w:ascii="Inter" w:hAnsi="Inter" w:cs="Inter"/>
          <w:b/>
          <w:i w:val="0"/>
          <w:color w:val="1C1E2E"/>
          <w:sz w:val="22"/>
        </w:rPr>
        <w:t>y en el plan adjunto</w:t>
      </w:r>
      <w:r>
        <w:rPr>
          <w:rFonts w:ascii="Inter" w:hAnsi="Inter" w:cs="Inter"/>
          <w:b w:val="0"/>
          <w:i w:val="0"/>
          <w:color w:val="1C1E2E"/>
          <w:sz w:val="22"/>
        </w:rPr>
        <w:t>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☐ 🔴 Adjuntar la versión del plan </w:t>
      </w:r>
      <w:r>
        <w:rPr>
          <w:rFonts w:ascii="Inter" w:hAnsi="Inter" w:cs="Inter"/>
          <w:b/>
          <w:i w:val="0"/>
          <w:color w:val="1C1E2E"/>
          <w:sz w:val="22"/>
        </w:rPr>
        <w:t>con el acrónimo ya corregido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(y, si te da tiempo, con la modalidad decidida — el §8 está construido a 3 años).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>☐ 🟠 Partir el párrafo del artefacto en tres.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>☐ 🟠 Subir la codirección antes de los adjuntos y aclarar el papel de Ricardo.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>☐ 🟡 Añadir la continuidad de su línea y dos o tres franjas horarias.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>☐ Comprobar que los dos adjuntos van de verdad (plan + TFM corregido).</w:t>
      </w:r>
    </w:p>
    <w:p>
      <w:pPr>
        <w:pStyle w:val="ListBullet"/>
        <w:spacing w:after="60"/>
        <w:ind w:left="403"/>
      </w:pPr>
      <w:r>
        <w:rPr>
          <w:rFonts w:ascii="Inter" w:hAnsi="Inter" w:cs="Inter"/>
          <w:b w:val="0"/>
          <w:i w:val="0"/>
          <w:color w:val="1C1E2E"/>
          <w:sz w:val="22"/>
        </w:rPr>
        <w:t xml:space="preserve">☐ Si quieres, añade tu </w:t>
      </w:r>
      <w:r>
        <w:rPr>
          <w:rFonts w:ascii="Inter" w:hAnsi="Inter" w:cs="Inter"/>
          <w:b/>
          <w:i w:val="0"/>
          <w:color w:val="1C1E2E"/>
          <w:sz w:val="22"/>
        </w:rPr>
        <w:t>ORCID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a la firma: .</w:t>
      </w:r>
    </w:p>
    <w:p>
      <w:pPr>
        <w:pBdr>
          <w:bottom w:val="single" w:sz="6" w:space="1" w:color="E6E8F2"/>
        </w:pBdr>
      </w:pPr>
    </w:p>
    <w:p>
      <w:pPr>
        <w:spacing w:before="320" w:after="120"/>
      </w:pPr>
      <w:r>
        <w:rPr>
          <w:rFonts w:ascii="Fraunces" w:hAnsi="Fraunces" w:cs="Fraunces"/>
          <w:b/>
          <w:i w:val="0"/>
          <w:color w:val="22307C"/>
          <w:sz w:val="42"/>
        </w:rPr>
        <w:t>Versión revisada — lista para enviar</w:t>
      </w:r>
    </w:p>
    <w:p>
      <w:pPr>
        <w:pBdr>
          <w:left w:val="single" w:sz="18" w:space="8" w:color="9A5B00"/>
        </w:pBdr>
        <w:spacing w:before="120" w:after="200"/>
        <w:ind w:left="317"/>
      </w:pPr>
      <w:r>
        <w:rPr>
          <w:rFonts w:ascii="Inter" w:hAnsi="Inter" w:cs="Inter"/>
          <w:b w:val="0"/>
          <w:i w:val="0"/>
          <w:color w:val="5B5F77"/>
          <w:sz w:val="21"/>
        </w:rPr>
        <w:t>Cambios aplicados: acrónimo corregido · párrafo del artefacto partido en tres · codirección subida y aclarada · continuidad de su línea explícita · franjas horarias ofrecidas. Sustituye los corchetes por tus datos.</w:t>
      </w:r>
    </w:p>
    <w:p>
      <w:pPr>
        <w:pBdr>
          <w:bottom w:val="single" w:sz="6" w:space="1" w:color="E6E8F2"/>
        </w:pBdr>
      </w:pPr>
    </w:p>
    <w:p>
      <w:r>
        <w:rPr>
          <w:rFonts w:ascii="Inter" w:hAnsi="Inter" w:cs="Inter"/>
          <w:b/>
          <w:i w:val="0"/>
          <w:color w:val="1C1E2E"/>
          <w:sz w:val="22"/>
        </w:rPr>
        <w:t>Asunto: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Propuesta de tesis doctoral — dirección (convocatoria 2026-27)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>Estimada Marisa: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>Espero que hayas tenido un buen verano.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>Te escribo porque estoy preparando mi solicitud al programa de doctorado en Lenguas, Literaturas y Culturas y sus Aplicaciones para la convocatoria 2026-27, y me encantaría proponerte la dirección de la tesis.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La línea es </w:t>
      </w:r>
      <w:r>
        <w:rPr>
          <w:rFonts w:ascii="Inter" w:hAnsi="Inter" w:cs="Inter"/>
          <w:b/>
          <w:i w:val="0"/>
          <w:color w:val="1C1E2E"/>
          <w:sz w:val="22"/>
        </w:rPr>
        <w:t>MLLDE (</w:t>
      </w:r>
      <w:r>
        <w:rPr>
          <w:rFonts w:ascii="Inter" w:hAnsi="Inter" w:cs="Inter"/>
          <w:b/>
          <w:i/>
          <w:color w:val="1C1E2E"/>
          <w:sz w:val="22"/>
        </w:rPr>
        <w:t>Multimodal Language Learning Design &amp; Evaluation</w:t>
      </w:r>
      <w:r>
        <w:rPr>
          <w:rFonts w:ascii="Inter" w:hAnsi="Inter" w:cs="Inter"/>
          <w:b/>
          <w:i w:val="0"/>
          <w:color w:val="1C1E2E"/>
          <w:sz w:val="22"/>
        </w:rPr>
        <w:t>)</w:t>
      </w:r>
      <w:r>
        <w:rPr>
          <w:rFonts w:ascii="Inter" w:hAnsi="Inter" w:cs="Inter"/>
          <w:b w:val="0"/>
          <w:i w:val="0"/>
          <w:color w:val="1C1E2E"/>
          <w:sz w:val="22"/>
        </w:rPr>
        <w:t>: un entorno de diseño y medición, anclado al MCER, para aplicaciones de lenguas mobile-native, que integra la tutoría conversacional responsable con LLM en el diseño curricular y trata la alfabetización en IA como un resultado de aprendizaje. Nace directamente del trabajo que hice contigo en el máster: su primera aportación —escritura y alfabetización en IA— continúa la línea de metadiscurso de mi TFM (el Objetivo 4), de donde viene la dimensión pragmático-discursiva del marco. En cierto modo, la tesis lleva esa línea a un terreno nuevo —la escritura asistida por LLM y su medición— con METOOL como instrumento.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Durante el doctorado, el artefacto que se construiría y evaluaría sería una </w:t>
      </w:r>
      <w:r>
        <w:rPr>
          <w:rFonts w:ascii="Inter" w:hAnsi="Inter" w:cs="Inter"/>
          <w:b/>
          <w:i w:val="0"/>
          <w:color w:val="1C1E2E"/>
          <w:sz w:val="22"/>
        </w:rPr>
        <w:t>app mobile-native de inglés académico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—</w:t>
      </w:r>
      <w:r>
        <w:rPr>
          <w:rFonts w:ascii="Inter" w:hAnsi="Inter" w:cs="Inter"/>
          <w:b w:val="0"/>
          <w:i/>
          <w:color w:val="1C1E2E"/>
          <w:sz w:val="22"/>
        </w:rPr>
        <w:t>Academic Writing Journey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llevado a móvil— con un modo voz y un sistema de evaluación de la pronunciación medible en xAPI y alineado al MCER. Es la segunda aportación: </w:t>
      </w:r>
      <w:r>
        <w:rPr>
          <w:rFonts w:ascii="Inter" w:hAnsi="Inter" w:cs="Inter"/>
          <w:b w:val="0"/>
          <w:i/>
          <w:color w:val="1C1E2E"/>
          <w:sz w:val="22"/>
        </w:rPr>
        <w:t>Architecture Voice Design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y el </w:t>
      </w:r>
      <w:r>
        <w:rPr>
          <w:rFonts w:ascii="Inter" w:hAnsi="Inter" w:cs="Inter"/>
          <w:b w:val="0"/>
          <w:i/>
          <w:color w:val="1C1E2E"/>
          <w:sz w:val="22"/>
        </w:rPr>
        <w:t>Measurement Module</w:t>
      </w:r>
      <w:r>
        <w:rPr>
          <w:rFonts w:ascii="Inter" w:hAnsi="Inter" w:cs="Inter"/>
          <w:b w:val="0"/>
          <w:i w:val="0"/>
          <w:color w:val="1C1E2E"/>
          <w:sz w:val="22"/>
        </w:rPr>
        <w:t>.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>Para el testeo contaría con una cohorte amplia de estudiantes de inglés, de unos 300 al año, a la que tendría acceso a través del Prof. Casañ-Pitarch: una muestra ecológicamente válida y suficiente. El español (</w:t>
      </w:r>
      <w:r>
        <w:rPr>
          <w:rFonts w:ascii="Inter" w:hAnsi="Inter" w:cs="Inter"/>
          <w:b w:val="0"/>
          <w:i/>
          <w:color w:val="1C1E2E"/>
          <w:sz w:val="22"/>
        </w:rPr>
        <w:t>Language Passport</w:t>
      </w:r>
      <w:r>
        <w:rPr>
          <w:rFonts w:ascii="Inter" w:hAnsi="Inter" w:cs="Inter"/>
          <w:b w:val="0"/>
          <w:i w:val="0"/>
          <w:color w:val="1C1E2E"/>
          <w:sz w:val="22"/>
        </w:rPr>
        <w:t>) quedaría para la fase de replicación.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>El marco no parte de cero: ya tiene instancias funcionales y una aplicación en industria que funciona de extremo a extremo, emitiendo evidencia a un LRS real.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Comenté también la idea con Ricardo Casañ-Pitarch, porque el ciclo IPO y el CLIL gamificado sostienen la estructura de las lecciones —y, además, facilitaría el acceso a esa cohorte de inglés para el testeo—. Me ha respondido que le encantaría participar, pero como </w:t>
      </w:r>
      <w:r>
        <w:rPr>
          <w:rFonts w:ascii="Inter" w:hAnsi="Inter" w:cs="Inter"/>
          <w:b/>
          <w:i w:val="0"/>
          <w:color w:val="1C1E2E"/>
          <w:sz w:val="22"/>
        </w:rPr>
        <w:t>codirector, contigo como directora</w:t>
      </w:r>
      <w:r>
        <w:rPr>
          <w:rFonts w:ascii="Inter" w:hAnsi="Inter" w:cs="Inter"/>
          <w:b w:val="0"/>
          <w:i w:val="0"/>
          <w:color w:val="1C1E2E"/>
          <w:sz w:val="22"/>
        </w:rPr>
        <w:t>, y me remite a ti para decidirlo. Así que la decisión sobre la dirección —en solitario o en codirección— la dejo enteramente en tus manos.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>Te adjunto el plan de investigación por si quieres verlo antes de hablar. Aprovecho también para reenviarte el TFM con las correcciones que me indicaste ya incorporadas (numeración arábiga, referencias a las figuras, reordenación del marco teórico y alineación de objetivos y preguntas con los resultados), por si te viene bien tenerlo cerrado.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¿Podríamos vernos en septiembre para comentarlo? Por si te sirve, me viene bien </w:t>
      </w:r>
      <w:r>
        <w:rPr>
          <w:rFonts w:ascii="Inter" w:hAnsi="Inter" w:cs="Inter"/>
          <w:b/>
          <w:i w:val="0"/>
          <w:color w:val="1C1E2E"/>
          <w:sz w:val="22"/>
        </w:rPr>
        <w:t>[día] por la [mañana/tarde]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o </w:t>
      </w:r>
      <w:r>
        <w:rPr>
          <w:rFonts w:ascii="Inter" w:hAnsi="Inter" w:cs="Inter"/>
          <w:b/>
          <w:i w:val="0"/>
          <w:color w:val="1C1E2E"/>
          <w:sz w:val="22"/>
        </w:rPr>
        <w:t>[día] a partir de las [hora]</w:t>
      </w:r>
      <w:r>
        <w:rPr>
          <w:rFonts w:ascii="Inter" w:hAnsi="Inter" w:cs="Inter"/>
          <w:b w:val="0"/>
          <w:i w:val="0"/>
          <w:color w:val="1C1E2E"/>
          <w:sz w:val="22"/>
        </w:rPr>
        <w:t>, pero me adapto sin problema a lo que mejor te venga, presencial o por videollamada. La preinscripción cierra el 15 de octubre, así que me vendría bien una primera conversación pronto, sin ninguna prisa por tu parte.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>Muchas gracias por tu tiempo.</w:t>
      </w:r>
    </w:p>
    <w:p>
      <w:r>
        <w:rPr>
          <w:rFonts w:ascii="Inter" w:hAnsi="Inter" w:cs="Inter"/>
          <w:b w:val="0"/>
          <w:i w:val="0"/>
          <w:color w:val="1C1E2E"/>
          <w:sz w:val="22"/>
        </w:rPr>
        <w:t xml:space="preserve">Un cordial saludo, </w:t>
      </w:r>
      <w:r>
        <w:rPr>
          <w:rFonts w:ascii="Inter" w:hAnsi="Inter" w:cs="Inter"/>
          <w:b/>
          <w:i w:val="0"/>
          <w:color w:val="1C1E2E"/>
          <w:sz w:val="22"/>
        </w:rPr>
        <w:t>Ana Eslava-Graterol</w:t>
      </w:r>
      <w:r>
        <w:rPr>
          <w:rFonts w:ascii="Inter" w:hAnsi="Inter" w:cs="Inter"/>
          <w:b w:val="0"/>
          <w:i w:val="0"/>
          <w:color w:val="1C1E2E"/>
          <w:sz w:val="22"/>
        </w:rPr>
        <w:t xml:space="preserve"> [teléfono] · profeanaeslava@gmail.com ORCID: https://orcid.org/0000-0002-8076-1189</w:t>
      </w:r>
    </w:p>
    <w:p>
      <w:pPr>
        <w:pBdr>
          <w:bottom w:val="single" w:sz="6" w:space="1" w:color="E6E8F2"/>
        </w:pBdr>
      </w:pPr>
    </w:p>
    <w:p>
      <w:r>
        <w:rPr>
          <w:rFonts w:ascii="Inter" w:hAnsi="Inter" w:cs="Inter"/>
          <w:b w:val="0"/>
          <w:i/>
          <w:color w:val="1C1E2E"/>
          <w:sz w:val="22"/>
        </w:rPr>
        <w:t>© 2026 Ana Eslava-Graterol. Revisión elaborada con asistencia de IA bajo supervisión y verificación humanas.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Inter" w:hAnsi="Inter"/>
      <w:color w:val="1C1E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