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42"/>
        </w:rPr>
        <w:t>Revisión del Plan de Investigación</w:t>
      </w:r>
    </w:p>
    <w:p>
      <w:r>
        <w:rPr>
          <w:rFonts w:ascii="Inter" w:hAnsi="Inter" w:cs="Inter"/>
          <w:b/>
          <w:i w:val="0"/>
          <w:color w:val="1C1E2E"/>
          <w:sz w:val="22"/>
        </w:rPr>
        <w:t>Documento revisado: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</w:t>
      </w:r>
      <w:r>
        <w:rPr>
          <w:rFonts w:ascii="Inter" w:hAnsi="Inter" w:cs="Inter"/>
          <w:b w:val="0"/>
          <w:i/>
          <w:color w:val="1C1E2E"/>
          <w:sz w:val="22"/>
        </w:rPr>
        <w:t>Plan de Investigación — MLLDE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· versión 08/08/2026 · plantilla de nueve apartados de la UPV </w:t>
      </w:r>
      <w:r>
        <w:rPr>
          <w:rFonts w:ascii="Inter" w:hAnsi="Inter" w:cs="Inter"/>
          <w:b/>
          <w:i w:val="0"/>
          <w:color w:val="1C1E2E"/>
          <w:sz w:val="22"/>
        </w:rPr>
        <w:t>Programa: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Doctorado en </w:t>
      </w:r>
      <w:r>
        <w:rPr>
          <w:rFonts w:ascii="Inter" w:hAnsi="Inter" w:cs="Inter"/>
          <w:b/>
          <w:i w:val="0"/>
          <w:color w:val="1C1E2E"/>
          <w:sz w:val="22"/>
        </w:rPr>
        <w:t>Lenguas, Literaturas y Culturas, y sus Aplicaciones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Departamento de Lingüística Aplicada, UPV </w:t>
      </w:r>
      <w:r>
        <w:rPr>
          <w:rFonts w:ascii="Inter" w:hAnsi="Inter" w:cs="Inter"/>
          <w:b/>
          <w:i w:val="0"/>
          <w:color w:val="1C1E2E"/>
          <w:sz w:val="22"/>
        </w:rPr>
        <w:t>Directora: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Prof.ª Mª Luisa Carrió-Pastor · </w:t>
      </w:r>
      <w:r>
        <w:rPr>
          <w:rFonts w:ascii="Inter" w:hAnsi="Inter" w:cs="Inter"/>
          <w:b/>
          <w:i w:val="0"/>
          <w:color w:val="1C1E2E"/>
          <w:sz w:val="22"/>
        </w:rPr>
        <w:t>Codirector: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Prof. Ricardo Casañ-Pitarch</w:t>
      </w:r>
    </w:p>
    <w:p>
      <w:pPr>
        <w:pBdr>
          <w:left w:val="single" w:sz="18" w:space="8" w:color="9A5B00"/>
        </w:pBdr>
        <w:spacing w:before="120" w:after="200"/>
        <w:ind w:left="317"/>
      </w:pPr>
      <w:r>
        <w:rPr>
          <w:rFonts w:ascii="Inter" w:hAnsi="Inter" w:cs="Inter"/>
          <w:b/>
          <w:i w:val="0"/>
          <w:color w:val="5B5F77"/>
          <w:sz w:val="21"/>
        </w:rPr>
        <w:t>Qué es esta revisión.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 El plan es tuyo y está bien construido: cubre los nueve apartados, el estado del arte es actual y denso, y tiene dos cosas que la mayoría de los planes doctorales no tienen — un artefacto </w:t>
      </w:r>
      <w:r>
        <w:rPr>
          <w:rFonts w:ascii="Inter" w:hAnsi="Inter" w:cs="Inter"/>
          <w:b/>
          <w:i w:val="0"/>
          <w:color w:val="5B5F77"/>
          <w:sz w:val="21"/>
        </w:rPr>
        <w:t>ya en producción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 y una </w:t>
      </w:r>
      <w:r>
        <w:rPr>
          <w:rFonts w:ascii="Inter" w:hAnsi="Inter" w:cs="Inter"/>
          <w:b/>
          <w:i w:val="0"/>
          <w:color w:val="5B5F77"/>
          <w:sz w:val="21"/>
        </w:rPr>
        <w:t>cohorte de participantes resuelta</w:t>
      </w:r>
      <w:r>
        <w:rPr>
          <w:rFonts w:ascii="Inter" w:hAnsi="Inter" w:cs="Inter"/>
          <w:b w:val="0"/>
          <w:i w:val="0"/>
          <w:color w:val="5B5F77"/>
          <w:sz w:val="21"/>
        </w:rPr>
        <w:t>. Esta revisión no lo reescribe: señala las incoherencias que un tribunal detectaría y los puntos donde el plan se vende por debajo de lo que puedes acreditar.</w:t>
      </w:r>
    </w:p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>1 · 🔴 Lo que hay que corregir antes de presentarlo</w:t>
      </w:r>
    </w:p>
    <w:p>
      <w:pPr>
        <w:spacing w:before="240" w:after="120"/>
      </w:pPr>
      <w:r>
        <w:rPr>
          <w:rFonts w:ascii="Inter" w:hAnsi="Inter" w:cs="Inter"/>
          <w:b/>
          <w:i w:val="0"/>
          <w:color w:val="1C1E2E"/>
          <w:sz w:val="26"/>
        </w:rPr>
        <w:t>1.1 El acrónimo, en el propio título</w:t>
      </w:r>
    </w:p>
    <w:p>
      <w:r>
        <w:rPr>
          <w:rFonts w:ascii="Inter" w:hAnsi="Inter" w:cs="Inter"/>
          <w:b w:val="0"/>
          <w:i w:val="0"/>
          <w:color w:val="1C1E2E"/>
          <w:sz w:val="22"/>
        </w:rPr>
        <w:t xml:space="preserve">El plan (08/08) define </w:t>
      </w:r>
      <w:r>
        <w:rPr>
          <w:rFonts w:ascii="Inter" w:hAnsi="Inter" w:cs="Inter"/>
          <w:b/>
          <w:i w:val="0"/>
          <w:color w:val="1C1E2E"/>
          <w:sz w:val="22"/>
        </w:rPr>
        <w:t>MLLDE = *Mobile Language Learning Design Environment</w:t>
      </w:r>
      <w:r>
        <w:rPr>
          <w:rFonts w:ascii="Inter" w:hAnsi="Inter" w:cs="Inter"/>
          <w:b w:val="0"/>
          <w:i/>
          <w:color w:val="1C1E2E"/>
          <w:sz w:val="22"/>
        </w:rPr>
        <w:t xml:space="preserve">. Tu documento técnico posterior (05/09) lo define como </w:t>
      </w:r>
      <w:r>
        <w:rPr>
          <w:rFonts w:ascii="Inter" w:hAnsi="Inter" w:cs="Inter"/>
          <w:b/>
          <w:i w:val="0"/>
          <w:color w:val="1C1E2E"/>
          <w:sz w:val="22"/>
        </w:rPr>
        <w:t>Multimodal Language Learning Design &amp; Evaluation</w:t>
      </w:r>
      <w:r>
        <w:rPr>
          <w:rFonts w:ascii="Inter" w:hAnsi="Inter" w:cs="Inter"/>
          <w:b w:val="0"/>
          <w:i w:val="0"/>
          <w:color w:val="1C1E2E"/>
          <w:sz w:val="22"/>
        </w:rPr>
        <w:t>*, y confirmaste que «Mobile» es un error.</w:t>
      </w:r>
    </w:p>
    <w:p>
      <w:r>
        <w:rPr>
          <w:rFonts w:ascii="Inter" w:hAnsi="Inter" w:cs="Inter"/>
          <w:b w:val="0"/>
          <w:i w:val="0"/>
          <w:color w:val="1C1E2E"/>
          <w:sz w:val="22"/>
        </w:rPr>
        <w:t xml:space="preserve">Está en el </w:t>
      </w:r>
      <w:r>
        <w:rPr>
          <w:rFonts w:ascii="Inter" w:hAnsi="Inter" w:cs="Inter"/>
          <w:b/>
          <w:i w:val="0"/>
          <w:color w:val="1C1E2E"/>
          <w:sz w:val="22"/>
        </w:rPr>
        <w:t>título del apartado 1</w:t>
      </w:r>
      <w:r>
        <w:rPr>
          <w:rFonts w:ascii="Inter" w:hAnsi="Inter" w:cs="Inter"/>
          <w:b w:val="0"/>
          <w:i w:val="0"/>
          <w:color w:val="1C1E2E"/>
          <w:sz w:val="22"/>
        </w:rPr>
        <w:t>, en la guía de lectura, en el resumen, en el árbol del §3.4 y en el encabezado del §3.4. Hay que unificarlo.</w:t>
      </w:r>
    </w:p>
    <w:p>
      <w:r>
        <w:rPr>
          <w:rFonts w:ascii="Inter" w:hAnsi="Inter" w:cs="Inter"/>
          <w:b/>
          <w:i w:val="0"/>
          <w:color w:val="1C1E2E"/>
          <w:sz w:val="22"/>
        </w:rPr>
        <w:t>Lo que no se pierde al cambiarlo.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«Mobile-native» es tu </w:t>
      </w:r>
      <w:r>
        <w:rPr>
          <w:rFonts w:ascii="Inter" w:hAnsi="Inter" w:cs="Inter"/>
          <w:b/>
          <w:i w:val="0"/>
          <w:color w:val="1C1E2E"/>
          <w:sz w:val="22"/>
        </w:rPr>
        <w:t>afirmación de entrega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y aparece por todo el plan con argumento propio (PWA sin conexión, lecciones breves, no e-learning encogido). Esa afirmación </w:t>
      </w:r>
      <w:r>
        <w:rPr>
          <w:rFonts w:ascii="Inter" w:hAnsi="Inter" w:cs="Inter"/>
          <w:b/>
          <w:i w:val="0"/>
          <w:color w:val="1C1E2E"/>
          <w:sz w:val="22"/>
        </w:rPr>
        <w:t>sobrevive intacta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: </w:t>
      </w:r>
      <w:r>
        <w:rPr>
          <w:rFonts w:ascii="Inter" w:hAnsi="Inter" w:cs="Inter"/>
          <w:b w:val="0"/>
          <w:i/>
          <w:color w:val="1C1E2E"/>
          <w:sz w:val="22"/>
        </w:rPr>
        <w:t>Multimodal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describe el alcance del diseño y la evaluación —escritura y habla, texto y voz—, y </w:t>
      </w:r>
      <w:r>
        <w:rPr>
          <w:rFonts w:ascii="Inter" w:hAnsi="Inter" w:cs="Inter"/>
          <w:b w:val="0"/>
          <w:i/>
          <w:color w:val="1C1E2E"/>
          <w:sz w:val="22"/>
        </w:rPr>
        <w:t>mobile-native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describe el medio. De hecho encajan mejor así, porque el plan tiene </w:t>
      </w:r>
      <w:r>
        <w:rPr>
          <w:rFonts w:ascii="Inter" w:hAnsi="Inter" w:cs="Inter"/>
          <w:b/>
          <w:i w:val="0"/>
          <w:color w:val="1C1E2E"/>
          <w:sz w:val="22"/>
        </w:rPr>
        <w:t>dos modalidades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(escritura y habla) y el nombre anterior solo nombraba el dispositivo.</w:t>
      </w:r>
    </w:p>
    <w:p>
      <w:r>
        <w:rPr>
          <w:rFonts w:ascii="Inter" w:hAnsi="Inter" w:cs="Inter"/>
          <w:b/>
          <w:i w:val="0"/>
          <w:color w:val="1C1E2E"/>
          <w:sz w:val="22"/>
        </w:rPr>
        <w:t>Título propuesto:</w:t>
      </w:r>
    </w:p>
    <w:p>
      <w:pPr>
        <w:pBdr>
          <w:left w:val="single" w:sz="18" w:space="8" w:color="9A5B00"/>
        </w:pBdr>
        <w:spacing w:before="120" w:after="200"/>
        <w:ind w:left="317"/>
      </w:pPr>
      <w:r>
        <w:rPr>
          <w:rFonts w:ascii="Inter" w:hAnsi="Inter" w:cs="Inter"/>
          <w:b w:val="0"/>
          <w:i w:val="0"/>
          <w:color w:val="5B5F77"/>
          <w:sz w:val="21"/>
        </w:rPr>
        <w:t xml:space="preserve">Enseñar lenguas en la era de los LLM — El </w:t>
      </w:r>
      <w:r>
        <w:rPr>
          <w:rFonts w:ascii="Inter" w:hAnsi="Inter" w:cs="Inter"/>
          <w:b/>
          <w:i w:val="0"/>
          <w:color w:val="5B5F77"/>
          <w:sz w:val="21"/>
        </w:rPr>
        <w:t>Multimodal Language Learning Design &amp; Evaluation (MLLDE)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: un marco ético de diseño y medición, con alfabetización en IA, para apps de lenguas </w:t>
      </w:r>
      <w:r>
        <w:rPr>
          <w:rFonts w:ascii="Inter" w:hAnsi="Inter" w:cs="Inter"/>
          <w:b/>
          <w:i w:val="0"/>
          <w:color w:val="5B5F77"/>
          <w:sz w:val="21"/>
        </w:rPr>
        <w:t>mobile-native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 que desarrollan la escritura y el habla.</w:t>
      </w:r>
    </w:p>
    <w:p>
      <w:pPr>
        <w:spacing w:before="240" w:after="120"/>
      </w:pPr>
      <w:r>
        <w:rPr>
          <w:rFonts w:ascii="Inter" w:hAnsi="Inter" w:cs="Inter"/>
          <w:b/>
          <w:i w:val="0"/>
          <w:color w:val="1C1E2E"/>
          <w:sz w:val="26"/>
        </w:rPr>
        <w:t>1.2 Modalidad y duración — ✅ decidido: tiempo completo, 3 años</w:t>
      </w:r>
    </w:p>
    <w:p>
      <w:r>
        <w:rPr>
          <w:rFonts w:ascii="Inter" w:hAnsi="Inter" w:cs="Inter"/>
          <w:b/>
          <w:i w:val="0"/>
          <w:color w:val="1C1E2E"/>
          <w:sz w:val="22"/>
        </w:rPr>
        <w:t>Decisión tomada: tiempo completo, tres años.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Hay que sustituir el corchete </w:t>
      </w:r>
      <w:r>
        <w:rPr>
          <w:rFonts w:ascii="Consolas" w:hAnsi="Consolas" w:cs="Consolas"/>
          <w:b w:val="0"/>
          <w:i w:val="0"/>
          <w:color w:val="5B5F77"/>
          <w:sz w:val="21"/>
        </w:rPr>
        <w:t>[tiempo completo 3 años / parcial 5 años — a confirmar]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del encabezado por la modalidad definitiva, y </w:t>
      </w:r>
      <w:r>
        <w:rPr>
          <w:rFonts w:ascii="Inter" w:hAnsi="Inter" w:cs="Inter"/>
          <w:b/>
          <w:i w:val="0"/>
          <w:color w:val="1C1E2E"/>
          <w:sz w:val="22"/>
        </w:rPr>
        <w:t>quitar el paréntesis del §8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que extendía el cronograma a ~5 años: el calendario de tres años que ya tienes construido pasa a ser el compromiso, sin alternativa.</w:t>
      </w:r>
    </w:p>
    <w:p>
      <w:pPr>
        <w:pBdr>
          <w:left w:val="single" w:sz="18" w:space="8" w:color="9A5B00"/>
        </w:pBdr>
        <w:spacing w:before="120" w:after="200"/>
        <w:ind w:left="317"/>
      </w:pPr>
      <w:r>
        <w:rPr>
          <w:rFonts w:ascii="Inter" w:hAnsi="Inter" w:cs="Inter"/>
          <w:b w:val="0"/>
          <w:i w:val="0"/>
          <w:color w:val="5B5F77"/>
          <w:sz w:val="21"/>
        </w:rPr>
        <w:t xml:space="preserve">⚠️ </w:t>
      </w:r>
      <w:r>
        <w:rPr>
          <w:rFonts w:ascii="Inter" w:hAnsi="Inter" w:cs="Inter"/>
          <w:b/>
          <w:i w:val="0"/>
          <w:color w:val="5B5F77"/>
          <w:sz w:val="21"/>
        </w:rPr>
        <w:t>Consecuencia directa sobre §4 de esta revisión.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 Con tiempo completo desaparece el colchón que hacía defendible el alcance actual. Dos aportaciones, ocho objetivos, siete tareas y una replicación entre lenguas en tres años es mucho. </w:t>
      </w:r>
      <w:r>
        <w:rPr>
          <w:rFonts w:ascii="Inter" w:hAnsi="Inter" w:cs="Inter"/>
          <w:b/>
          <w:i w:val="0"/>
          <w:color w:val="5B5F77"/>
          <w:sz w:val="21"/>
        </w:rPr>
        <w:t>Ahora sí es necesario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 nombrar el núcleo en el resumen y marcar </w:t>
      </w:r>
      <w:r>
        <w:rPr>
          <w:rFonts w:ascii="Inter" w:hAnsi="Inter" w:cs="Inter"/>
          <w:b/>
          <w:i w:val="0"/>
          <w:color w:val="5B5F77"/>
          <w:sz w:val="21"/>
        </w:rPr>
        <w:t>T6 (replicación al español) como contingente</w:t>
      </w:r>
      <w:r>
        <w:rPr>
          <w:rFonts w:ascii="Inter" w:hAnsi="Inter" w:cs="Inter"/>
          <w:b w:val="0"/>
          <w:i w:val="0"/>
          <w:color w:val="5B5F77"/>
          <w:sz w:val="21"/>
        </w:rPr>
        <w:t>. No es cosmética: es lo que evita que el tribunal lea el cronograma como poco realista.</w:t>
      </w:r>
    </w:p>
    <w:p>
      <w:pPr>
        <w:spacing w:before="240" w:after="120"/>
      </w:pPr>
      <w:r>
        <w:rPr>
          <w:rFonts w:ascii="Inter" w:hAnsi="Inter" w:cs="Inter"/>
          <w:b/>
          <w:i w:val="0"/>
          <w:color w:val="1C1E2E"/>
          <w:sz w:val="26"/>
        </w:rPr>
        <w:t>1.3 Dos enlaces sin resolver en §3.3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TFM — RiuNet: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</w:t>
      </w:r>
      <w:r>
        <w:rPr>
          <w:rFonts w:ascii="Consolas" w:hAnsi="Consolas" w:cs="Consolas"/>
          <w:b w:val="0"/>
          <w:i w:val="0"/>
          <w:color w:val="5B5F77"/>
          <w:sz w:val="21"/>
        </w:rPr>
        <w:t>[pendiente]</w:t>
      </w:r>
      <w:r>
        <w:rPr>
          <w:rFonts w:ascii="Inter" w:hAnsi="Inter" w:cs="Inter"/>
          <w:b w:val="0"/>
          <w:i w:val="0"/>
          <w:color w:val="1C1E2E"/>
          <w:sz w:val="22"/>
        </w:rPr>
        <w:t>. Es el artefacto que sostiene toda la aportación ① y es el único de la tabla sin enlace público. Si RiuNet aún no lo ha publicado, pon la referencia completa y «en depósito».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Prototipo mobile-native: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</w:t>
      </w:r>
      <w:r>
        <w:rPr>
          <w:rFonts w:ascii="Consolas" w:hAnsi="Consolas" w:cs="Consolas"/>
          <w:b w:val="0"/>
          <w:i w:val="0"/>
          <w:color w:val="5B5F77"/>
          <w:sz w:val="21"/>
        </w:rPr>
        <w:t>[prototipo privado]</w:t>
      </w:r>
      <w:r>
        <w:rPr>
          <w:rFonts w:ascii="Inter" w:hAnsi="Inter" w:cs="Inter"/>
          <w:b w:val="0"/>
          <w:i w:val="0"/>
          <w:color w:val="1C1E2E"/>
          <w:sz w:val="22"/>
        </w:rPr>
        <w:t>. Un tribunal no puede evaluar lo que no ve. Opciones: un enlace de demostración con acceso restringido, o un anexo con capturas y un guion de recorrido de una página.</w:t>
      </w:r>
    </w:p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>2 · 🟠 Incoherencias con tu documentación oficial</w:t>
      </w:r>
    </w:p>
    <w:p>
      <w:r>
        <w:rPr>
          <w:rFonts w:ascii="Inter" w:hAnsi="Inter" w:cs="Inter"/>
          <w:b w:val="0"/>
          <w:i w:val="0"/>
          <w:color w:val="1C1E2E"/>
          <w:sz w:val="22"/>
        </w:rPr>
        <w:t xml:space="preserve">Estos datos aparecen en el §3.3 y </w:t>
      </w:r>
      <w:r>
        <w:rPr>
          <w:rFonts w:ascii="Inter" w:hAnsi="Inter" w:cs="Inter"/>
          <w:b/>
          <w:i w:val="0"/>
          <w:color w:val="1C1E2E"/>
          <w:sz w:val="22"/>
        </w:rPr>
        <w:t>no coinciden exactamente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con lo que dicen tus certificados. En un plan que se presenta junto al expediente, conviene que coincidan al carácter.</w:t>
      </w:r>
    </w:p>
    <w:tbl>
      <w:tblPr>
        <w:tblW w:type="auto" w:w="0"/>
        <w:jc w:val="left"/>
        <w:tblBorders>
          <w:top w:val="single" w:sz="4" w:space="0" w:color="E6E8F2"/>
          <w:left w:val="single" w:sz="4" w:space="0" w:color="E6E8F2"/>
          <w:bottom w:val="single" w:sz="4" w:space="0" w:color="E6E8F2"/>
          <w:right w:val="single" w:sz="4" w:space="0" w:color="E6E8F2"/>
          <w:insideH w:val="single" w:sz="4" w:space="0" w:color="E6E8F2"/>
          <w:insideV w:val="single" w:sz="4" w:space="0" w:color="E6E8F2"/>
        </w:tblBorders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En el plan</w:t>
            </w:r>
          </w:p>
        </w:tc>
        <w:tc>
          <w:tcPr>
            <w:tcW w:type="dxa" w:w="3216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En la documentación oficial</w:t>
            </w:r>
          </w:p>
        </w:tc>
        <w:tc>
          <w:tcPr>
            <w:tcW w:type="dxa" w:w="3216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Qué poner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«Licenciatura en Docencia y Educación (Inglés)»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Licenciada en Educación, mención Inglés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(título ULA y resolución del Ministerio)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La denominación oficial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«Universidad de Los Andes, </w:t>
            </w:r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Mérida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, Venezuela (2004)»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Estudios en el </w:t>
            </w:r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Núcleo Universitario «Dr. Pedro Rincón Gutiérrez», San Cristóbal, Táchira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; el rectorado de la ULA está en Mérida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«Universidad de Los Andes — Núcleo Táchira, San Cristóbal (Venezuela)»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«primera de su promoción (18,975/20 — 9,07/10)»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1.º de 56 graduandos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; promedio de la promoción 15,77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Añade «1.ª de 56» y el promedio de la promoción: el contraste es el dato fuerte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«mención honorífica» del TFG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20/20 Sobresaliente con Diploma de Honor del Rector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(15 nov. 2004)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La denominación exacta, que es más fuerte</w:t>
            </w:r>
          </w:p>
        </w:tc>
      </w:tr>
    </w:tbl>
    <w:p/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>3 · 🟡 Dónde el plan se vende por debajo de lo que puedes acreditar</w:t>
      </w:r>
    </w:p>
    <w:p>
      <w:r>
        <w:rPr>
          <w:rFonts w:ascii="Inter" w:hAnsi="Inter" w:cs="Inter"/>
          <w:b w:val="0"/>
          <w:i w:val="0"/>
          <w:color w:val="1C1E2E"/>
          <w:sz w:val="22"/>
        </w:rPr>
        <w:t xml:space="preserve">El §3.3 es el apartado donde la comisión juzga si la doctoranda puede llevar esto a término. Está bien, pero omite méritos que </w:t>
      </w:r>
      <w:r>
        <w:rPr>
          <w:rFonts w:ascii="Inter" w:hAnsi="Inter" w:cs="Inter"/>
          <w:b/>
          <w:i w:val="0"/>
          <w:color w:val="1C1E2E"/>
          <w:sz w:val="22"/>
        </w:rPr>
        <w:t>ya tienes documentados y apostillados</w:t>
      </w:r>
      <w:r>
        <w:rPr>
          <w:rFonts w:ascii="Inter" w:hAnsi="Inter" w:cs="Inter"/>
          <w:b w:val="0"/>
          <w:i w:val="0"/>
          <w:color w:val="1C1E2E"/>
          <w:sz w:val="22"/>
        </w:rPr>
        <w:t>. Son dos frases más: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Primer puesto de la promoción, apostillado.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1.º de 56 (18,97 frente a 15,77), Constancia de Rango Académico con certificación rectoral y </w:t>
      </w:r>
      <w:r>
        <w:rPr>
          <w:rFonts w:ascii="Inter" w:hAnsi="Inter" w:cs="Inter"/>
          <w:b/>
          <w:i w:val="0"/>
          <w:color w:val="1C1E2E"/>
          <w:sz w:val="22"/>
        </w:rPr>
        <w:t>Apostilla de La Haya</w:t>
      </w:r>
      <w:r>
        <w:rPr>
          <w:rFonts w:ascii="Inter" w:hAnsi="Inter" w:cs="Inter"/>
          <w:b w:val="0"/>
          <w:i w:val="0"/>
          <w:color w:val="1C1E2E"/>
          <w:sz w:val="22"/>
        </w:rPr>
        <w:t>. Es el mérito mejor documentado de todo tu expediente y no aparece.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Orden «Luis María Ribas Dávila», cuatro años consecutivos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(2000–2003) al más alto rendimiento académico de la Escuela de Educación. Convierte «primera de promoción» en excelencia sostenida.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1.568 horas de docencia universitaria certificadas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(UDO Nueva Esparta, 8 semestres, 2007–2010), incluida la docencia de </w:t>
      </w:r>
      <w:r>
        <w:rPr>
          <w:rFonts w:ascii="Inter" w:hAnsi="Inter" w:cs="Inter"/>
          <w:b/>
          <w:i w:val="0"/>
          <w:color w:val="1C1E2E"/>
          <w:sz w:val="22"/>
        </w:rPr>
        <w:t>Inglés Técnico a Biología Marina y Acuacultura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el mismo dominio en que redactabas y revisabas artículos para publicación. Y </w:t>
      </w:r>
      <w:r>
        <w:rPr>
          <w:rFonts w:ascii="Inter" w:hAnsi="Inter" w:cs="Inter"/>
          <w:b/>
          <w:i w:val="0"/>
          <w:color w:val="1C1E2E"/>
          <w:sz w:val="22"/>
        </w:rPr>
        <w:t>12 años de docencia de aula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en el Ministerio de Educación (2006–2019), verificables ante el Estado. El plan dice «más de 20 años»: las cifras certificadas son mucho más persuasivas.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Ponencia arbitrada en congreso internacional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(II CIES, Cumaná, 2008), derivada del mismo TFG que ya citas publicado. Cierra el ciclo investigador: defensa → publicación → congreso.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Dos becas de mérito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: Beca de Alto Rendimiento de la ULA (2003–04) y </w:t>
      </w:r>
      <w:r>
        <w:rPr>
          <w:rFonts w:ascii="Inter" w:hAnsi="Inter" w:cs="Inter"/>
          <w:b/>
          <w:i w:val="0"/>
          <w:color w:val="1C1E2E"/>
          <w:sz w:val="22"/>
        </w:rPr>
        <w:t>beca del Ministerio 2025/26 con componente de excelencia académica del tramo 9–9,49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esta última es, además, una certificación independiente de tu nota del máster.</w:t>
      </w:r>
    </w:p>
    <w:p>
      <w:r>
        <w:rPr>
          <w:rFonts w:ascii="Inter" w:hAnsi="Inter" w:cs="Inter"/>
          <w:b/>
          <w:i w:val="0"/>
          <w:color w:val="1C1E2E"/>
          <w:sz w:val="22"/>
        </w:rPr>
        <w:t>Enlace de la publicación.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Añade el repositorio de la UNAM junto al ISSN: </w:t>
      </w:r>
    </w:p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>4 · ⚠️ El riesgo de fondo: el plan es muy ancho</w:t>
      </w:r>
    </w:p>
    <w:p>
      <w:r>
        <w:rPr>
          <w:rFonts w:ascii="Inter" w:hAnsi="Inter" w:cs="Inter"/>
          <w:b w:val="0"/>
          <w:i w:val="0"/>
          <w:color w:val="1C1E2E"/>
          <w:sz w:val="22"/>
        </w:rPr>
        <w:t>Esto no es un error, es una decisión que conviene tomar de forma consciente.</w:t>
      </w:r>
    </w:p>
    <w:p>
      <w:r>
        <w:rPr>
          <w:rFonts w:ascii="Inter" w:hAnsi="Inter" w:cs="Inter"/>
          <w:b w:val="0"/>
          <w:i w:val="0"/>
          <w:color w:val="1C1E2E"/>
          <w:sz w:val="22"/>
        </w:rPr>
        <w:t xml:space="preserve">El plan sostiene </w:t>
      </w:r>
      <w:r>
        <w:rPr>
          <w:rFonts w:ascii="Inter" w:hAnsi="Inter" w:cs="Inter"/>
          <w:b/>
          <w:i w:val="0"/>
          <w:color w:val="1C1E2E"/>
          <w:sz w:val="22"/>
        </w:rPr>
        <w:t>dos aportaciones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(escritura/alfabetización en IA </w:t>
      </w:r>
      <w:r>
        <w:rPr>
          <w:rFonts w:ascii="Inter" w:hAnsi="Inter" w:cs="Inter"/>
          <w:b/>
          <w:i w:val="0"/>
          <w:color w:val="1C1E2E"/>
          <w:sz w:val="22"/>
        </w:rPr>
        <w:t>y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habla/pronunciación), </w:t>
      </w:r>
      <w:r>
        <w:rPr>
          <w:rFonts w:ascii="Inter" w:hAnsi="Inter" w:cs="Inter"/>
          <w:b/>
          <w:i w:val="0"/>
          <w:color w:val="1C1E2E"/>
          <w:sz w:val="22"/>
        </w:rPr>
        <w:t>ocho objetivos específicos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, </w:t>
      </w:r>
      <w:r>
        <w:rPr>
          <w:rFonts w:ascii="Inter" w:hAnsi="Inter" w:cs="Inter"/>
          <w:b/>
          <w:i w:val="0"/>
          <w:color w:val="1C1E2E"/>
          <w:sz w:val="22"/>
        </w:rPr>
        <w:t>siete tareas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y una </w:t>
      </w:r>
      <w:r>
        <w:rPr>
          <w:rFonts w:ascii="Inter" w:hAnsi="Inter" w:cs="Inter"/>
          <w:b/>
          <w:i w:val="0"/>
          <w:color w:val="1C1E2E"/>
          <w:sz w:val="22"/>
        </w:rPr>
        <w:t>replicación entre niveles y lenguas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(inglés académico → español A1–A2 vía Language Passport). Para tres años a tiempo completo, un tribunal puede leerlo como </w:t>
      </w:r>
      <w:r>
        <w:rPr>
          <w:rFonts w:ascii="Inter" w:hAnsi="Inter" w:cs="Inter"/>
          <w:b/>
          <w:i w:val="0"/>
          <w:color w:val="1C1E2E"/>
          <w:sz w:val="22"/>
        </w:rPr>
        <w:t>una tesis y media</w:t>
      </w:r>
      <w:r>
        <w:rPr>
          <w:rFonts w:ascii="Inter" w:hAnsi="Inter" w:cs="Inter"/>
          <w:b w:val="0"/>
          <w:i w:val="0"/>
          <w:color w:val="1C1E2E"/>
          <w:sz w:val="22"/>
        </w:rPr>
        <w:t>.</w:t>
      </w:r>
    </w:p>
    <w:p>
      <w:r>
        <w:rPr>
          <w:rFonts w:ascii="Inter" w:hAnsi="Inter" w:cs="Inter"/>
          <w:b/>
          <w:i w:val="0"/>
          <w:color w:val="1C1E2E"/>
          <w:sz w:val="22"/>
        </w:rPr>
        <w:t>Lo bueno: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el propio plan ya sabe dónde está el centro. Lo dice en §6: </w:t>
      </w:r>
      <w:r>
        <w:rPr>
          <w:rFonts w:ascii="Inter" w:hAnsi="Inter" w:cs="Inter"/>
          <w:b w:val="0"/>
          <w:i/>
          <w:color w:val="1C1E2E"/>
          <w:sz w:val="22"/>
        </w:rPr>
        <w:t>«durante el doctorado, esta app mobile-native de inglés académico —modo voz más su sistema de evaluación— es el artefacto principal que se construye y se evalúa»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. Y en §8 sitúa el Tier 3 (GOP a medida) como </w:t>
      </w:r>
      <w:r>
        <w:rPr>
          <w:rFonts w:ascii="Inter" w:hAnsi="Inter" w:cs="Inter"/>
          <w:b w:val="0"/>
          <w:i/>
          <w:color w:val="1C1E2E"/>
          <w:sz w:val="22"/>
        </w:rPr>
        <w:t>«la contribución fonémica del PhD»</w:t>
      </w:r>
      <w:r>
        <w:rPr>
          <w:rFonts w:ascii="Inter" w:hAnsi="Inter" w:cs="Inter"/>
          <w:b w:val="0"/>
          <w:i w:val="0"/>
          <w:color w:val="1C1E2E"/>
          <w:sz w:val="22"/>
        </w:rPr>
        <w:t>.</w:t>
      </w:r>
    </w:p>
    <w:p>
      <w:r>
        <w:rPr>
          <w:rFonts w:ascii="Inter" w:hAnsi="Inter" w:cs="Inter"/>
          <w:b/>
          <w:i w:val="0"/>
          <w:color w:val="1C1E2E"/>
          <w:sz w:val="22"/>
        </w:rPr>
        <w:t>Recomendación — subirlo a la superficie, no cambiar el contenido:</w:t>
      </w:r>
    </w:p>
    <w:p>
      <w:pPr>
        <w:pStyle w:val="ListNumber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Nombrar el núcleo en el resumen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, no solo en la metodología: la aportación central es el </w:t>
      </w:r>
      <w:r>
        <w:rPr>
          <w:rFonts w:ascii="Inter" w:hAnsi="Inter" w:cs="Inter"/>
          <w:b/>
          <w:i w:val="0"/>
          <w:color w:val="1C1E2E"/>
          <w:sz w:val="22"/>
        </w:rPr>
        <w:t>Measurement Module y los tres tiers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, con el Tier 3 como contribución profunda. La escritura / alfabetización en IA es la </w:t>
      </w:r>
      <w:r>
        <w:rPr>
          <w:rFonts w:ascii="Inter" w:hAnsi="Inter" w:cs="Inter"/>
          <w:b/>
          <w:i w:val="0"/>
          <w:color w:val="1C1E2E"/>
          <w:sz w:val="22"/>
        </w:rPr>
        <w:t>base empírica heredada del TFM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que da contexto y la primera instanciación (AWJ).</w:t>
      </w:r>
    </w:p>
    <w:p>
      <w:pPr>
        <w:pStyle w:val="ListNumber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Marcar T6 (replicación al español) como contingente</w:t>
      </w:r>
      <w:r>
        <w:rPr>
          <w:rFonts w:ascii="Inter" w:hAnsi="Inter" w:cs="Inter"/>
          <w:b w:val="0"/>
          <w:i w:val="0"/>
          <w:color w:val="1C1E2E"/>
          <w:sz w:val="22"/>
        </w:rPr>
        <w:t>, sujeto a que T1–T5 se cierren en plazo. Declararlo tú misma como ampliación deseable, no como compromiso, protege el cronograma sin restar ambición.</w:t>
      </w:r>
    </w:p>
    <w:p>
      <w:pPr>
        <w:pStyle w:val="ListNumber"/>
        <w:spacing w:after="60"/>
        <w:ind w:left="403"/>
      </w:pPr>
      <w:r>
        <w:rPr>
          <w:rFonts w:ascii="Inter" w:hAnsi="Inter" w:cs="Inter"/>
          <w:b w:val="0"/>
          <w:i w:val="0"/>
          <w:color w:val="1C1E2E"/>
          <w:sz w:val="22"/>
        </w:rPr>
        <w:t xml:space="preserve">~~Si eliges tiempo parcial (5 años), el alcance actual es defendible tal cual.~~ </w:t>
      </w:r>
      <w:r>
        <w:rPr>
          <w:rFonts w:ascii="Inter" w:hAnsi="Inter" w:cs="Inter"/>
          <w:b/>
          <w:i w:val="0"/>
          <w:color w:val="1C1E2E"/>
          <w:sz w:val="22"/>
        </w:rPr>
        <w:t>Descartado: la modalidad es tiempo completo, 3 años.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Los puntos 1 y 2 pasan de recomendables a necesarios.</w:t>
      </w:r>
    </w:p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>5 · ✅ Lo que está muy bien y conviene no tocar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El requisito de voz nace de un cliente real.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Que la necesidad del modo voz medible en xAPI surgiera de una petición real en tu práctica profesional es exactamente lo que la DBR pide —contextos auténticos— y lo dices explícitamente. Muchos planes fingen esto; el tuyo lo tiene.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Tier 1 en producción, con LRS vivo.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Distingue la propuesta de un estudio de laboratorio: la validez se contrastará contra evaluación humana experta sobre datos reales.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La cohorte está resuelta.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~300 aprendices al año a través del codirector elimina de un golpe el riesgo que hunde a la mayoría de los diseños cuasi-experimentales.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La política de honestidad de la evidencia.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</w:t>
      </w:r>
      <w:r>
        <w:rPr>
          <w:rFonts w:ascii="Inter" w:hAnsi="Inter" w:cs="Inter"/>
          <w:b w:val="0"/>
          <w:i/>
          <w:color w:val="1C1E2E"/>
          <w:sz w:val="22"/>
        </w:rPr>
        <w:t>Measure ≠ Decide</w:t>
      </w:r>
      <w:r>
        <w:rPr>
          <w:rFonts w:ascii="Inter" w:hAnsi="Inter" w:cs="Inter"/>
          <w:b w:val="0"/>
          <w:i w:val="0"/>
          <w:color w:val="1C1E2E"/>
          <w:sz w:val="22"/>
        </w:rPr>
        <w:t>, el «—» en lugar de un valor inventado, el «H0 watchdog», la puerta acústica de 0.70 y la inteligibilidad frente al acento nativo. Es una posición metodológica y ética clara, y es lo más original del plan.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Linaje de artefactos verificable.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AWJ → prototipo mobile-native → MLLDE, con enlaces públicos. Demuestra ejecución, no solo intención.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El estado del arte de la escritura está muy actualizado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(Jiang &amp; Hyland 2024–2025c, Reinhart et al. 2025, Kobak et al. 2025), y el argumento de que la respuesta a los detectores debe ser </w:t>
      </w:r>
      <w:r>
        <w:rPr>
          <w:rFonts w:ascii="Inter" w:hAnsi="Inter" w:cs="Inter"/>
          <w:b w:val="0"/>
          <w:i/>
          <w:color w:val="1C1E2E"/>
          <w:sz w:val="22"/>
        </w:rPr>
        <w:t>pedagógica, no forense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está bien apoyado (Liang et al. 2023; Erol et al. 2025).</w:t>
      </w:r>
    </w:p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>Lista de comprobación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 w:val="0"/>
          <w:i w:val="0"/>
          <w:color w:val="1C1E2E"/>
          <w:sz w:val="22"/>
        </w:rPr>
        <w:t xml:space="preserve">☐ 🔴 Unificar </w:t>
      </w:r>
      <w:r>
        <w:rPr>
          <w:rFonts w:ascii="Inter" w:hAnsi="Inter" w:cs="Inter"/>
          <w:b/>
          <w:i w:val="0"/>
          <w:color w:val="1C1E2E"/>
          <w:sz w:val="22"/>
        </w:rPr>
        <w:t>MLLDE = Multimodal Language Learning Design &amp; Evaluation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en título, guía de lectura, resumen y §3.4.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 w:val="0"/>
          <w:i w:val="0"/>
          <w:color w:val="1C1E2E"/>
          <w:sz w:val="22"/>
        </w:rPr>
        <w:t xml:space="preserve">☑ </w:t>
      </w:r>
      <w:r>
        <w:rPr>
          <w:rFonts w:ascii="Inter" w:hAnsi="Inter" w:cs="Inter"/>
          <w:b/>
          <w:i w:val="0"/>
          <w:color w:val="1C1E2E"/>
          <w:sz w:val="22"/>
        </w:rPr>
        <w:t>Modalidad decidida: tiempo completo, 3 años.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Falta sustituir el corchete del encabezado y quitar el paréntesis de los ~5 años en el §8.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 w:val="0"/>
          <w:i w:val="0"/>
          <w:color w:val="1C1E2E"/>
          <w:sz w:val="22"/>
        </w:rPr>
        <w:t xml:space="preserve">☐ 🔴 Resolver el enlace de </w:t>
      </w:r>
      <w:r>
        <w:rPr>
          <w:rFonts w:ascii="Inter" w:hAnsi="Inter" w:cs="Inter"/>
          <w:b/>
          <w:i w:val="0"/>
          <w:color w:val="1C1E2E"/>
          <w:sz w:val="22"/>
        </w:rPr>
        <w:t>RiuNet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y dar acceso evaluable al </w:t>
      </w:r>
      <w:r>
        <w:rPr>
          <w:rFonts w:ascii="Inter" w:hAnsi="Inter" w:cs="Inter"/>
          <w:b/>
          <w:i w:val="0"/>
          <w:color w:val="1C1E2E"/>
          <w:sz w:val="22"/>
        </w:rPr>
        <w:t>prototipo</w:t>
      </w:r>
      <w:r>
        <w:rPr>
          <w:rFonts w:ascii="Inter" w:hAnsi="Inter" w:cs="Inter"/>
          <w:b w:val="0"/>
          <w:i w:val="0"/>
          <w:color w:val="1C1E2E"/>
          <w:sz w:val="22"/>
        </w:rPr>
        <w:t>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 w:val="0"/>
          <w:i w:val="0"/>
          <w:color w:val="1C1E2E"/>
          <w:sz w:val="22"/>
        </w:rPr>
        <w:t>☐ 🟠 Corregir denominación del título, campus, y usar «1.ª de 56» y «20/20 con Diploma de Honor».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 w:val="0"/>
          <w:i w:val="0"/>
          <w:color w:val="1C1E2E"/>
          <w:sz w:val="22"/>
        </w:rPr>
        <w:t>☐ 🟡 Añadir al §3.3 los méritos apostillados, las 1.568 h, el congreso de 2008 y las dos becas.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 w:val="0"/>
          <w:i w:val="0"/>
          <w:color w:val="1C1E2E"/>
          <w:sz w:val="22"/>
        </w:rPr>
        <w:t>☐ 🟡 Añadir el enlace del repositorio UNAM a la publicación de 2005.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 w:val="0"/>
          <w:i w:val="0"/>
          <w:color w:val="1C1E2E"/>
          <w:sz w:val="22"/>
        </w:rPr>
        <w:t xml:space="preserve">☐ 🟡 </w:t>
      </w:r>
      <w:r>
        <w:rPr>
          <w:rFonts w:ascii="Inter" w:hAnsi="Inter" w:cs="Inter"/>
          <w:b/>
          <w:i w:val="0"/>
          <w:color w:val="1C1E2E"/>
          <w:sz w:val="22"/>
        </w:rPr>
        <w:t>Talkétika lleva acento.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El documento técnico de los tres tiers lo escribe «Talketika» en dos sitios (encabezado y aviso de copyright). Corregir antes de circularlo.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 w:val="0"/>
          <w:i w:val="0"/>
          <w:color w:val="1C1E2E"/>
          <w:sz w:val="22"/>
        </w:rPr>
        <w:t xml:space="preserve">☐ 🔴 ⚠️ </w:t>
      </w:r>
      <w:r>
        <w:rPr>
          <w:rFonts w:ascii="Inter" w:hAnsi="Inter" w:cs="Inter"/>
          <w:b/>
          <w:i w:val="0"/>
          <w:color w:val="1C1E2E"/>
          <w:sz w:val="22"/>
        </w:rPr>
        <w:t>Ahora es prioritario: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declarar el </w:t>
      </w:r>
      <w:r>
        <w:rPr>
          <w:rFonts w:ascii="Inter" w:hAnsi="Inter" w:cs="Inter"/>
          <w:b/>
          <w:i w:val="0"/>
          <w:color w:val="1C1E2E"/>
          <w:sz w:val="22"/>
        </w:rPr>
        <w:t>núcleo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de la tesis en el resumen y marcar </w:t>
      </w:r>
      <w:r>
        <w:rPr>
          <w:rFonts w:ascii="Inter" w:hAnsi="Inter" w:cs="Inter"/>
          <w:b/>
          <w:i w:val="0"/>
          <w:color w:val="1C1E2E"/>
          <w:sz w:val="22"/>
        </w:rPr>
        <w:t>T6 como contingente</w:t>
      </w:r>
      <w:r>
        <w:rPr>
          <w:rFonts w:ascii="Inter" w:hAnsi="Inter" w:cs="Inter"/>
          <w:b w:val="0"/>
          <w:i w:val="0"/>
          <w:color w:val="1C1E2E"/>
          <w:sz w:val="22"/>
        </w:rPr>
        <w:t>. Con tiempo completo, el alcance actual necesita ese acotamiento.</w:t>
      </w:r>
    </w:p>
    <w:p>
      <w:pPr>
        <w:pBdr>
          <w:bottom w:val="single" w:sz="6" w:space="1" w:color="E6E8F2"/>
        </w:pBdr>
      </w:pPr>
    </w:p>
    <w:p>
      <w:r>
        <w:rPr>
          <w:rFonts w:ascii="Inter" w:hAnsi="Inter" w:cs="Inter"/>
          <w:b w:val="0"/>
          <w:i/>
          <w:color w:val="1C1E2E"/>
          <w:sz w:val="22"/>
        </w:rPr>
        <w:t>© 2026 Ana Eslava-Graterol. Revisión elaborada con asistencia de IA bajo supervisión y verificación humanas. El plan revisado es obra de la autora.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Inter" w:hAnsi="Inter"/>
      <w:color w:val="1C1E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