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jc w:val="center"/>
      </w:pPr>
      <w:r>
        <w:rPr>
          <w:rFonts w:ascii="Calibri" w:hAnsi="Calibri"/>
          <w:b/>
          <w:sz w:val="28"/>
        </w:rPr>
        <w:t>Player Performance Prediction (Group 1)</w:t>
      </w:r>
    </w:p>
    <w:p>
      <w:pPr>
        <w:spacing w:before="0" w:after="100" w:line="240" w:lineRule="auto"/>
        <w:ind w:left="115"/>
        <w:jc w:val="left"/>
      </w:pPr>
      <w:r>
        <w:rPr>
          <w:rFonts w:ascii="Calibri" w:hAnsi="Calibri"/>
          <w:b/>
          <w:sz w:val="28"/>
        </w:rPr>
        <w:t>Team Github Repository</w:t>
      </w:r>
    </w:p>
    <w:p>
      <w:pPr>
        <w:spacing w:before="0" w:after="120" w:line="240" w:lineRule="auto"/>
        <w:ind w:left="115"/>
      </w:pPr>
      <w:r>
        <w:rPr>
          <w:b/>
          <w:color w:val="0000FF"/>
          <w:sz w:val="22"/>
          <w:u w:val="single"/>
        </w:rPr>
        <w:t>https://github.com/yashs14282001/Group-1-Team-Project.git</w:t>
      </w:r>
    </w:p>
    <w:p>
      <w:pPr>
        <w:spacing w:before="200" w:after="80" w:line="240" w:lineRule="auto"/>
      </w:pPr>
      <w:r>
        <w:rPr>
          <w:rFonts w:ascii="Calibri" w:hAnsi="Calibri"/>
          <w:b/>
          <w:color w:val="1F497D"/>
          <w:sz w:val="36"/>
        </w:rPr>
        <w:t>5. Test Plan</w:t>
      </w:r>
    </w:p>
    <w:p>
      <w:pPr>
        <w:spacing w:before="140" w:after="80" w:line="240" w:lineRule="auto"/>
      </w:pPr>
      <w:r>
        <w:rPr>
          <w:rFonts w:ascii="Calibri" w:hAnsi="Calibri"/>
          <w:b/>
          <w:color w:val="1F497D"/>
          <w:sz w:val="26"/>
        </w:rPr>
        <w:t>1. Purpose and Scope</w:t>
      </w:r>
    </w:p>
    <w:p>
      <w:pPr>
        <w:pStyle w:val="ListParagraph"/>
        <w:spacing w:after="40" w:line="240" w:lineRule="auto"/>
        <w:ind w:left="360" w:hanging="259"/>
      </w:pPr>
      <w:r>
        <w:t>•</w:t>
        <w:tab/>
      </w:r>
      <w:r>
        <w:t>This updated Test Plan describes the testing process for the completed “CricPredict – Player Performance Analyzer” project. The final system predicts a player’s overall performance score on a scale from 0 to 10 by using historical batting, bowling, fielding, and career statistics.</w:t>
      </w:r>
    </w:p>
    <w:p>
      <w:pPr>
        <w:pStyle w:val="ListParagraph"/>
        <w:spacing w:after="40" w:line="240" w:lineRule="auto"/>
        <w:ind w:left="360" w:hanging="259"/>
      </w:pPr>
      <w:r>
        <w:t>•</w:t>
        <w:tab/>
      </w:r>
      <w:r>
        <w:t>The completed application supports three player roles: batsman, bowler, and all-rounder. The user selects a role and model, enters the required statistics, and receives a predicted score, performance category, gauge, and supporting analysis.</w:t>
      </w:r>
    </w:p>
    <w:p>
      <w:pPr>
        <w:spacing w:before="140" w:after="80" w:line="240" w:lineRule="auto"/>
      </w:pPr>
      <w:r>
        <w:rPr>
          <w:rFonts w:ascii="Calibri" w:hAnsi="Calibri"/>
          <w:b/>
          <w:color w:val="1F497D"/>
          <w:sz w:val="23"/>
        </w:rPr>
        <w:t>In Scope</w:t>
      </w:r>
    </w:p>
    <w:tbl>
      <w:tblPr>
        <w:tblStyle w:val="LightGrid-Accent1"/>
        <w:tblW w:type="auto" w:w="0"/>
        <w:jc w:val="center"/>
        <w:tblLook w:firstColumn="1" w:firstRow="1" w:lastColumn="0" w:lastRow="0" w:noHBand="0" w:noVBand="1" w:val="04A0"/>
      </w:tblPr>
      <w:tblGrid>
        <w:gridCol w:w="5040"/>
        <w:gridCol w:w="5040"/>
      </w:tblGrid>
      <w:tr>
        <w:trPr>
          <w:tblHeader w:val="true"/>
          <w:cantSplit/>
          <w:cantSplit/>
        </w:trPr>
        <w:tc>
          <w:tcPr>
            <w:tcW w:type="dxa" w:w="2592"/>
            <w:vAlign w:val="center"/>
          </w:tcPr>
          <w:p>
            <w:pPr>
              <w:spacing w:after="0"/>
              <w:jc w:val="center"/>
            </w:pPr>
            <w:r>
              <w:rPr>
                <w:rFonts w:ascii="Calibri" w:hAnsi="Calibri"/>
              </w:rPr>
            </w:r>
            <w:r>
              <w:rPr>
                <w:rFonts w:ascii="Calibri" w:hAnsi="Calibri"/>
                <w:b/>
                <w:sz w:val="21"/>
              </w:rPr>
              <w:t>Area</w:t>
            </w:r>
          </w:p>
        </w:tc>
        <w:tc>
          <w:tcPr>
            <w:tcW w:type="dxa" w:w="7488"/>
            <w:vAlign w:val="center"/>
          </w:tcPr>
          <w:p>
            <w:pPr>
              <w:spacing w:after="0"/>
              <w:jc w:val="center"/>
            </w:pPr>
            <w:r>
              <w:rPr>
                <w:rFonts w:ascii="Calibri" w:hAnsi="Calibri"/>
              </w:rPr>
            </w:r>
            <w:r>
              <w:rPr>
                <w:rFonts w:ascii="Calibri" w:hAnsi="Calibri"/>
                <w:b/>
                <w:sz w:val="21"/>
              </w:rPr>
              <w:t>Test Objective</w:t>
            </w:r>
          </w:p>
        </w:tc>
      </w:tr>
      <w:tr>
        <w:trPr>
          <w:cantSplit/>
          <w:cantSplit/>
        </w:trPr>
        <w:tc>
          <w:tcPr>
            <w:tcW w:type="dxa" w:w="2592"/>
            <w:vAlign w:val="center"/>
          </w:tcPr>
          <w:p>
            <w:pPr>
              <w:spacing w:after="0"/>
            </w:pPr>
            <w:r>
              <w:rPr>
                <w:rFonts w:ascii="Calibri" w:hAnsi="Calibri"/>
              </w:rPr>
            </w:r>
            <w:r>
              <w:rPr>
                <w:rFonts w:ascii="Calibri" w:hAnsi="Calibri"/>
                <w:sz w:val="20"/>
              </w:rPr>
              <w:t>Datasets testing</w:t>
            </w:r>
          </w:p>
        </w:tc>
        <w:tc>
          <w:tcPr>
            <w:tcW w:type="dxa" w:w="7488"/>
            <w:vAlign w:val="center"/>
          </w:tcPr>
          <w:p>
            <w:pPr>
              <w:spacing w:after="0"/>
            </w:pPr>
            <w:r>
              <w:rPr>
                <w:rFonts w:ascii="Calibri" w:hAnsi="Calibri"/>
              </w:rPr>
            </w:r>
            <w:r>
              <w:rPr>
                <w:rFonts w:ascii="Calibri" w:hAnsi="Calibri"/>
                <w:sz w:val="20"/>
              </w:rPr>
              <w:t>Validate the IPL and BCCI datasets, required columns, numeric values, missing data, duplicates, and processed records.</w:t>
            </w:r>
          </w:p>
        </w:tc>
      </w:tr>
      <w:tr>
        <w:trPr>
          <w:cantSplit/>
          <w:cantSplit/>
        </w:trPr>
        <w:tc>
          <w:tcPr>
            <w:tcW w:type="dxa" w:w="2592"/>
            <w:vAlign w:val="center"/>
          </w:tcPr>
          <w:p>
            <w:pPr>
              <w:spacing w:after="0"/>
            </w:pPr>
            <w:r>
              <w:rPr>
                <w:rFonts w:ascii="Calibri" w:hAnsi="Calibri"/>
              </w:rPr>
            </w:r>
            <w:r>
              <w:rPr>
                <w:rFonts w:ascii="Calibri" w:hAnsi="Calibri"/>
                <w:sz w:val="20"/>
              </w:rPr>
              <w:t>Feature testing</w:t>
            </w:r>
          </w:p>
        </w:tc>
        <w:tc>
          <w:tcPr>
            <w:tcW w:type="dxa" w:w="7488"/>
            <w:vAlign w:val="center"/>
          </w:tcPr>
          <w:p>
            <w:pPr>
              <w:spacing w:after="0"/>
            </w:pPr>
            <w:r>
              <w:rPr>
                <w:rFonts w:ascii="Calibri" w:hAnsi="Calibri"/>
              </w:rPr>
            </w:r>
            <w:r>
              <w:rPr>
                <w:rFonts w:ascii="Calibri" w:hAnsi="Calibri"/>
                <w:sz w:val="20"/>
              </w:rPr>
              <w:t>Verify the 18 general features and the correct role-specific feature sets for batsmen, bowlers, and all-rounders.</w:t>
            </w:r>
          </w:p>
        </w:tc>
      </w:tr>
      <w:tr>
        <w:trPr>
          <w:cantSplit/>
          <w:cantSplit/>
        </w:trPr>
        <w:tc>
          <w:tcPr>
            <w:tcW w:type="dxa" w:w="2592"/>
            <w:vAlign w:val="center"/>
          </w:tcPr>
          <w:p>
            <w:pPr>
              <w:spacing w:after="0"/>
            </w:pPr>
            <w:r>
              <w:rPr>
                <w:rFonts w:ascii="Calibri" w:hAnsi="Calibri"/>
              </w:rPr>
            </w:r>
            <w:r>
              <w:rPr>
                <w:rFonts w:ascii="Calibri" w:hAnsi="Calibri"/>
                <w:sz w:val="20"/>
              </w:rPr>
              <w:t>Model testing</w:t>
            </w:r>
          </w:p>
        </w:tc>
        <w:tc>
          <w:tcPr>
            <w:tcW w:type="dxa" w:w="7488"/>
            <w:vAlign w:val="center"/>
          </w:tcPr>
          <w:p>
            <w:pPr>
              <w:spacing w:after="0"/>
            </w:pPr>
            <w:r>
              <w:rPr>
                <w:rFonts w:ascii="Calibri" w:hAnsi="Calibri"/>
              </w:rPr>
            </w:r>
            <w:r>
              <w:rPr>
                <w:rFonts w:ascii="Calibri" w:hAnsi="Calibri"/>
                <w:sz w:val="20"/>
              </w:rPr>
              <w:t>Validate Random Forest, MLP, XGBoost, LightGBM, Hybrid, and ensemble models included in the completed project.</w:t>
            </w:r>
          </w:p>
        </w:tc>
      </w:tr>
      <w:tr>
        <w:trPr>
          <w:cantSplit/>
          <w:cantSplit/>
        </w:trPr>
        <w:tc>
          <w:tcPr>
            <w:tcW w:type="dxa" w:w="2592"/>
            <w:vAlign w:val="center"/>
          </w:tcPr>
          <w:p>
            <w:pPr>
              <w:spacing w:after="0"/>
            </w:pPr>
            <w:r>
              <w:rPr>
                <w:rFonts w:ascii="Calibri" w:hAnsi="Calibri"/>
              </w:rPr>
            </w:r>
            <w:r>
              <w:rPr>
                <w:rFonts w:ascii="Calibri" w:hAnsi="Calibri"/>
                <w:sz w:val="20"/>
              </w:rPr>
              <w:t>Prediction testing</w:t>
            </w:r>
          </w:p>
        </w:tc>
        <w:tc>
          <w:tcPr>
            <w:tcW w:type="dxa" w:w="7488"/>
            <w:vAlign w:val="center"/>
          </w:tcPr>
          <w:p>
            <w:pPr>
              <w:spacing w:after="0"/>
            </w:pPr>
            <w:r>
              <w:rPr>
                <w:rFonts w:ascii="Calibri" w:hAnsi="Calibri"/>
              </w:rPr>
            </w:r>
            <w:r>
              <w:rPr>
                <w:rFonts w:ascii="Calibri" w:hAnsi="Calibri"/>
                <w:sz w:val="20"/>
              </w:rPr>
              <w:t>Verify that predictions remain within the 0–10 range and match the correct performance category.</w:t>
            </w:r>
          </w:p>
        </w:tc>
      </w:tr>
      <w:tr>
        <w:trPr>
          <w:cantSplit/>
          <w:cantSplit/>
        </w:trPr>
        <w:tc>
          <w:tcPr>
            <w:tcW w:type="dxa" w:w="2592"/>
            <w:vAlign w:val="center"/>
          </w:tcPr>
          <w:p>
            <w:pPr>
              <w:spacing w:after="0"/>
            </w:pPr>
            <w:r>
              <w:rPr>
                <w:rFonts w:ascii="Calibri" w:hAnsi="Calibri"/>
              </w:rPr>
            </w:r>
            <w:r>
              <w:rPr>
                <w:rFonts w:ascii="Calibri" w:hAnsi="Calibri"/>
                <w:sz w:val="20"/>
              </w:rPr>
              <w:t>Role-based testing</w:t>
            </w:r>
          </w:p>
        </w:tc>
        <w:tc>
          <w:tcPr>
            <w:tcW w:type="dxa" w:w="7488"/>
            <w:vAlign w:val="center"/>
          </w:tcPr>
          <w:p>
            <w:pPr>
              <w:spacing w:after="0"/>
            </w:pPr>
            <w:r>
              <w:rPr>
                <w:rFonts w:ascii="Calibri" w:hAnsi="Calibri"/>
              </w:rPr>
            </w:r>
            <w:r>
              <w:rPr>
                <w:rFonts w:ascii="Calibri" w:hAnsi="Calibri"/>
                <w:sz w:val="20"/>
              </w:rPr>
              <w:t>Confirm that each player role loads the correct model, metadata, and input fields.</w:t>
            </w:r>
          </w:p>
        </w:tc>
      </w:tr>
      <w:tr>
        <w:trPr>
          <w:cantSplit/>
          <w:cantSplit/>
        </w:trPr>
        <w:tc>
          <w:tcPr>
            <w:tcW w:type="dxa" w:w="2592"/>
            <w:vAlign w:val="center"/>
          </w:tcPr>
          <w:p>
            <w:pPr>
              <w:spacing w:after="0"/>
            </w:pPr>
            <w:r>
              <w:rPr>
                <w:rFonts w:ascii="Calibri" w:hAnsi="Calibri"/>
              </w:rPr>
            </w:r>
            <w:r>
              <w:rPr>
                <w:rFonts w:ascii="Calibri" w:hAnsi="Calibri"/>
                <w:sz w:val="20"/>
              </w:rPr>
              <w:t>Application testing</w:t>
            </w:r>
          </w:p>
        </w:tc>
        <w:tc>
          <w:tcPr>
            <w:tcW w:type="dxa" w:w="7488"/>
            <w:vAlign w:val="center"/>
          </w:tcPr>
          <w:p>
            <w:pPr>
              <w:spacing w:after="0"/>
            </w:pPr>
            <w:r>
              <w:rPr>
                <w:rFonts w:ascii="Calibri" w:hAnsi="Calibri"/>
              </w:rPr>
            </w:r>
            <w:r>
              <w:rPr>
                <w:rFonts w:ascii="Calibri" w:hAnsi="Calibri"/>
                <w:sz w:val="20"/>
              </w:rPr>
              <w:t>Test Streamlit launch, input validation, model selection, prediction display, charts, and error handling.</w:t>
            </w:r>
          </w:p>
        </w:tc>
      </w:tr>
      <w:tr>
        <w:trPr>
          <w:cantSplit/>
          <w:cantSplit/>
        </w:trPr>
        <w:tc>
          <w:tcPr>
            <w:tcW w:type="dxa" w:w="2592"/>
            <w:vAlign w:val="center"/>
          </w:tcPr>
          <w:p>
            <w:pPr>
              <w:spacing w:after="0"/>
            </w:pPr>
            <w:r>
              <w:rPr>
                <w:rFonts w:ascii="Calibri" w:hAnsi="Calibri"/>
              </w:rPr>
            </w:r>
            <w:r>
              <w:rPr>
                <w:rFonts w:ascii="Calibri" w:hAnsi="Calibri"/>
                <w:sz w:val="20"/>
              </w:rPr>
              <w:t>Documentation and code</w:t>
            </w:r>
          </w:p>
        </w:tc>
        <w:tc>
          <w:tcPr>
            <w:tcW w:type="dxa" w:w="7488"/>
            <w:vAlign w:val="center"/>
          </w:tcPr>
          <w:p>
            <w:pPr>
              <w:spacing w:after="0"/>
            </w:pPr>
            <w:r>
              <w:rPr>
                <w:rFonts w:ascii="Calibri" w:hAnsi="Calibri"/>
              </w:rPr>
            </w:r>
            <w:r>
              <w:rPr>
                <w:rFonts w:ascii="Calibri" w:hAnsi="Calibri"/>
                <w:sz w:val="20"/>
              </w:rPr>
              <w:t>Review coding standards, notebooks, model artifacts, README, model card, and training reports.</w:t>
            </w:r>
          </w:p>
        </w:tc>
      </w:tr>
    </w:tbl>
    <w:p>
      <w:pPr>
        <w:spacing w:after="0"/>
      </w:pPr>
    </w:p>
    <w:p>
      <w:pPr>
        <w:spacing w:before="140" w:after="80" w:line="240" w:lineRule="auto"/>
      </w:pPr>
      <w:r>
        <w:rPr>
          <w:rFonts w:ascii="Calibri" w:hAnsi="Calibri"/>
          <w:b/>
          <w:color w:val="1F497D"/>
          <w:sz w:val="23"/>
        </w:rPr>
        <w:t>Out of Scope</w:t>
      </w:r>
    </w:p>
    <w:p>
      <w:pPr>
        <w:pStyle w:val="ListParagraph"/>
        <w:spacing w:after="40" w:line="240" w:lineRule="auto"/>
        <w:ind w:left="360" w:hanging="259"/>
      </w:pPr>
      <w:r>
        <w:t>•</w:t>
        <w:tab/>
      </w:r>
      <w:r>
        <w:t>This test plan does not cover live ball-by-ball prediction, guaranteed match results, betting advice, real-time injury or weather updates, final playing XI confirmation, security penetration testing, or high-volume load testing.</w:t>
      </w:r>
    </w:p>
    <w:p>
      <w:pPr>
        <w:pStyle w:val="ListParagraph"/>
        <w:spacing w:after="40" w:line="240" w:lineRule="auto"/>
        <w:ind w:left="360" w:hanging="259"/>
      </w:pPr>
      <w:r>
        <w:t>•</w:t>
        <w:tab/>
      </w:r>
      <w:r>
        <w:t>The completed project does not provide separate Test, ODI, and T20 match-format prediction. It uses the final combined project datasets and role-specific models.</w:t>
      </w:r>
    </w:p>
    <w:p>
      <w:pPr>
        <w:spacing w:before="140" w:after="80" w:line="240" w:lineRule="auto"/>
      </w:pPr>
      <w:r>
        <w:rPr>
          <w:rFonts w:ascii="Calibri" w:hAnsi="Calibri"/>
          <w:b/>
          <w:color w:val="1F497D"/>
          <w:sz w:val="26"/>
        </w:rPr>
        <w:t>2. Coding Standard and Code Review</w:t>
      </w:r>
    </w:p>
    <w:p>
      <w:pPr>
        <w:pStyle w:val="ListParagraph"/>
        <w:spacing w:after="40" w:line="240" w:lineRule="auto"/>
        <w:ind w:left="360" w:hanging="259"/>
      </w:pPr>
      <w:r>
        <w:t>•</w:t>
        <w:tab/>
      </w:r>
      <w:r>
        <w:t>Python is the primary programming language. Pandas and NumPy are used for data processing; Scikit-learn, XGBoost, LightGBM, and joblib are used for modelling and persistence; Streamlit and Plotly are used for the application interface.</w:t>
      </w:r>
    </w:p>
    <w:p>
      <w:pPr>
        <w:pStyle w:val="ListParagraph"/>
        <w:spacing w:after="40" w:line="240" w:lineRule="auto"/>
        <w:ind w:left="360" w:hanging="259"/>
      </w:pPr>
      <w:r>
        <w:t>•</w:t>
        <w:tab/>
      </w:r>
      <w:r>
        <w:t>Variables and functions use lowercase with underscores, for example: player_role, prepare_input_data(), and load_model().</w:t>
      </w:r>
    </w:p>
    <w:p>
      <w:pPr>
        <w:pStyle w:val="ListParagraph"/>
        <w:spacing w:after="40" w:line="240" w:lineRule="auto"/>
        <w:ind w:left="360" w:hanging="259"/>
      </w:pPr>
      <w:r>
        <w:t>•</w:t>
        <w:tab/>
      </w:r>
      <w:r>
        <w:t>Class names use PascalCase and files use descriptive lowercase names with underscores where applicable.</w:t>
      </w:r>
    </w:p>
    <w:p>
      <w:pPr>
        <w:pStyle w:val="ListParagraph"/>
        <w:spacing w:after="40" w:line="240" w:lineRule="auto"/>
        <w:ind w:left="360" w:hanging="259"/>
      </w:pPr>
      <w:r>
        <w:t>•</w:t>
        <w:tab/>
      </w:r>
      <w:r>
        <w:t>The code is separated into data processing, feature engineering, model training, evaluation, saved artifacts, notebooks, and application components.</w:t>
      </w:r>
    </w:p>
    <w:p>
      <w:pPr>
        <w:pStyle w:val="ListParagraph"/>
        <w:spacing w:after="40" w:line="240" w:lineRule="auto"/>
        <w:ind w:left="360" w:hanging="259"/>
      </w:pPr>
      <w:r>
        <w:t>•</w:t>
        <w:tab/>
      </w:r>
      <w:r>
        <w:t>Code review must verify feature order, role mapping, model loading, data validation, exception handling, reproducibility, and consistency between the application and model metadata.</w:t>
      </w:r>
    </w:p>
    <w:p>
      <w:pPr>
        <w:spacing w:before="140" w:after="80" w:line="240" w:lineRule="auto"/>
      </w:pPr>
      <w:r>
        <w:rPr>
          <w:rFonts w:ascii="Calibri" w:hAnsi="Calibri"/>
          <w:b/>
          <w:color w:val="1F497D"/>
          <w:sz w:val="26"/>
        </w:rPr>
        <w:t>3. Data Quality Testing and Validation</w:t>
      </w:r>
    </w:p>
    <w:p>
      <w:pPr>
        <w:pStyle w:val="ListParagraph"/>
        <w:spacing w:after="40" w:line="240" w:lineRule="auto"/>
        <w:ind w:left="360" w:hanging="259"/>
      </w:pPr>
      <w:r>
        <w:t>•</w:t>
        <w:tab/>
      </w:r>
      <w:r>
        <w:t>The completed package contains IPL and BCCI cricket data, processed datasets, model-ready records, metadata files, and trained model artifacts. Data testing ensures that incorrect or incomplete values do not produce invalid predictions.</w:t>
      </w:r>
    </w:p>
    <w:p>
      <w:pPr>
        <w:spacing w:before="140" w:after="80" w:line="240" w:lineRule="auto"/>
      </w:pPr>
      <w:r>
        <w:rPr>
          <w:rFonts w:ascii="Calibri" w:hAnsi="Calibri"/>
          <w:b/>
          <w:color w:val="1F497D"/>
          <w:sz w:val="23"/>
        </w:rPr>
        <w:t>Data Validation Tests</w:t>
      </w:r>
    </w:p>
    <w:tbl>
      <w:tblPr>
        <w:tblStyle w:val="LightGrid-Accent1"/>
        <w:tblW w:type="auto" w:w="0"/>
        <w:jc w:val="center"/>
        <w:tblLook w:firstColumn="1" w:firstRow="1" w:lastColumn="0" w:lastRow="0" w:noHBand="0" w:noVBand="1" w:val="04A0"/>
      </w:tblPr>
      <w:tblGrid>
        <w:gridCol w:w="3360"/>
        <w:gridCol w:w="3360"/>
        <w:gridCol w:w="3360"/>
      </w:tblGrid>
      <w:tr>
        <w:trPr>
          <w:tblHeader w:val="true"/>
          <w:cantSplit/>
          <w:cantSplit/>
        </w:trPr>
        <w:tc>
          <w:tcPr>
            <w:tcW w:type="dxa" w:w="1656"/>
            <w:vAlign w:val="center"/>
          </w:tcPr>
          <w:p>
            <w:pPr>
              <w:spacing w:after="0"/>
              <w:jc w:val="center"/>
            </w:pPr>
            <w:r>
              <w:rPr>
                <w:rFonts w:ascii="Calibri" w:hAnsi="Calibri"/>
              </w:rPr>
            </w:r>
            <w:r>
              <w:rPr>
                <w:rFonts w:ascii="Calibri" w:hAnsi="Calibri"/>
                <w:b/>
                <w:sz w:val="21"/>
              </w:rPr>
              <w:t>Test ID</w:t>
            </w:r>
          </w:p>
        </w:tc>
        <w:tc>
          <w:tcPr>
            <w:tcW w:type="dxa" w:w="3672"/>
            <w:vAlign w:val="center"/>
          </w:tcPr>
          <w:p>
            <w:pPr>
              <w:spacing w:after="0"/>
              <w:jc w:val="center"/>
            </w:pPr>
            <w:r>
              <w:rPr>
                <w:rFonts w:ascii="Calibri" w:hAnsi="Calibri"/>
              </w:rPr>
            </w:r>
            <w:r>
              <w:rPr>
                <w:rFonts w:ascii="Calibri" w:hAnsi="Calibri"/>
                <w:b/>
                <w:sz w:val="21"/>
              </w:rPr>
              <w:t>Test Scenario</w:t>
            </w:r>
          </w:p>
        </w:tc>
        <w:tc>
          <w:tcPr>
            <w:tcW w:type="dxa" w:w="4752"/>
            <w:vAlign w:val="center"/>
          </w:tcPr>
          <w:p>
            <w:pPr>
              <w:spacing w:after="0"/>
              <w:jc w:val="center"/>
            </w:pPr>
            <w:r>
              <w:rPr>
                <w:rFonts w:ascii="Calibri" w:hAnsi="Calibri"/>
              </w:rPr>
            </w:r>
            <w:r>
              <w:rPr>
                <w:rFonts w:ascii="Calibri" w:hAnsi="Calibri"/>
                <w:b/>
                <w:sz w:val="21"/>
              </w:rPr>
              <w:t>Expected Result</w:t>
            </w:r>
          </w:p>
        </w:tc>
      </w:tr>
      <w:tr>
        <w:trPr>
          <w:cantSplit/>
          <w:cantSplit/>
        </w:trPr>
        <w:tc>
          <w:tcPr>
            <w:tcW w:type="dxa" w:w="1656"/>
            <w:vAlign w:val="center"/>
          </w:tcPr>
          <w:p>
            <w:pPr>
              <w:spacing w:after="0"/>
            </w:pPr>
            <w:r>
              <w:rPr>
                <w:rFonts w:ascii="Calibri" w:hAnsi="Calibri"/>
              </w:rPr>
            </w:r>
            <w:r>
              <w:rPr>
                <w:rFonts w:ascii="Calibri" w:hAnsi="Calibri"/>
                <w:sz w:val="20"/>
              </w:rPr>
              <w:t>TC-DATA-01</w:t>
            </w:r>
          </w:p>
        </w:tc>
        <w:tc>
          <w:tcPr>
            <w:tcW w:type="dxa" w:w="3672"/>
            <w:vAlign w:val="center"/>
          </w:tcPr>
          <w:p>
            <w:pPr>
              <w:spacing w:after="0"/>
            </w:pPr>
            <w:r>
              <w:rPr>
                <w:rFonts w:ascii="Calibri" w:hAnsi="Calibri"/>
              </w:rPr>
            </w:r>
            <w:r>
              <w:rPr>
                <w:rFonts w:ascii="Calibri" w:hAnsi="Calibri"/>
                <w:sz w:val="20"/>
              </w:rPr>
              <w:t>Load all required raw and processed CSV files.</w:t>
            </w:r>
          </w:p>
        </w:tc>
        <w:tc>
          <w:tcPr>
            <w:tcW w:type="dxa" w:w="4752"/>
            <w:vAlign w:val="center"/>
          </w:tcPr>
          <w:p>
            <w:pPr>
              <w:spacing w:after="0"/>
            </w:pPr>
            <w:r>
              <w:rPr>
                <w:rFonts w:ascii="Calibri" w:hAnsi="Calibri"/>
              </w:rPr>
            </w:r>
            <w:r>
              <w:rPr>
                <w:rFonts w:ascii="Calibri" w:hAnsi="Calibri"/>
                <w:sz w:val="20"/>
              </w:rPr>
              <w:t>Files load successfully and contain records.</w:t>
            </w:r>
          </w:p>
        </w:tc>
      </w:tr>
      <w:tr>
        <w:trPr>
          <w:cantSplit/>
          <w:cantSplit/>
        </w:trPr>
        <w:tc>
          <w:tcPr>
            <w:tcW w:type="dxa" w:w="1656"/>
            <w:vAlign w:val="center"/>
          </w:tcPr>
          <w:p>
            <w:pPr>
              <w:spacing w:after="0"/>
            </w:pPr>
            <w:r>
              <w:rPr>
                <w:rFonts w:ascii="Calibri" w:hAnsi="Calibri"/>
              </w:rPr>
            </w:r>
            <w:r>
              <w:rPr>
                <w:rFonts w:ascii="Calibri" w:hAnsi="Calibri"/>
                <w:sz w:val="20"/>
              </w:rPr>
              <w:t>TC-DATA-02</w:t>
            </w:r>
          </w:p>
        </w:tc>
        <w:tc>
          <w:tcPr>
            <w:tcW w:type="dxa" w:w="3672"/>
            <w:vAlign w:val="center"/>
          </w:tcPr>
          <w:p>
            <w:pPr>
              <w:spacing w:after="0"/>
            </w:pPr>
            <w:r>
              <w:rPr>
                <w:rFonts w:ascii="Calibri" w:hAnsi="Calibri"/>
              </w:rPr>
            </w:r>
            <w:r>
              <w:rPr>
                <w:rFonts w:ascii="Calibri" w:hAnsi="Calibri"/>
                <w:sz w:val="20"/>
              </w:rPr>
              <w:t>Check required batting, bowling, fielding, and career columns.</w:t>
            </w:r>
          </w:p>
        </w:tc>
        <w:tc>
          <w:tcPr>
            <w:tcW w:type="dxa" w:w="4752"/>
            <w:vAlign w:val="center"/>
          </w:tcPr>
          <w:p>
            <w:pPr>
              <w:spacing w:after="0"/>
            </w:pPr>
            <w:r>
              <w:rPr>
                <w:rFonts w:ascii="Calibri" w:hAnsi="Calibri"/>
              </w:rPr>
            </w:r>
            <w:r>
              <w:rPr>
                <w:rFonts w:ascii="Calibri" w:hAnsi="Calibri"/>
                <w:sz w:val="20"/>
              </w:rPr>
              <w:t>All columns required by the training pipeline are available.</w:t>
            </w:r>
          </w:p>
        </w:tc>
      </w:tr>
      <w:tr>
        <w:trPr>
          <w:cantSplit/>
          <w:cantSplit/>
        </w:trPr>
        <w:tc>
          <w:tcPr>
            <w:tcW w:type="dxa" w:w="1656"/>
            <w:vAlign w:val="center"/>
          </w:tcPr>
          <w:p>
            <w:pPr>
              <w:spacing w:after="0"/>
            </w:pPr>
            <w:r>
              <w:rPr>
                <w:rFonts w:ascii="Calibri" w:hAnsi="Calibri"/>
              </w:rPr>
            </w:r>
            <w:r>
              <w:rPr>
                <w:rFonts w:ascii="Calibri" w:hAnsi="Calibri"/>
                <w:sz w:val="20"/>
              </w:rPr>
              <w:t>TC-DATA-03</w:t>
            </w:r>
          </w:p>
        </w:tc>
        <w:tc>
          <w:tcPr>
            <w:tcW w:type="dxa" w:w="3672"/>
            <w:vAlign w:val="center"/>
          </w:tcPr>
          <w:p>
            <w:pPr>
              <w:spacing w:after="0"/>
            </w:pPr>
            <w:r>
              <w:rPr>
                <w:rFonts w:ascii="Calibri" w:hAnsi="Calibri"/>
              </w:rPr>
            </w:r>
            <w:r>
              <w:rPr>
                <w:rFonts w:ascii="Calibri" w:hAnsi="Calibri"/>
                <w:sz w:val="20"/>
              </w:rPr>
              <w:t>Check missing and non-numeric values.</w:t>
            </w:r>
          </w:p>
        </w:tc>
        <w:tc>
          <w:tcPr>
            <w:tcW w:type="dxa" w:w="4752"/>
            <w:vAlign w:val="center"/>
          </w:tcPr>
          <w:p>
            <w:pPr>
              <w:spacing w:after="0"/>
            </w:pPr>
            <w:r>
              <w:rPr>
                <w:rFonts w:ascii="Calibri" w:hAnsi="Calibri"/>
              </w:rPr>
            </w:r>
            <w:r>
              <w:rPr>
                <w:rFonts w:ascii="Calibri" w:hAnsi="Calibri"/>
                <w:sz w:val="20"/>
              </w:rPr>
              <w:t>Values are converted or handled without pipeline failure.</w:t>
            </w:r>
          </w:p>
        </w:tc>
      </w:tr>
      <w:tr>
        <w:trPr>
          <w:cantSplit/>
          <w:cantSplit/>
        </w:trPr>
        <w:tc>
          <w:tcPr>
            <w:tcW w:type="dxa" w:w="1656"/>
            <w:vAlign w:val="center"/>
          </w:tcPr>
          <w:p>
            <w:pPr>
              <w:spacing w:after="0"/>
            </w:pPr>
            <w:r>
              <w:rPr>
                <w:rFonts w:ascii="Calibri" w:hAnsi="Calibri"/>
              </w:rPr>
            </w:r>
            <w:r>
              <w:rPr>
                <w:rFonts w:ascii="Calibri" w:hAnsi="Calibri"/>
                <w:sz w:val="20"/>
              </w:rPr>
              <w:t>TC-DATA-04</w:t>
            </w:r>
          </w:p>
        </w:tc>
        <w:tc>
          <w:tcPr>
            <w:tcW w:type="dxa" w:w="3672"/>
            <w:vAlign w:val="center"/>
          </w:tcPr>
          <w:p>
            <w:pPr>
              <w:spacing w:after="0"/>
            </w:pPr>
            <w:r>
              <w:rPr>
                <w:rFonts w:ascii="Calibri" w:hAnsi="Calibri"/>
              </w:rPr>
            </w:r>
            <w:r>
              <w:rPr>
                <w:rFonts w:ascii="Calibri" w:hAnsi="Calibri"/>
                <w:sz w:val="20"/>
              </w:rPr>
              <w:t>Check duplicate player records.</w:t>
            </w:r>
          </w:p>
        </w:tc>
        <w:tc>
          <w:tcPr>
            <w:tcW w:type="dxa" w:w="4752"/>
            <w:vAlign w:val="center"/>
          </w:tcPr>
          <w:p>
            <w:pPr>
              <w:spacing w:after="0"/>
            </w:pPr>
            <w:r>
              <w:rPr>
                <w:rFonts w:ascii="Calibri" w:hAnsi="Calibri"/>
              </w:rPr>
            </w:r>
            <w:r>
              <w:rPr>
                <w:rFonts w:ascii="Calibri" w:hAnsi="Calibri"/>
                <w:sz w:val="20"/>
              </w:rPr>
              <w:t>Duplicates are removed or handled according to the data-processing logic.</w:t>
            </w:r>
          </w:p>
        </w:tc>
      </w:tr>
      <w:tr>
        <w:trPr>
          <w:cantSplit/>
          <w:cantSplit/>
        </w:trPr>
        <w:tc>
          <w:tcPr>
            <w:tcW w:type="dxa" w:w="1656"/>
            <w:vAlign w:val="center"/>
          </w:tcPr>
          <w:p>
            <w:pPr>
              <w:spacing w:after="0"/>
            </w:pPr>
            <w:r>
              <w:rPr>
                <w:rFonts w:ascii="Calibri" w:hAnsi="Calibri"/>
              </w:rPr>
            </w:r>
            <w:r>
              <w:rPr>
                <w:rFonts w:ascii="Calibri" w:hAnsi="Calibri"/>
                <w:sz w:val="20"/>
              </w:rPr>
              <w:t>TC-DATA-05</w:t>
            </w:r>
          </w:p>
        </w:tc>
        <w:tc>
          <w:tcPr>
            <w:tcW w:type="dxa" w:w="3672"/>
            <w:vAlign w:val="center"/>
          </w:tcPr>
          <w:p>
            <w:pPr>
              <w:spacing w:after="0"/>
            </w:pPr>
            <w:r>
              <w:rPr>
                <w:rFonts w:ascii="Calibri" w:hAnsi="Calibri"/>
              </w:rPr>
            </w:r>
            <w:r>
              <w:rPr>
                <w:rFonts w:ascii="Calibri" w:hAnsi="Calibri"/>
                <w:sz w:val="20"/>
              </w:rPr>
              <w:t>Check invalid negative statistics.</w:t>
            </w:r>
          </w:p>
        </w:tc>
        <w:tc>
          <w:tcPr>
            <w:tcW w:type="dxa" w:w="4752"/>
            <w:vAlign w:val="center"/>
          </w:tcPr>
          <w:p>
            <w:pPr>
              <w:spacing w:after="0"/>
            </w:pPr>
            <w:r>
              <w:rPr>
                <w:rFonts w:ascii="Calibri" w:hAnsi="Calibri"/>
              </w:rPr>
            </w:r>
            <w:r>
              <w:rPr>
                <w:rFonts w:ascii="Calibri" w:hAnsi="Calibri"/>
                <w:sz w:val="20"/>
              </w:rPr>
              <w:t>Invalid values are rejected, corrected, or prevented by application limits.</w:t>
            </w:r>
          </w:p>
        </w:tc>
      </w:tr>
      <w:tr>
        <w:trPr>
          <w:cantSplit/>
          <w:cantSplit/>
        </w:trPr>
        <w:tc>
          <w:tcPr>
            <w:tcW w:type="dxa" w:w="1656"/>
            <w:vAlign w:val="center"/>
          </w:tcPr>
          <w:p>
            <w:pPr>
              <w:spacing w:after="0"/>
            </w:pPr>
            <w:r>
              <w:rPr>
                <w:rFonts w:ascii="Calibri" w:hAnsi="Calibri"/>
              </w:rPr>
            </w:r>
            <w:r>
              <w:rPr>
                <w:rFonts w:ascii="Calibri" w:hAnsi="Calibri"/>
                <w:sz w:val="20"/>
              </w:rPr>
              <w:t>TC-DATA-06</w:t>
            </w:r>
          </w:p>
        </w:tc>
        <w:tc>
          <w:tcPr>
            <w:tcW w:type="dxa" w:w="3672"/>
            <w:vAlign w:val="center"/>
          </w:tcPr>
          <w:p>
            <w:pPr>
              <w:spacing w:after="0"/>
            </w:pPr>
            <w:r>
              <w:rPr>
                <w:rFonts w:ascii="Calibri" w:hAnsi="Calibri"/>
              </w:rPr>
            </w:r>
            <w:r>
              <w:rPr>
                <w:rFonts w:ascii="Calibri" w:hAnsi="Calibri"/>
                <w:sz w:val="20"/>
              </w:rPr>
              <w:t>Check processed dataset size.</w:t>
            </w:r>
          </w:p>
        </w:tc>
        <w:tc>
          <w:tcPr>
            <w:tcW w:type="dxa" w:w="4752"/>
            <w:vAlign w:val="center"/>
          </w:tcPr>
          <w:p>
            <w:pPr>
              <w:spacing w:after="0"/>
            </w:pPr>
            <w:r>
              <w:rPr>
                <w:rFonts w:ascii="Calibri" w:hAnsi="Calibri"/>
              </w:rPr>
            </w:r>
            <w:r>
              <w:rPr>
                <w:rFonts w:ascii="Calibri" w:hAnsi="Calibri"/>
                <w:sz w:val="20"/>
              </w:rPr>
              <w:t>The model-ready records agree with the training and evaluation reports.</w:t>
            </w:r>
          </w:p>
        </w:tc>
      </w:tr>
      <w:tr>
        <w:trPr>
          <w:cantSplit/>
          <w:cantSplit/>
        </w:trPr>
        <w:tc>
          <w:tcPr>
            <w:tcW w:type="dxa" w:w="1656"/>
            <w:vAlign w:val="center"/>
          </w:tcPr>
          <w:p>
            <w:pPr>
              <w:spacing w:after="0"/>
            </w:pPr>
            <w:r>
              <w:rPr>
                <w:rFonts w:ascii="Calibri" w:hAnsi="Calibri"/>
              </w:rPr>
            </w:r>
            <w:r>
              <w:rPr>
                <w:rFonts w:ascii="Calibri" w:hAnsi="Calibri"/>
                <w:sz w:val="20"/>
              </w:rPr>
              <w:t>TC-DATA-07</w:t>
            </w:r>
          </w:p>
        </w:tc>
        <w:tc>
          <w:tcPr>
            <w:tcW w:type="dxa" w:w="3672"/>
            <w:vAlign w:val="center"/>
          </w:tcPr>
          <w:p>
            <w:pPr>
              <w:spacing w:after="0"/>
            </w:pPr>
            <w:r>
              <w:rPr>
                <w:rFonts w:ascii="Calibri" w:hAnsi="Calibri"/>
              </w:rPr>
            </w:r>
            <w:r>
              <w:rPr>
                <w:rFonts w:ascii="Calibri" w:hAnsi="Calibri"/>
                <w:sz w:val="20"/>
              </w:rPr>
              <w:t>Check player names and source values against sample official records.</w:t>
            </w:r>
          </w:p>
        </w:tc>
        <w:tc>
          <w:tcPr>
            <w:tcW w:type="dxa" w:w="4752"/>
            <w:vAlign w:val="center"/>
          </w:tcPr>
          <w:p>
            <w:pPr>
              <w:spacing w:after="0"/>
            </w:pPr>
            <w:r>
              <w:rPr>
                <w:rFonts w:ascii="Calibri" w:hAnsi="Calibri"/>
              </w:rPr>
            </w:r>
            <w:r>
              <w:rPr>
                <w:rFonts w:ascii="Calibri" w:hAnsi="Calibri"/>
                <w:sz w:val="20"/>
              </w:rPr>
              <w:t>Selected records are consistent with the official source or documented differences are explained.</w:t>
            </w:r>
          </w:p>
        </w:tc>
      </w:tr>
    </w:tbl>
    <w:p>
      <w:pPr>
        <w:spacing w:after="0"/>
      </w:pPr>
    </w:p>
    <w:p>
      <w:pPr>
        <w:spacing w:before="140" w:after="80" w:line="240" w:lineRule="auto"/>
      </w:pPr>
      <w:r>
        <w:rPr>
          <w:rFonts w:ascii="Calibri" w:hAnsi="Calibri"/>
          <w:b/>
          <w:color w:val="1F497D"/>
          <w:sz w:val="23"/>
        </w:rPr>
        <w:t>Feature and Role Validation</w:t>
      </w:r>
    </w:p>
    <w:tbl>
      <w:tblPr>
        <w:tblStyle w:val="LightGrid-Accent1"/>
        <w:tblW w:type="auto" w:w="0"/>
        <w:jc w:val="center"/>
        <w:tblLook w:firstColumn="1" w:firstRow="1" w:lastColumn="0" w:lastRow="0" w:noHBand="0" w:noVBand="1" w:val="04A0"/>
      </w:tblPr>
      <w:tblGrid>
        <w:gridCol w:w="5040"/>
        <w:gridCol w:w="5040"/>
      </w:tblGrid>
      <w:tr>
        <w:trPr>
          <w:tblHeader w:val="true"/>
          <w:cantSplit/>
          <w:cantSplit/>
        </w:trPr>
        <w:tc>
          <w:tcPr>
            <w:tcW w:type="dxa" w:w="3456"/>
            <w:vAlign w:val="center"/>
          </w:tcPr>
          <w:p>
            <w:pPr>
              <w:spacing w:after="0"/>
              <w:jc w:val="center"/>
            </w:pPr>
            <w:r>
              <w:rPr>
                <w:rFonts w:ascii="Calibri" w:hAnsi="Calibri"/>
              </w:rPr>
            </w:r>
            <w:r>
              <w:rPr>
                <w:rFonts w:ascii="Calibri" w:hAnsi="Calibri"/>
                <w:b/>
                <w:sz w:val="21"/>
              </w:rPr>
              <w:t>Scenario</w:t>
            </w:r>
          </w:p>
        </w:tc>
        <w:tc>
          <w:tcPr>
            <w:tcW w:type="dxa" w:w="6624"/>
            <w:vAlign w:val="center"/>
          </w:tcPr>
          <w:p>
            <w:pPr>
              <w:spacing w:after="0"/>
              <w:jc w:val="center"/>
            </w:pPr>
            <w:r>
              <w:rPr>
                <w:rFonts w:ascii="Calibri" w:hAnsi="Calibri"/>
              </w:rPr>
            </w:r>
            <w:r>
              <w:rPr>
                <w:rFonts w:ascii="Calibri" w:hAnsi="Calibri"/>
                <w:b/>
                <w:sz w:val="21"/>
              </w:rPr>
              <w:t>Expected Result</w:t>
            </w:r>
          </w:p>
        </w:tc>
      </w:tr>
      <w:tr>
        <w:trPr>
          <w:cantSplit/>
          <w:cantSplit/>
        </w:trPr>
        <w:tc>
          <w:tcPr>
            <w:tcW w:type="dxa" w:w="3456"/>
            <w:vAlign w:val="center"/>
          </w:tcPr>
          <w:p>
            <w:pPr>
              <w:spacing w:after="0"/>
            </w:pPr>
            <w:r>
              <w:rPr>
                <w:rFonts w:ascii="Calibri" w:hAnsi="Calibri"/>
              </w:rPr>
            </w:r>
            <w:r>
              <w:rPr>
                <w:rFonts w:ascii="Calibri" w:hAnsi="Calibri"/>
                <w:sz w:val="20"/>
              </w:rPr>
              <w:t>General model selected</w:t>
            </w:r>
          </w:p>
        </w:tc>
        <w:tc>
          <w:tcPr>
            <w:tcW w:type="dxa" w:w="6624"/>
            <w:vAlign w:val="center"/>
          </w:tcPr>
          <w:p>
            <w:pPr>
              <w:spacing w:after="0"/>
            </w:pPr>
            <w:r>
              <w:rPr>
                <w:rFonts w:ascii="Calibri" w:hAnsi="Calibri"/>
              </w:rPr>
            </w:r>
            <w:r>
              <w:rPr>
                <w:rFonts w:ascii="Calibri" w:hAnsi="Calibri"/>
                <w:sz w:val="20"/>
              </w:rPr>
              <w:t>The application uses the full ordered set of 18 model features.</w:t>
            </w:r>
          </w:p>
        </w:tc>
      </w:tr>
      <w:tr>
        <w:trPr>
          <w:cantSplit/>
          <w:cantSplit/>
        </w:trPr>
        <w:tc>
          <w:tcPr>
            <w:tcW w:type="dxa" w:w="3456"/>
            <w:vAlign w:val="center"/>
          </w:tcPr>
          <w:p>
            <w:pPr>
              <w:spacing w:after="0"/>
            </w:pPr>
            <w:r>
              <w:rPr>
                <w:rFonts w:ascii="Calibri" w:hAnsi="Calibri"/>
              </w:rPr>
            </w:r>
            <w:r>
              <w:rPr>
                <w:rFonts w:ascii="Calibri" w:hAnsi="Calibri"/>
                <w:sz w:val="20"/>
              </w:rPr>
              <w:t>Batsman role selected</w:t>
            </w:r>
          </w:p>
        </w:tc>
        <w:tc>
          <w:tcPr>
            <w:tcW w:type="dxa" w:w="6624"/>
            <w:vAlign w:val="center"/>
          </w:tcPr>
          <w:p>
            <w:pPr>
              <w:spacing w:after="0"/>
            </w:pPr>
            <w:r>
              <w:rPr>
                <w:rFonts w:ascii="Calibri" w:hAnsi="Calibri"/>
              </w:rPr>
            </w:r>
            <w:r>
              <w:rPr>
                <w:rFonts w:ascii="Calibri" w:hAnsi="Calibri"/>
                <w:sz w:val="20"/>
              </w:rPr>
              <w:t>Only the batsman model and batsman-related inputs are used.</w:t>
            </w:r>
          </w:p>
        </w:tc>
      </w:tr>
      <w:tr>
        <w:trPr>
          <w:cantSplit/>
          <w:cantSplit/>
        </w:trPr>
        <w:tc>
          <w:tcPr>
            <w:tcW w:type="dxa" w:w="3456"/>
            <w:vAlign w:val="center"/>
          </w:tcPr>
          <w:p>
            <w:pPr>
              <w:spacing w:after="0"/>
            </w:pPr>
            <w:r>
              <w:rPr>
                <w:rFonts w:ascii="Calibri" w:hAnsi="Calibri"/>
              </w:rPr>
            </w:r>
            <w:r>
              <w:rPr>
                <w:rFonts w:ascii="Calibri" w:hAnsi="Calibri"/>
                <w:sz w:val="20"/>
              </w:rPr>
              <w:t>Bowler role selected</w:t>
            </w:r>
          </w:p>
        </w:tc>
        <w:tc>
          <w:tcPr>
            <w:tcW w:type="dxa" w:w="6624"/>
            <w:vAlign w:val="center"/>
          </w:tcPr>
          <w:p>
            <w:pPr>
              <w:spacing w:after="0"/>
            </w:pPr>
            <w:r>
              <w:rPr>
                <w:rFonts w:ascii="Calibri" w:hAnsi="Calibri"/>
              </w:rPr>
            </w:r>
            <w:r>
              <w:rPr>
                <w:rFonts w:ascii="Calibri" w:hAnsi="Calibri"/>
                <w:sz w:val="20"/>
              </w:rPr>
              <w:t>Only the bowler model and bowler-related inputs are used.</w:t>
            </w:r>
          </w:p>
        </w:tc>
      </w:tr>
      <w:tr>
        <w:trPr>
          <w:cantSplit/>
          <w:cantSplit/>
        </w:trPr>
        <w:tc>
          <w:tcPr>
            <w:tcW w:type="dxa" w:w="3456"/>
            <w:vAlign w:val="center"/>
          </w:tcPr>
          <w:p>
            <w:pPr>
              <w:spacing w:after="0"/>
            </w:pPr>
            <w:r>
              <w:rPr>
                <w:rFonts w:ascii="Calibri" w:hAnsi="Calibri"/>
              </w:rPr>
            </w:r>
            <w:r>
              <w:rPr>
                <w:rFonts w:ascii="Calibri" w:hAnsi="Calibri"/>
                <w:sz w:val="20"/>
              </w:rPr>
              <w:t>All-rounder role selected</w:t>
            </w:r>
          </w:p>
        </w:tc>
        <w:tc>
          <w:tcPr>
            <w:tcW w:type="dxa" w:w="6624"/>
            <w:vAlign w:val="center"/>
          </w:tcPr>
          <w:p>
            <w:pPr>
              <w:spacing w:after="0"/>
            </w:pPr>
            <w:r>
              <w:rPr>
                <w:rFonts w:ascii="Calibri" w:hAnsi="Calibri"/>
              </w:rPr>
            </w:r>
            <w:r>
              <w:rPr>
                <w:rFonts w:ascii="Calibri" w:hAnsi="Calibri"/>
                <w:sz w:val="20"/>
              </w:rPr>
              <w:t>The all-rounder model uses both batting and bowling information.</w:t>
            </w:r>
          </w:p>
        </w:tc>
      </w:tr>
      <w:tr>
        <w:trPr>
          <w:cantSplit/>
          <w:cantSplit/>
        </w:trPr>
        <w:tc>
          <w:tcPr>
            <w:tcW w:type="dxa" w:w="3456"/>
            <w:vAlign w:val="center"/>
          </w:tcPr>
          <w:p>
            <w:pPr>
              <w:spacing w:after="0"/>
            </w:pPr>
            <w:r>
              <w:rPr>
                <w:rFonts w:ascii="Calibri" w:hAnsi="Calibri"/>
              </w:rPr>
            </w:r>
            <w:r>
              <w:rPr>
                <w:rFonts w:ascii="Calibri" w:hAnsi="Calibri"/>
                <w:sz w:val="20"/>
              </w:rPr>
              <w:t>Feature order changed or missing</w:t>
            </w:r>
          </w:p>
        </w:tc>
        <w:tc>
          <w:tcPr>
            <w:tcW w:type="dxa" w:w="6624"/>
            <w:vAlign w:val="center"/>
          </w:tcPr>
          <w:p>
            <w:pPr>
              <w:spacing w:after="0"/>
            </w:pPr>
            <w:r>
              <w:rPr>
                <w:rFonts w:ascii="Calibri" w:hAnsi="Calibri"/>
              </w:rPr>
            </w:r>
            <w:r>
              <w:rPr>
                <w:rFonts w:ascii="Calibri" w:hAnsi="Calibri"/>
                <w:sz w:val="20"/>
              </w:rPr>
              <w:t>The system rejects the input or displays a controlled error instead of returning an unreliable prediction.</w:t>
            </w:r>
          </w:p>
        </w:tc>
      </w:tr>
    </w:tbl>
    <w:p>
      <w:pPr>
        <w:spacing w:after="0"/>
      </w:pPr>
    </w:p>
    <w:p>
      <w:pPr>
        <w:spacing w:before="140" w:after="80" w:line="240" w:lineRule="auto"/>
      </w:pPr>
      <w:r>
        <w:rPr>
          <w:rFonts w:ascii="Calibri" w:hAnsi="Calibri"/>
          <w:b/>
          <w:color w:val="1F497D"/>
          <w:sz w:val="26"/>
        </w:rPr>
        <w:t>4. Unit, Integration, and Regression Testing</w:t>
      </w:r>
    </w:p>
    <w:p>
      <w:pPr>
        <w:pStyle w:val="ListParagraph"/>
        <w:spacing w:after="40" w:line="240" w:lineRule="auto"/>
        <w:ind w:left="360" w:hanging="259"/>
      </w:pPr>
      <w:r>
        <w:t>•</w:t>
        <w:tab/>
      </w:r>
      <w:r>
        <w:t>The completed project contains notebooks, training code, saved models, comparison results, and application logic. However, a dedicated automated pytest test folder was not found in the supplied project package.</w:t>
      </w:r>
    </w:p>
    <w:p>
      <w:pPr>
        <w:pStyle w:val="ListParagraph"/>
        <w:spacing w:after="40" w:line="240" w:lineRule="auto"/>
        <w:ind w:left="360" w:hanging="259"/>
      </w:pPr>
      <w:r>
        <w:t>•</w:t>
        <w:tab/>
      </w:r>
      <w:r>
        <w:t>The following tests should be retained as repeatable regression tests so that future changes do not break the completed system.</w:t>
      </w:r>
    </w:p>
    <w:tbl>
      <w:tblPr>
        <w:tblStyle w:val="LightGrid-Accent1"/>
        <w:tblW w:type="auto" w:w="0"/>
        <w:jc w:val="center"/>
        <w:tblLook w:firstColumn="1" w:firstRow="1" w:lastColumn="0" w:lastRow="0" w:noHBand="0" w:noVBand="1" w:val="04A0"/>
      </w:tblPr>
      <w:tblGrid>
        <w:gridCol w:w="5040"/>
        <w:gridCol w:w="5040"/>
      </w:tblGrid>
      <w:tr>
        <w:trPr>
          <w:tblHeader w:val="true"/>
          <w:cantSplit/>
          <w:cantSplit/>
        </w:trPr>
        <w:tc>
          <w:tcPr>
            <w:tcW w:type="dxa" w:w="2304"/>
            <w:vAlign w:val="center"/>
          </w:tcPr>
          <w:p>
            <w:pPr>
              <w:spacing w:after="0"/>
              <w:jc w:val="center"/>
            </w:pPr>
            <w:r>
              <w:rPr>
                <w:rFonts w:ascii="Calibri" w:hAnsi="Calibri"/>
              </w:rPr>
            </w:r>
            <w:r>
              <w:rPr>
                <w:rFonts w:ascii="Calibri" w:hAnsi="Calibri"/>
                <w:b/>
                <w:sz w:val="21"/>
              </w:rPr>
              <w:t>Test Area</w:t>
            </w:r>
          </w:p>
        </w:tc>
        <w:tc>
          <w:tcPr>
            <w:tcW w:type="dxa" w:w="7776"/>
            <w:vAlign w:val="center"/>
          </w:tcPr>
          <w:p>
            <w:pPr>
              <w:spacing w:after="0"/>
              <w:jc w:val="center"/>
            </w:pPr>
            <w:r>
              <w:rPr>
                <w:rFonts w:ascii="Calibri" w:hAnsi="Calibri"/>
              </w:rPr>
            </w:r>
            <w:r>
              <w:rPr>
                <w:rFonts w:ascii="Calibri" w:hAnsi="Calibri"/>
                <w:b/>
                <w:sz w:val="21"/>
              </w:rPr>
              <w:t>Functions or Components to Test</w:t>
            </w:r>
          </w:p>
        </w:tc>
      </w:tr>
      <w:tr>
        <w:trPr>
          <w:cantSplit/>
          <w:cantSplit/>
        </w:trPr>
        <w:tc>
          <w:tcPr>
            <w:tcW w:type="dxa" w:w="2304"/>
            <w:vAlign w:val="center"/>
          </w:tcPr>
          <w:p>
            <w:pPr>
              <w:spacing w:after="0"/>
            </w:pPr>
            <w:r>
              <w:rPr>
                <w:rFonts w:ascii="Calibri" w:hAnsi="Calibri"/>
              </w:rPr>
            </w:r>
            <w:r>
              <w:rPr>
                <w:rFonts w:ascii="Calibri" w:hAnsi="Calibri"/>
                <w:sz w:val="20"/>
              </w:rPr>
              <w:t>Data utilities</w:t>
            </w:r>
          </w:p>
        </w:tc>
        <w:tc>
          <w:tcPr>
            <w:tcW w:type="dxa" w:w="7776"/>
            <w:vAlign w:val="center"/>
          </w:tcPr>
          <w:p>
            <w:pPr>
              <w:spacing w:after="0"/>
            </w:pPr>
            <w:r>
              <w:rPr>
                <w:rFonts w:ascii="Calibri" w:hAnsi="Calibri"/>
              </w:rPr>
            </w:r>
            <w:r>
              <w:rPr>
                <w:rFonts w:ascii="Calibri" w:hAnsi="Calibri"/>
                <w:sz w:val="20"/>
              </w:rPr>
              <w:t>CSV loading, numeric conversion, missing-value handling, duplicate removal, and processed dataset creation.</w:t>
            </w:r>
          </w:p>
        </w:tc>
      </w:tr>
      <w:tr>
        <w:trPr>
          <w:cantSplit/>
          <w:cantSplit/>
        </w:trPr>
        <w:tc>
          <w:tcPr>
            <w:tcW w:type="dxa" w:w="2304"/>
            <w:vAlign w:val="center"/>
          </w:tcPr>
          <w:p>
            <w:pPr>
              <w:spacing w:after="0"/>
            </w:pPr>
            <w:r>
              <w:rPr>
                <w:rFonts w:ascii="Calibri" w:hAnsi="Calibri"/>
              </w:rPr>
            </w:r>
            <w:r>
              <w:rPr>
                <w:rFonts w:ascii="Calibri" w:hAnsi="Calibri"/>
                <w:sz w:val="20"/>
              </w:rPr>
              <w:t>Feature engineering</w:t>
            </w:r>
          </w:p>
        </w:tc>
        <w:tc>
          <w:tcPr>
            <w:tcW w:type="dxa" w:w="7776"/>
            <w:vAlign w:val="center"/>
          </w:tcPr>
          <w:p>
            <w:pPr>
              <w:spacing w:after="0"/>
            </w:pPr>
            <w:r>
              <w:rPr>
                <w:rFonts w:ascii="Calibri" w:hAnsi="Calibri"/>
              </w:rPr>
            </w:r>
            <w:r>
              <w:rPr>
                <w:rFonts w:ascii="Calibri" w:hAnsi="Calibri"/>
                <w:sz w:val="20"/>
              </w:rPr>
              <w:t>Feature names, feature count, role-specific feature selection, target calculation, and feature order.</w:t>
            </w:r>
          </w:p>
        </w:tc>
      </w:tr>
      <w:tr>
        <w:trPr>
          <w:cantSplit/>
          <w:cantSplit/>
        </w:trPr>
        <w:tc>
          <w:tcPr>
            <w:tcW w:type="dxa" w:w="2304"/>
            <w:vAlign w:val="center"/>
          </w:tcPr>
          <w:p>
            <w:pPr>
              <w:spacing w:after="0"/>
            </w:pPr>
            <w:r>
              <w:rPr>
                <w:rFonts w:ascii="Calibri" w:hAnsi="Calibri"/>
              </w:rPr>
            </w:r>
            <w:r>
              <w:rPr>
                <w:rFonts w:ascii="Calibri" w:hAnsi="Calibri"/>
                <w:sz w:val="20"/>
              </w:rPr>
              <w:t>Model utilities</w:t>
            </w:r>
          </w:p>
        </w:tc>
        <w:tc>
          <w:tcPr>
            <w:tcW w:type="dxa" w:w="7776"/>
            <w:vAlign w:val="center"/>
          </w:tcPr>
          <w:p>
            <w:pPr>
              <w:spacing w:after="0"/>
            </w:pPr>
            <w:r>
              <w:rPr>
                <w:rFonts w:ascii="Calibri" w:hAnsi="Calibri"/>
              </w:rPr>
            </w:r>
            <w:r>
              <w:rPr>
                <w:rFonts w:ascii="Calibri" w:hAnsi="Calibri"/>
                <w:sz w:val="20"/>
              </w:rPr>
              <w:t>Model loading, metadata loading, deterministic inference, prediction clipping, and category conversion.</w:t>
            </w:r>
          </w:p>
        </w:tc>
      </w:tr>
      <w:tr>
        <w:trPr>
          <w:cantSplit/>
          <w:cantSplit/>
        </w:trPr>
        <w:tc>
          <w:tcPr>
            <w:tcW w:type="dxa" w:w="2304"/>
            <w:vAlign w:val="center"/>
          </w:tcPr>
          <w:p>
            <w:pPr>
              <w:spacing w:after="0"/>
            </w:pPr>
            <w:r>
              <w:rPr>
                <w:rFonts w:ascii="Calibri" w:hAnsi="Calibri"/>
              </w:rPr>
            </w:r>
            <w:r>
              <w:rPr>
                <w:rFonts w:ascii="Calibri" w:hAnsi="Calibri"/>
                <w:sz w:val="20"/>
              </w:rPr>
              <w:t>Application logic</w:t>
            </w:r>
          </w:p>
        </w:tc>
        <w:tc>
          <w:tcPr>
            <w:tcW w:type="dxa" w:w="7776"/>
            <w:vAlign w:val="center"/>
          </w:tcPr>
          <w:p>
            <w:pPr>
              <w:spacing w:after="0"/>
            </w:pPr>
            <w:r>
              <w:rPr>
                <w:rFonts w:ascii="Calibri" w:hAnsi="Calibri"/>
              </w:rPr>
            </w:r>
            <w:r>
              <w:rPr>
                <w:rFonts w:ascii="Calibri" w:hAnsi="Calibri"/>
                <w:sz w:val="20"/>
              </w:rPr>
              <w:t>Role selection, model selection, input preparation, validation, error messages, and output rendering.</w:t>
            </w:r>
          </w:p>
        </w:tc>
      </w:tr>
      <w:tr>
        <w:trPr>
          <w:cantSplit/>
          <w:cantSplit/>
        </w:trPr>
        <w:tc>
          <w:tcPr>
            <w:tcW w:type="dxa" w:w="2304"/>
            <w:vAlign w:val="center"/>
          </w:tcPr>
          <w:p>
            <w:pPr>
              <w:spacing w:after="0"/>
            </w:pPr>
            <w:r>
              <w:rPr>
                <w:rFonts w:ascii="Calibri" w:hAnsi="Calibri"/>
              </w:rPr>
            </w:r>
            <w:r>
              <w:rPr>
                <w:rFonts w:ascii="Calibri" w:hAnsi="Calibri"/>
                <w:sz w:val="20"/>
              </w:rPr>
              <w:t>Integration</w:t>
            </w:r>
          </w:p>
        </w:tc>
        <w:tc>
          <w:tcPr>
            <w:tcW w:type="dxa" w:w="7776"/>
            <w:vAlign w:val="center"/>
          </w:tcPr>
          <w:p>
            <w:pPr>
              <w:spacing w:after="0"/>
            </w:pPr>
            <w:r>
              <w:rPr>
                <w:rFonts w:ascii="Calibri" w:hAnsi="Calibri"/>
              </w:rPr>
            </w:r>
            <w:r>
              <w:rPr>
                <w:rFonts w:ascii="Calibri" w:hAnsi="Calibri"/>
                <w:sz w:val="20"/>
              </w:rPr>
              <w:t>Complete flow from user input to feature vector, saved model prediction, score category, and analysis display.</w:t>
            </w:r>
          </w:p>
        </w:tc>
      </w:tr>
    </w:tbl>
    <w:p>
      <w:pPr>
        <w:spacing w:after="0"/>
      </w:pPr>
    </w:p>
    <w:p>
      <w:pPr>
        <w:spacing w:before="140" w:after="80" w:line="240" w:lineRule="auto"/>
      </w:pPr>
      <w:r>
        <w:rPr>
          <w:rFonts w:ascii="Calibri" w:hAnsi="Calibri"/>
          <w:b/>
          <w:color w:val="1F497D"/>
          <w:sz w:val="26"/>
        </w:rPr>
        <w:t>5. Model Performance Evaluation Against KPIs</w:t>
      </w:r>
    </w:p>
    <w:p>
      <w:pPr>
        <w:pStyle w:val="ListParagraph"/>
        <w:spacing w:after="40" w:line="240" w:lineRule="auto"/>
        <w:ind w:left="360" w:hanging="259"/>
      </w:pPr>
      <w:r>
        <w:t>•</w:t>
        <w:tab/>
      </w:r>
      <w:r>
        <w:t>Regression models are evaluated using R², Mean Absolute Error (MAE), and Root Mean Squared Error (RMSE). The recorded results in the completed project show that the best models perform strongly on the held-out test data.</w:t>
      </w:r>
    </w:p>
    <w:tbl>
      <w:tblPr>
        <w:tblStyle w:val="LightGrid-Accent1"/>
        <w:tblW w:type="auto" w:w="0"/>
        <w:jc w:val="center"/>
        <w:tblLook w:firstColumn="1" w:firstRow="1" w:lastColumn="0" w:lastRow="0" w:noHBand="0" w:noVBand="1" w:val="04A0"/>
      </w:tblPr>
      <w:tblGrid>
        <w:gridCol w:w="2016"/>
        <w:gridCol w:w="2016"/>
        <w:gridCol w:w="2016"/>
        <w:gridCol w:w="2016"/>
        <w:gridCol w:w="2016"/>
      </w:tblGrid>
      <w:tr>
        <w:trPr>
          <w:tblHeader w:val="true"/>
          <w:cantSplit/>
          <w:cantSplit/>
        </w:trPr>
        <w:tc>
          <w:tcPr>
            <w:tcW w:type="dxa" w:w="3168"/>
            <w:vAlign w:val="center"/>
          </w:tcPr>
          <w:p>
            <w:pPr>
              <w:spacing w:after="0"/>
              <w:jc w:val="center"/>
            </w:pPr>
            <w:r>
              <w:rPr>
                <w:rFonts w:ascii="Calibri" w:hAnsi="Calibri"/>
              </w:rPr>
            </w:r>
            <w:r>
              <w:rPr>
                <w:rFonts w:ascii="Calibri" w:hAnsi="Calibri"/>
                <w:b/>
                <w:sz w:val="21"/>
              </w:rPr>
              <w:t>Model / Role</w:t>
            </w:r>
          </w:p>
        </w:tc>
        <w:tc>
          <w:tcPr>
            <w:tcW w:type="dxa" w:w="1152"/>
            <w:vAlign w:val="center"/>
          </w:tcPr>
          <w:p>
            <w:pPr>
              <w:spacing w:after="0"/>
              <w:jc w:val="center"/>
            </w:pPr>
            <w:r>
              <w:rPr>
                <w:rFonts w:ascii="Calibri" w:hAnsi="Calibri"/>
              </w:rPr>
            </w:r>
            <w:r>
              <w:rPr>
                <w:rFonts w:ascii="Calibri" w:hAnsi="Calibri"/>
                <w:b/>
                <w:sz w:val="21"/>
              </w:rPr>
              <w:t>R²</w:t>
            </w:r>
          </w:p>
        </w:tc>
        <w:tc>
          <w:tcPr>
            <w:tcW w:type="dxa" w:w="1152"/>
            <w:vAlign w:val="center"/>
          </w:tcPr>
          <w:p>
            <w:pPr>
              <w:spacing w:after="0"/>
              <w:jc w:val="center"/>
            </w:pPr>
            <w:r>
              <w:rPr>
                <w:rFonts w:ascii="Calibri" w:hAnsi="Calibri"/>
              </w:rPr>
            </w:r>
            <w:r>
              <w:rPr>
                <w:rFonts w:ascii="Calibri" w:hAnsi="Calibri"/>
                <w:b/>
                <w:sz w:val="21"/>
              </w:rPr>
              <w:t>MAE</w:t>
            </w:r>
          </w:p>
        </w:tc>
        <w:tc>
          <w:tcPr>
            <w:tcW w:type="dxa" w:w="1152"/>
            <w:vAlign w:val="center"/>
          </w:tcPr>
          <w:p>
            <w:pPr>
              <w:spacing w:after="0"/>
              <w:jc w:val="center"/>
            </w:pPr>
            <w:r>
              <w:rPr>
                <w:rFonts w:ascii="Calibri" w:hAnsi="Calibri"/>
              </w:rPr>
            </w:r>
            <w:r>
              <w:rPr>
                <w:rFonts w:ascii="Calibri" w:hAnsi="Calibri"/>
                <w:b/>
                <w:sz w:val="21"/>
              </w:rPr>
              <w:t>RMSE</w:t>
            </w:r>
          </w:p>
        </w:tc>
        <w:tc>
          <w:tcPr>
            <w:tcW w:type="dxa" w:w="3024"/>
            <w:vAlign w:val="center"/>
          </w:tcPr>
          <w:p>
            <w:pPr>
              <w:spacing w:after="0"/>
              <w:jc w:val="center"/>
            </w:pPr>
            <w:r>
              <w:rPr>
                <w:rFonts w:ascii="Calibri" w:hAnsi="Calibri"/>
              </w:rPr>
            </w:r>
            <w:r>
              <w:rPr>
                <w:rFonts w:ascii="Calibri" w:hAnsi="Calibri"/>
                <w:b/>
                <w:sz w:val="21"/>
              </w:rPr>
              <w:t>Result</w:t>
            </w:r>
          </w:p>
        </w:tc>
      </w:tr>
      <w:tr>
        <w:trPr>
          <w:cantSplit/>
          <w:cantSplit/>
        </w:trPr>
        <w:tc>
          <w:tcPr>
            <w:tcW w:type="dxa" w:w="3168"/>
            <w:vAlign w:val="center"/>
          </w:tcPr>
          <w:p>
            <w:pPr>
              <w:spacing w:after="0"/>
            </w:pPr>
            <w:r>
              <w:rPr>
                <w:rFonts w:ascii="Calibri" w:hAnsi="Calibri"/>
              </w:rPr>
            </w:r>
            <w:r>
              <w:rPr>
                <w:rFonts w:ascii="Calibri" w:hAnsi="Calibri"/>
                <w:sz w:val="20"/>
              </w:rPr>
              <w:t>General LightGBM</w:t>
            </w:r>
          </w:p>
        </w:tc>
        <w:tc>
          <w:tcPr>
            <w:tcW w:type="dxa" w:w="1152"/>
            <w:vAlign w:val="center"/>
          </w:tcPr>
          <w:p>
            <w:pPr>
              <w:spacing w:after="0"/>
            </w:pPr>
            <w:r>
              <w:rPr>
                <w:rFonts w:ascii="Calibri" w:hAnsi="Calibri"/>
              </w:rPr>
            </w:r>
            <w:r>
              <w:rPr>
                <w:rFonts w:ascii="Calibri" w:hAnsi="Calibri"/>
                <w:sz w:val="20"/>
              </w:rPr>
              <w:t>0.9803</w:t>
            </w:r>
          </w:p>
        </w:tc>
        <w:tc>
          <w:tcPr>
            <w:tcW w:type="dxa" w:w="1152"/>
            <w:vAlign w:val="center"/>
          </w:tcPr>
          <w:p>
            <w:pPr>
              <w:spacing w:after="0"/>
            </w:pPr>
            <w:r>
              <w:rPr>
                <w:rFonts w:ascii="Calibri" w:hAnsi="Calibri"/>
              </w:rPr>
            </w:r>
            <w:r>
              <w:rPr>
                <w:rFonts w:ascii="Calibri" w:hAnsi="Calibri"/>
                <w:sz w:val="20"/>
              </w:rPr>
              <w:t>0.0771</w:t>
            </w:r>
          </w:p>
        </w:tc>
        <w:tc>
          <w:tcPr>
            <w:tcW w:type="dxa" w:w="1152"/>
            <w:vAlign w:val="center"/>
          </w:tcPr>
          <w:p>
            <w:pPr>
              <w:spacing w:after="0"/>
            </w:pPr>
            <w:r>
              <w:rPr>
                <w:rFonts w:ascii="Calibri" w:hAnsi="Calibri"/>
              </w:rPr>
            </w:r>
            <w:r>
              <w:rPr>
                <w:rFonts w:ascii="Calibri" w:hAnsi="Calibri"/>
                <w:sz w:val="20"/>
              </w:rPr>
              <w:t>0.1097</w:t>
            </w:r>
          </w:p>
        </w:tc>
        <w:tc>
          <w:tcPr>
            <w:tcW w:type="dxa" w:w="3024"/>
            <w:vAlign w:val="center"/>
          </w:tcPr>
          <w:p>
            <w:pPr>
              <w:spacing w:after="0"/>
            </w:pPr>
            <w:r>
              <w:rPr>
                <w:rFonts w:ascii="Calibri" w:hAnsi="Calibri"/>
              </w:rPr>
            </w:r>
            <w:r>
              <w:rPr>
                <w:rFonts w:ascii="Calibri" w:hAnsi="Calibri"/>
                <w:sz w:val="20"/>
              </w:rPr>
              <w:t>Best general model</w:t>
            </w:r>
          </w:p>
        </w:tc>
      </w:tr>
      <w:tr>
        <w:trPr>
          <w:cantSplit/>
          <w:cantSplit/>
        </w:trPr>
        <w:tc>
          <w:tcPr>
            <w:tcW w:type="dxa" w:w="3168"/>
            <w:vAlign w:val="center"/>
          </w:tcPr>
          <w:p>
            <w:pPr>
              <w:spacing w:after="0"/>
            </w:pPr>
            <w:r>
              <w:rPr>
                <w:rFonts w:ascii="Calibri" w:hAnsi="Calibri"/>
              </w:rPr>
            </w:r>
            <w:r>
              <w:rPr>
                <w:rFonts w:ascii="Calibri" w:hAnsi="Calibri"/>
                <w:sz w:val="20"/>
              </w:rPr>
              <w:t>Batsman Ensemble</w:t>
            </w:r>
          </w:p>
        </w:tc>
        <w:tc>
          <w:tcPr>
            <w:tcW w:type="dxa" w:w="1152"/>
            <w:vAlign w:val="center"/>
          </w:tcPr>
          <w:p>
            <w:pPr>
              <w:spacing w:after="0"/>
            </w:pPr>
            <w:r>
              <w:rPr>
                <w:rFonts w:ascii="Calibri" w:hAnsi="Calibri"/>
              </w:rPr>
            </w:r>
            <w:r>
              <w:rPr>
                <w:rFonts w:ascii="Calibri" w:hAnsi="Calibri"/>
                <w:sz w:val="20"/>
              </w:rPr>
              <w:t>0.9807</w:t>
            </w:r>
          </w:p>
        </w:tc>
        <w:tc>
          <w:tcPr>
            <w:tcW w:type="dxa" w:w="1152"/>
            <w:vAlign w:val="center"/>
          </w:tcPr>
          <w:p>
            <w:pPr>
              <w:spacing w:after="0"/>
            </w:pPr>
            <w:r>
              <w:rPr>
                <w:rFonts w:ascii="Calibri" w:hAnsi="Calibri"/>
              </w:rPr>
            </w:r>
            <w:r>
              <w:rPr>
                <w:rFonts w:ascii="Calibri" w:hAnsi="Calibri"/>
                <w:sz w:val="20"/>
              </w:rPr>
              <w:t>0.0678</w:t>
            </w:r>
          </w:p>
        </w:tc>
        <w:tc>
          <w:tcPr>
            <w:tcW w:type="dxa" w:w="1152"/>
            <w:vAlign w:val="center"/>
          </w:tcPr>
          <w:p>
            <w:pPr>
              <w:spacing w:after="0"/>
            </w:pPr>
            <w:r>
              <w:rPr>
                <w:rFonts w:ascii="Calibri" w:hAnsi="Calibri"/>
              </w:rPr>
            </w:r>
            <w:r>
              <w:rPr>
                <w:rFonts w:ascii="Calibri" w:hAnsi="Calibri"/>
                <w:sz w:val="20"/>
              </w:rPr>
              <w:t>0.1054</w:t>
            </w:r>
          </w:p>
        </w:tc>
        <w:tc>
          <w:tcPr>
            <w:tcW w:type="dxa" w:w="3024"/>
            <w:vAlign w:val="center"/>
          </w:tcPr>
          <w:p>
            <w:pPr>
              <w:spacing w:after="0"/>
            </w:pPr>
            <w:r>
              <w:rPr>
                <w:rFonts w:ascii="Calibri" w:hAnsi="Calibri"/>
              </w:rPr>
            </w:r>
            <w:r>
              <w:rPr>
                <w:rFonts w:ascii="Calibri" w:hAnsi="Calibri"/>
                <w:sz w:val="20"/>
              </w:rPr>
              <w:t>Best batsman result</w:t>
            </w:r>
          </w:p>
        </w:tc>
      </w:tr>
      <w:tr>
        <w:trPr>
          <w:cantSplit/>
          <w:cantSplit/>
        </w:trPr>
        <w:tc>
          <w:tcPr>
            <w:tcW w:type="dxa" w:w="3168"/>
            <w:vAlign w:val="center"/>
          </w:tcPr>
          <w:p>
            <w:pPr>
              <w:spacing w:after="0"/>
            </w:pPr>
            <w:r>
              <w:rPr>
                <w:rFonts w:ascii="Calibri" w:hAnsi="Calibri"/>
              </w:rPr>
            </w:r>
            <w:r>
              <w:rPr>
                <w:rFonts w:ascii="Calibri" w:hAnsi="Calibri"/>
                <w:sz w:val="20"/>
              </w:rPr>
              <w:t>Bowler Ensemble</w:t>
            </w:r>
          </w:p>
        </w:tc>
        <w:tc>
          <w:tcPr>
            <w:tcW w:type="dxa" w:w="1152"/>
            <w:vAlign w:val="center"/>
          </w:tcPr>
          <w:p>
            <w:pPr>
              <w:spacing w:after="0"/>
            </w:pPr>
            <w:r>
              <w:rPr>
                <w:rFonts w:ascii="Calibri" w:hAnsi="Calibri"/>
              </w:rPr>
            </w:r>
            <w:r>
              <w:rPr>
                <w:rFonts w:ascii="Calibri" w:hAnsi="Calibri"/>
                <w:sz w:val="20"/>
              </w:rPr>
              <w:t>0.9527</w:t>
            </w:r>
          </w:p>
        </w:tc>
        <w:tc>
          <w:tcPr>
            <w:tcW w:type="dxa" w:w="1152"/>
            <w:vAlign w:val="center"/>
          </w:tcPr>
          <w:p>
            <w:pPr>
              <w:spacing w:after="0"/>
            </w:pPr>
            <w:r>
              <w:rPr>
                <w:rFonts w:ascii="Calibri" w:hAnsi="Calibri"/>
              </w:rPr>
            </w:r>
            <w:r>
              <w:rPr>
                <w:rFonts w:ascii="Calibri" w:hAnsi="Calibri"/>
                <w:sz w:val="20"/>
              </w:rPr>
              <w:t>0.0890</w:t>
            </w:r>
          </w:p>
        </w:tc>
        <w:tc>
          <w:tcPr>
            <w:tcW w:type="dxa" w:w="1152"/>
            <w:vAlign w:val="center"/>
          </w:tcPr>
          <w:p>
            <w:pPr>
              <w:spacing w:after="0"/>
            </w:pPr>
            <w:r>
              <w:rPr>
                <w:rFonts w:ascii="Calibri" w:hAnsi="Calibri"/>
              </w:rPr>
            </w:r>
            <w:r>
              <w:rPr>
                <w:rFonts w:ascii="Calibri" w:hAnsi="Calibri"/>
                <w:sz w:val="20"/>
              </w:rPr>
              <w:t>0.1367</w:t>
            </w:r>
          </w:p>
        </w:tc>
        <w:tc>
          <w:tcPr>
            <w:tcW w:type="dxa" w:w="3024"/>
            <w:vAlign w:val="center"/>
          </w:tcPr>
          <w:p>
            <w:pPr>
              <w:spacing w:after="0"/>
            </w:pPr>
            <w:r>
              <w:rPr>
                <w:rFonts w:ascii="Calibri" w:hAnsi="Calibri"/>
              </w:rPr>
            </w:r>
            <w:r>
              <w:rPr>
                <w:rFonts w:ascii="Calibri" w:hAnsi="Calibri"/>
                <w:sz w:val="20"/>
              </w:rPr>
              <w:t>Best bowler result</w:t>
            </w:r>
          </w:p>
        </w:tc>
      </w:tr>
      <w:tr>
        <w:trPr>
          <w:cantSplit/>
          <w:cantSplit/>
        </w:trPr>
        <w:tc>
          <w:tcPr>
            <w:tcW w:type="dxa" w:w="3168"/>
            <w:vAlign w:val="center"/>
          </w:tcPr>
          <w:p>
            <w:pPr>
              <w:spacing w:after="0"/>
            </w:pPr>
            <w:r>
              <w:rPr>
                <w:rFonts w:ascii="Calibri" w:hAnsi="Calibri"/>
              </w:rPr>
            </w:r>
            <w:r>
              <w:rPr>
                <w:rFonts w:ascii="Calibri" w:hAnsi="Calibri"/>
                <w:sz w:val="20"/>
              </w:rPr>
              <w:t>All-rounder LightGBM</w:t>
            </w:r>
          </w:p>
        </w:tc>
        <w:tc>
          <w:tcPr>
            <w:tcW w:type="dxa" w:w="1152"/>
            <w:vAlign w:val="center"/>
          </w:tcPr>
          <w:p>
            <w:pPr>
              <w:spacing w:after="0"/>
            </w:pPr>
            <w:r>
              <w:rPr>
                <w:rFonts w:ascii="Calibri" w:hAnsi="Calibri"/>
              </w:rPr>
            </w:r>
            <w:r>
              <w:rPr>
                <w:rFonts w:ascii="Calibri" w:hAnsi="Calibri"/>
                <w:sz w:val="20"/>
              </w:rPr>
              <w:t>0.9069</w:t>
            </w:r>
          </w:p>
        </w:tc>
        <w:tc>
          <w:tcPr>
            <w:tcW w:type="dxa" w:w="1152"/>
            <w:vAlign w:val="center"/>
          </w:tcPr>
          <w:p>
            <w:pPr>
              <w:spacing w:after="0"/>
            </w:pPr>
            <w:r>
              <w:rPr>
                <w:rFonts w:ascii="Calibri" w:hAnsi="Calibri"/>
              </w:rPr>
            </w:r>
            <w:r>
              <w:rPr>
                <w:rFonts w:ascii="Calibri" w:hAnsi="Calibri"/>
                <w:sz w:val="20"/>
              </w:rPr>
              <w:t>0.1369</w:t>
            </w:r>
          </w:p>
        </w:tc>
        <w:tc>
          <w:tcPr>
            <w:tcW w:type="dxa" w:w="1152"/>
            <w:vAlign w:val="center"/>
          </w:tcPr>
          <w:p>
            <w:pPr>
              <w:spacing w:after="0"/>
            </w:pPr>
            <w:r>
              <w:rPr>
                <w:rFonts w:ascii="Calibri" w:hAnsi="Calibri"/>
              </w:rPr>
            </w:r>
            <w:r>
              <w:rPr>
                <w:rFonts w:ascii="Calibri" w:hAnsi="Calibri"/>
                <w:sz w:val="20"/>
              </w:rPr>
              <w:t>0.2486</w:t>
            </w:r>
          </w:p>
        </w:tc>
        <w:tc>
          <w:tcPr>
            <w:tcW w:type="dxa" w:w="3024"/>
            <w:vAlign w:val="center"/>
          </w:tcPr>
          <w:p>
            <w:pPr>
              <w:spacing w:after="0"/>
            </w:pPr>
            <w:r>
              <w:rPr>
                <w:rFonts w:ascii="Calibri" w:hAnsi="Calibri"/>
              </w:rPr>
            </w:r>
            <w:r>
              <w:rPr>
                <w:rFonts w:ascii="Calibri" w:hAnsi="Calibri"/>
                <w:sz w:val="20"/>
              </w:rPr>
              <w:t>Best all-rounder result</w:t>
            </w:r>
          </w:p>
        </w:tc>
      </w:tr>
    </w:tbl>
    <w:p>
      <w:pPr>
        <w:spacing w:after="0"/>
      </w:pPr>
    </w:p>
    <w:p>
      <w:pPr>
        <w:spacing w:before="140" w:after="80" w:line="240" w:lineRule="auto"/>
      </w:pPr>
      <w:r>
        <w:rPr>
          <w:rFonts w:ascii="Calibri" w:hAnsi="Calibri"/>
          <w:b/>
          <w:color w:val="1F497D"/>
          <w:sz w:val="23"/>
        </w:rPr>
        <w:t>Model Test Scenarios</w:t>
      </w:r>
    </w:p>
    <w:tbl>
      <w:tblPr>
        <w:tblStyle w:val="LightGrid-Accent1"/>
        <w:tblW w:type="auto" w:w="0"/>
        <w:jc w:val="center"/>
        <w:tblLook w:firstColumn="1" w:firstRow="1" w:lastColumn="0" w:lastRow="0" w:noHBand="0" w:noVBand="1" w:val="04A0"/>
      </w:tblPr>
      <w:tblGrid>
        <w:gridCol w:w="3360"/>
        <w:gridCol w:w="3360"/>
        <w:gridCol w:w="3360"/>
      </w:tblGrid>
      <w:tr>
        <w:trPr>
          <w:tblHeader w:val="true"/>
          <w:cantSplit/>
          <w:cantSplit/>
        </w:trPr>
        <w:tc>
          <w:tcPr>
            <w:tcW w:type="dxa" w:w="1728"/>
            <w:vAlign w:val="center"/>
          </w:tcPr>
          <w:p>
            <w:pPr>
              <w:spacing w:after="0"/>
              <w:jc w:val="center"/>
            </w:pPr>
            <w:r>
              <w:rPr>
                <w:rFonts w:ascii="Calibri" w:hAnsi="Calibri"/>
              </w:rPr>
            </w:r>
            <w:r>
              <w:rPr>
                <w:rFonts w:ascii="Calibri" w:hAnsi="Calibri"/>
                <w:b/>
                <w:sz w:val="21"/>
              </w:rPr>
              <w:t>Test ID</w:t>
            </w:r>
          </w:p>
        </w:tc>
        <w:tc>
          <w:tcPr>
            <w:tcW w:type="dxa" w:w="3816"/>
            <w:vAlign w:val="center"/>
          </w:tcPr>
          <w:p>
            <w:pPr>
              <w:spacing w:after="0"/>
              <w:jc w:val="center"/>
            </w:pPr>
            <w:r>
              <w:rPr>
                <w:rFonts w:ascii="Calibri" w:hAnsi="Calibri"/>
              </w:rPr>
            </w:r>
            <w:r>
              <w:rPr>
                <w:rFonts w:ascii="Calibri" w:hAnsi="Calibri"/>
                <w:b/>
                <w:sz w:val="21"/>
              </w:rPr>
              <w:t>Test Scenario</w:t>
            </w:r>
          </w:p>
        </w:tc>
        <w:tc>
          <w:tcPr>
            <w:tcW w:type="dxa" w:w="4536"/>
            <w:vAlign w:val="center"/>
          </w:tcPr>
          <w:p>
            <w:pPr>
              <w:spacing w:after="0"/>
              <w:jc w:val="center"/>
            </w:pPr>
            <w:r>
              <w:rPr>
                <w:rFonts w:ascii="Calibri" w:hAnsi="Calibri"/>
              </w:rPr>
            </w:r>
            <w:r>
              <w:rPr>
                <w:rFonts w:ascii="Calibri" w:hAnsi="Calibri"/>
                <w:b/>
                <w:sz w:val="21"/>
              </w:rPr>
              <w:t>Expected Result</w:t>
            </w:r>
          </w:p>
        </w:tc>
      </w:tr>
      <w:tr>
        <w:trPr>
          <w:cantSplit/>
          <w:cantSplit/>
        </w:trPr>
        <w:tc>
          <w:tcPr>
            <w:tcW w:type="dxa" w:w="1728"/>
            <w:vAlign w:val="center"/>
          </w:tcPr>
          <w:p>
            <w:pPr>
              <w:spacing w:after="0"/>
            </w:pPr>
            <w:r>
              <w:rPr>
                <w:rFonts w:ascii="Calibri" w:hAnsi="Calibri"/>
              </w:rPr>
            </w:r>
            <w:r>
              <w:rPr>
                <w:rFonts w:ascii="Calibri" w:hAnsi="Calibri"/>
                <w:sz w:val="20"/>
              </w:rPr>
              <w:t>TC-MODEL-01</w:t>
            </w:r>
          </w:p>
        </w:tc>
        <w:tc>
          <w:tcPr>
            <w:tcW w:type="dxa" w:w="3816"/>
            <w:vAlign w:val="center"/>
          </w:tcPr>
          <w:p>
            <w:pPr>
              <w:spacing w:after="0"/>
            </w:pPr>
            <w:r>
              <w:rPr>
                <w:rFonts w:ascii="Calibri" w:hAnsi="Calibri"/>
              </w:rPr>
            </w:r>
            <w:r>
              <w:rPr>
                <w:rFonts w:ascii="Calibri" w:hAnsi="Calibri"/>
                <w:sz w:val="20"/>
              </w:rPr>
              <w:t>Load every saved .pkl model.</w:t>
            </w:r>
          </w:p>
        </w:tc>
        <w:tc>
          <w:tcPr>
            <w:tcW w:type="dxa" w:w="4536"/>
            <w:vAlign w:val="center"/>
          </w:tcPr>
          <w:p>
            <w:pPr>
              <w:spacing w:after="0"/>
            </w:pPr>
            <w:r>
              <w:rPr>
                <w:rFonts w:ascii="Calibri" w:hAnsi="Calibri"/>
              </w:rPr>
            </w:r>
            <w:r>
              <w:rPr>
                <w:rFonts w:ascii="Calibri" w:hAnsi="Calibri"/>
                <w:sz w:val="20"/>
              </w:rPr>
              <w:t>Each artifact loads without corruption or dependency error.</w:t>
            </w:r>
          </w:p>
        </w:tc>
      </w:tr>
      <w:tr>
        <w:trPr>
          <w:cantSplit/>
          <w:cantSplit/>
        </w:trPr>
        <w:tc>
          <w:tcPr>
            <w:tcW w:type="dxa" w:w="1728"/>
            <w:vAlign w:val="center"/>
          </w:tcPr>
          <w:p>
            <w:pPr>
              <w:spacing w:after="0"/>
            </w:pPr>
            <w:r>
              <w:rPr>
                <w:rFonts w:ascii="Calibri" w:hAnsi="Calibri"/>
              </w:rPr>
            </w:r>
            <w:r>
              <w:rPr>
                <w:rFonts w:ascii="Calibri" w:hAnsi="Calibri"/>
                <w:sz w:val="20"/>
              </w:rPr>
              <w:t>TC-MODEL-02</w:t>
            </w:r>
          </w:p>
        </w:tc>
        <w:tc>
          <w:tcPr>
            <w:tcW w:type="dxa" w:w="3816"/>
            <w:vAlign w:val="center"/>
          </w:tcPr>
          <w:p>
            <w:pPr>
              <w:spacing w:after="0"/>
            </w:pPr>
            <w:r>
              <w:rPr>
                <w:rFonts w:ascii="Calibri" w:hAnsi="Calibri"/>
              </w:rPr>
            </w:r>
            <w:r>
              <w:rPr>
                <w:rFonts w:ascii="Calibri" w:hAnsi="Calibri"/>
                <w:sz w:val="20"/>
              </w:rPr>
              <w:t>Compare model feature metadata with application inputs.</w:t>
            </w:r>
          </w:p>
        </w:tc>
        <w:tc>
          <w:tcPr>
            <w:tcW w:type="dxa" w:w="4536"/>
            <w:vAlign w:val="center"/>
          </w:tcPr>
          <w:p>
            <w:pPr>
              <w:spacing w:after="0"/>
            </w:pPr>
            <w:r>
              <w:rPr>
                <w:rFonts w:ascii="Calibri" w:hAnsi="Calibri"/>
              </w:rPr>
            </w:r>
            <w:r>
              <w:rPr>
                <w:rFonts w:ascii="Calibri" w:hAnsi="Calibri"/>
                <w:sz w:val="20"/>
              </w:rPr>
              <w:t>Names, number, and order of features match exactly.</w:t>
            </w:r>
          </w:p>
        </w:tc>
      </w:tr>
      <w:tr>
        <w:trPr>
          <w:cantSplit/>
          <w:cantSplit/>
        </w:trPr>
        <w:tc>
          <w:tcPr>
            <w:tcW w:type="dxa" w:w="1728"/>
            <w:vAlign w:val="center"/>
          </w:tcPr>
          <w:p>
            <w:pPr>
              <w:spacing w:after="0"/>
            </w:pPr>
            <w:r>
              <w:rPr>
                <w:rFonts w:ascii="Calibri" w:hAnsi="Calibri"/>
              </w:rPr>
            </w:r>
            <w:r>
              <w:rPr>
                <w:rFonts w:ascii="Calibri" w:hAnsi="Calibri"/>
                <w:sz w:val="20"/>
              </w:rPr>
              <w:t>TC-MODEL-03</w:t>
            </w:r>
          </w:p>
        </w:tc>
        <w:tc>
          <w:tcPr>
            <w:tcW w:type="dxa" w:w="3816"/>
            <w:vAlign w:val="center"/>
          </w:tcPr>
          <w:p>
            <w:pPr>
              <w:spacing w:after="0"/>
            </w:pPr>
            <w:r>
              <w:rPr>
                <w:rFonts w:ascii="Calibri" w:hAnsi="Calibri"/>
              </w:rPr>
            </w:r>
            <w:r>
              <w:rPr>
                <w:rFonts w:ascii="Calibri" w:hAnsi="Calibri"/>
                <w:sz w:val="20"/>
              </w:rPr>
              <w:t>Run the same valid input more than once.</w:t>
            </w:r>
          </w:p>
        </w:tc>
        <w:tc>
          <w:tcPr>
            <w:tcW w:type="dxa" w:w="4536"/>
            <w:vAlign w:val="center"/>
          </w:tcPr>
          <w:p>
            <w:pPr>
              <w:spacing w:after="0"/>
            </w:pPr>
            <w:r>
              <w:rPr>
                <w:rFonts w:ascii="Calibri" w:hAnsi="Calibri"/>
              </w:rPr>
            </w:r>
            <w:r>
              <w:rPr>
                <w:rFonts w:ascii="Calibri" w:hAnsi="Calibri"/>
                <w:sz w:val="20"/>
              </w:rPr>
              <w:t>The model returns the same prediction for identical input.</w:t>
            </w:r>
          </w:p>
        </w:tc>
      </w:tr>
      <w:tr>
        <w:trPr>
          <w:cantSplit/>
          <w:cantSplit/>
        </w:trPr>
        <w:tc>
          <w:tcPr>
            <w:tcW w:type="dxa" w:w="1728"/>
            <w:vAlign w:val="center"/>
          </w:tcPr>
          <w:p>
            <w:pPr>
              <w:spacing w:after="0"/>
            </w:pPr>
            <w:r>
              <w:rPr>
                <w:rFonts w:ascii="Calibri" w:hAnsi="Calibri"/>
              </w:rPr>
            </w:r>
            <w:r>
              <w:rPr>
                <w:rFonts w:ascii="Calibri" w:hAnsi="Calibri"/>
                <w:sz w:val="20"/>
              </w:rPr>
              <w:t>TC-MODEL-04</w:t>
            </w:r>
          </w:p>
        </w:tc>
        <w:tc>
          <w:tcPr>
            <w:tcW w:type="dxa" w:w="3816"/>
            <w:vAlign w:val="center"/>
          </w:tcPr>
          <w:p>
            <w:pPr>
              <w:spacing w:after="0"/>
            </w:pPr>
            <w:r>
              <w:rPr>
                <w:rFonts w:ascii="Calibri" w:hAnsi="Calibri"/>
              </w:rPr>
            </w:r>
            <w:r>
              <w:rPr>
                <w:rFonts w:ascii="Calibri" w:hAnsi="Calibri"/>
                <w:sz w:val="20"/>
              </w:rPr>
              <w:t>Test minimum and maximum permitted inputs.</w:t>
            </w:r>
          </w:p>
        </w:tc>
        <w:tc>
          <w:tcPr>
            <w:tcW w:type="dxa" w:w="4536"/>
            <w:vAlign w:val="center"/>
          </w:tcPr>
          <w:p>
            <w:pPr>
              <w:spacing w:after="0"/>
            </w:pPr>
            <w:r>
              <w:rPr>
                <w:rFonts w:ascii="Calibri" w:hAnsi="Calibri"/>
              </w:rPr>
            </w:r>
            <w:r>
              <w:rPr>
                <w:rFonts w:ascii="Calibri" w:hAnsi="Calibri"/>
                <w:sz w:val="20"/>
              </w:rPr>
              <w:t>The application returns a valid score between 0 and 10.</w:t>
            </w:r>
          </w:p>
        </w:tc>
      </w:tr>
      <w:tr>
        <w:trPr>
          <w:cantSplit/>
          <w:cantSplit/>
        </w:trPr>
        <w:tc>
          <w:tcPr>
            <w:tcW w:type="dxa" w:w="1728"/>
            <w:vAlign w:val="center"/>
          </w:tcPr>
          <w:p>
            <w:pPr>
              <w:spacing w:after="0"/>
            </w:pPr>
            <w:r>
              <w:rPr>
                <w:rFonts w:ascii="Calibri" w:hAnsi="Calibri"/>
              </w:rPr>
            </w:r>
            <w:r>
              <w:rPr>
                <w:rFonts w:ascii="Calibri" w:hAnsi="Calibri"/>
                <w:sz w:val="20"/>
              </w:rPr>
              <w:t>TC-MODEL-05</w:t>
            </w:r>
          </w:p>
        </w:tc>
        <w:tc>
          <w:tcPr>
            <w:tcW w:type="dxa" w:w="3816"/>
            <w:vAlign w:val="center"/>
          </w:tcPr>
          <w:p>
            <w:pPr>
              <w:spacing w:after="0"/>
            </w:pPr>
            <w:r>
              <w:rPr>
                <w:rFonts w:ascii="Calibri" w:hAnsi="Calibri"/>
              </w:rPr>
            </w:r>
            <w:r>
              <w:rPr>
                <w:rFonts w:ascii="Calibri" w:hAnsi="Calibri"/>
                <w:sz w:val="20"/>
              </w:rPr>
              <w:t>Recalculate evaluation metrics.</w:t>
            </w:r>
          </w:p>
        </w:tc>
        <w:tc>
          <w:tcPr>
            <w:tcW w:type="dxa" w:w="4536"/>
            <w:vAlign w:val="center"/>
          </w:tcPr>
          <w:p>
            <w:pPr>
              <w:spacing w:after="0"/>
            </w:pPr>
            <w:r>
              <w:rPr>
                <w:rFonts w:ascii="Calibri" w:hAnsi="Calibri"/>
              </w:rPr>
            </w:r>
            <w:r>
              <w:rPr>
                <w:rFonts w:ascii="Calibri" w:hAnsi="Calibri"/>
                <w:sz w:val="20"/>
              </w:rPr>
              <w:t>Metrics match the recorded values within an agreed tolerance.</w:t>
            </w:r>
          </w:p>
        </w:tc>
      </w:tr>
      <w:tr>
        <w:trPr>
          <w:cantSplit/>
          <w:cantSplit/>
        </w:trPr>
        <w:tc>
          <w:tcPr>
            <w:tcW w:type="dxa" w:w="1728"/>
            <w:vAlign w:val="center"/>
          </w:tcPr>
          <w:p>
            <w:pPr>
              <w:spacing w:after="0"/>
            </w:pPr>
            <w:r>
              <w:rPr>
                <w:rFonts w:ascii="Calibri" w:hAnsi="Calibri"/>
              </w:rPr>
            </w:r>
            <w:r>
              <w:rPr>
                <w:rFonts w:ascii="Calibri" w:hAnsi="Calibri"/>
                <w:sz w:val="20"/>
              </w:rPr>
              <w:t>TC-MODEL-06</w:t>
            </w:r>
          </w:p>
        </w:tc>
        <w:tc>
          <w:tcPr>
            <w:tcW w:type="dxa" w:w="3816"/>
            <w:vAlign w:val="center"/>
          </w:tcPr>
          <w:p>
            <w:pPr>
              <w:spacing w:after="0"/>
            </w:pPr>
            <w:r>
              <w:rPr>
                <w:rFonts w:ascii="Calibri" w:hAnsi="Calibri"/>
              </w:rPr>
            </w:r>
            <w:r>
              <w:rPr>
                <w:rFonts w:ascii="Calibri" w:hAnsi="Calibri"/>
                <w:sz w:val="20"/>
              </w:rPr>
              <w:t>Remove or rename a model artifact.</w:t>
            </w:r>
          </w:p>
        </w:tc>
        <w:tc>
          <w:tcPr>
            <w:tcW w:type="dxa" w:w="4536"/>
            <w:vAlign w:val="center"/>
          </w:tcPr>
          <w:p>
            <w:pPr>
              <w:spacing w:after="0"/>
            </w:pPr>
            <w:r>
              <w:rPr>
                <w:rFonts w:ascii="Calibri" w:hAnsi="Calibri"/>
              </w:rPr>
            </w:r>
            <w:r>
              <w:rPr>
                <w:rFonts w:ascii="Calibri" w:hAnsi="Calibri"/>
                <w:sz w:val="20"/>
              </w:rPr>
              <w:t>A readable error is shown and the application does not crash unexpectedly.</w:t>
            </w:r>
          </w:p>
        </w:tc>
      </w:tr>
    </w:tbl>
    <w:p>
      <w:pPr>
        <w:spacing w:after="0"/>
      </w:pPr>
    </w:p>
    <w:p>
      <w:pPr>
        <w:spacing w:before="140" w:after="80" w:line="240" w:lineRule="auto"/>
      </w:pPr>
      <w:r>
        <w:rPr>
          <w:rFonts w:ascii="Calibri" w:hAnsi="Calibri"/>
          <w:b/>
          <w:color w:val="1F497D"/>
          <w:sz w:val="23"/>
        </w:rPr>
        <w:t>KPI Acceptance Criteria</w:t>
      </w:r>
    </w:p>
    <w:p>
      <w:pPr>
        <w:pStyle w:val="ListParagraph"/>
        <w:spacing w:after="40" w:line="240" w:lineRule="auto"/>
        <w:ind w:left="360" w:hanging="259"/>
      </w:pPr>
      <w:r>
        <w:t>•</w:t>
        <w:tab/>
      </w:r>
      <w:r>
        <w:t>The application successfully predicts for batsman, bowler, and all-rounder roles.</w:t>
      </w:r>
    </w:p>
    <w:p>
      <w:pPr>
        <w:pStyle w:val="ListParagraph"/>
        <w:spacing w:after="40" w:line="240" w:lineRule="auto"/>
        <w:ind w:left="360" w:hanging="259"/>
      </w:pPr>
      <w:r>
        <w:t>•</w:t>
        <w:tab/>
      </w:r>
      <w:r>
        <w:t>The best completed models achieve positive and strong R² results and improve upon simple baseline performance.</w:t>
      </w:r>
    </w:p>
    <w:p>
      <w:pPr>
        <w:pStyle w:val="ListParagraph"/>
        <w:spacing w:after="40" w:line="240" w:lineRule="auto"/>
        <w:ind w:left="360" w:hanging="259"/>
      </w:pPr>
      <w:r>
        <w:t>•</w:t>
        <w:tab/>
      </w:r>
      <w:r>
        <w:t>All saved model artifacts load successfully and predictions remain in the valid 0–10 range.</w:t>
      </w:r>
    </w:p>
    <w:p>
      <w:pPr>
        <w:pStyle w:val="ListParagraph"/>
        <w:spacing w:after="40" w:line="240" w:lineRule="auto"/>
        <w:ind w:left="360" w:hanging="259"/>
      </w:pPr>
      <w:r>
        <w:t>•</w:t>
        <w:tab/>
      </w:r>
      <w:r>
        <w:t>The application clearly shows the predicted score and corresponding performance category.</w:t>
      </w:r>
    </w:p>
    <w:p>
      <w:pPr>
        <w:pStyle w:val="ListParagraph"/>
        <w:spacing w:after="40" w:line="240" w:lineRule="auto"/>
        <w:ind w:left="360" w:hanging="259"/>
      </w:pPr>
      <w:r>
        <w:t>•</w:t>
        <w:tab/>
      </w:r>
      <w:r>
        <w:t>Training results, saved model metadata, and application feature order remain consistent.</w:t>
      </w:r>
    </w:p>
    <w:p>
      <w:pPr>
        <w:spacing w:before="140" w:after="80" w:line="240" w:lineRule="auto"/>
      </w:pPr>
      <w:r>
        <w:rPr>
          <w:rFonts w:ascii="Calibri" w:hAnsi="Calibri"/>
          <w:b/>
          <w:color w:val="1F497D"/>
          <w:sz w:val="26"/>
        </w:rPr>
        <w:t>6. Application and User Acceptance Testing</w:t>
      </w:r>
    </w:p>
    <w:p>
      <w:pPr>
        <w:pStyle w:val="ListParagraph"/>
        <w:spacing w:after="40" w:line="240" w:lineRule="auto"/>
        <w:ind w:left="360" w:hanging="259"/>
      </w:pPr>
      <w:r>
        <w:t>•</w:t>
        <w:tab/>
      </w:r>
      <w:r>
        <w:t>The Streamlit application is tested as a complete user workflow. The expected users include cricket fans, analysts, students, coaches, and project reviewers.</w:t>
      </w:r>
    </w:p>
    <w:tbl>
      <w:tblPr>
        <w:tblStyle w:val="LightGrid-Accent1"/>
        <w:tblW w:type="auto" w:w="0"/>
        <w:jc w:val="center"/>
        <w:tblLook w:firstColumn="1" w:firstRow="1" w:lastColumn="0" w:lastRow="0" w:noHBand="0" w:noVBand="1" w:val="04A0"/>
      </w:tblPr>
      <w:tblGrid>
        <w:gridCol w:w="5040"/>
        <w:gridCol w:w="5040"/>
      </w:tblGrid>
      <w:tr>
        <w:trPr>
          <w:tblHeader w:val="true"/>
          <w:cantSplit/>
          <w:cantSplit/>
        </w:trPr>
        <w:tc>
          <w:tcPr>
            <w:tcW w:type="dxa" w:w="3384"/>
            <w:vAlign w:val="center"/>
          </w:tcPr>
          <w:p>
            <w:pPr>
              <w:spacing w:after="0"/>
              <w:jc w:val="center"/>
            </w:pPr>
            <w:r>
              <w:rPr>
                <w:rFonts w:ascii="Calibri" w:hAnsi="Calibri"/>
              </w:rPr>
            </w:r>
            <w:r>
              <w:rPr>
                <w:rFonts w:ascii="Calibri" w:hAnsi="Calibri"/>
                <w:b/>
                <w:sz w:val="21"/>
              </w:rPr>
              <w:t>UAT Scenario</w:t>
            </w:r>
          </w:p>
        </w:tc>
        <w:tc>
          <w:tcPr>
            <w:tcW w:type="dxa" w:w="6696"/>
            <w:vAlign w:val="center"/>
          </w:tcPr>
          <w:p>
            <w:pPr>
              <w:spacing w:after="0"/>
              <w:jc w:val="center"/>
            </w:pPr>
            <w:r>
              <w:rPr>
                <w:rFonts w:ascii="Calibri" w:hAnsi="Calibri"/>
              </w:rPr>
            </w:r>
            <w:r>
              <w:rPr>
                <w:rFonts w:ascii="Calibri" w:hAnsi="Calibri"/>
                <w:b/>
                <w:sz w:val="21"/>
              </w:rPr>
              <w:t>Expected Result</w:t>
            </w:r>
          </w:p>
        </w:tc>
      </w:tr>
      <w:tr>
        <w:trPr>
          <w:cantSplit/>
          <w:cantSplit/>
        </w:trPr>
        <w:tc>
          <w:tcPr>
            <w:tcW w:type="dxa" w:w="3384"/>
            <w:vAlign w:val="center"/>
          </w:tcPr>
          <w:p>
            <w:pPr>
              <w:spacing w:after="0"/>
            </w:pPr>
            <w:r>
              <w:rPr>
                <w:rFonts w:ascii="Calibri" w:hAnsi="Calibri"/>
              </w:rPr>
            </w:r>
            <w:r>
              <w:rPr>
                <w:rFonts w:ascii="Calibri" w:hAnsi="Calibri"/>
                <w:sz w:val="20"/>
              </w:rPr>
              <w:t>Launch the application</w:t>
            </w:r>
          </w:p>
        </w:tc>
        <w:tc>
          <w:tcPr>
            <w:tcW w:type="dxa" w:w="6696"/>
            <w:vAlign w:val="center"/>
          </w:tcPr>
          <w:p>
            <w:pPr>
              <w:spacing w:after="0"/>
            </w:pPr>
            <w:r>
              <w:rPr>
                <w:rFonts w:ascii="Calibri" w:hAnsi="Calibri"/>
              </w:rPr>
            </w:r>
            <w:r>
              <w:rPr>
                <w:rFonts w:ascii="Calibri" w:hAnsi="Calibri"/>
                <w:sz w:val="20"/>
              </w:rPr>
              <w:t>The Streamlit page opens without a fatal import or model-loading error.</w:t>
            </w:r>
          </w:p>
        </w:tc>
      </w:tr>
      <w:tr>
        <w:trPr>
          <w:cantSplit/>
          <w:cantSplit/>
        </w:trPr>
        <w:tc>
          <w:tcPr>
            <w:tcW w:type="dxa" w:w="3384"/>
            <w:vAlign w:val="center"/>
          </w:tcPr>
          <w:p>
            <w:pPr>
              <w:spacing w:after="0"/>
            </w:pPr>
            <w:r>
              <w:rPr>
                <w:rFonts w:ascii="Calibri" w:hAnsi="Calibri"/>
              </w:rPr>
            </w:r>
            <w:r>
              <w:rPr>
                <w:rFonts w:ascii="Calibri" w:hAnsi="Calibri"/>
                <w:sz w:val="20"/>
              </w:rPr>
              <w:t>Select batsman</w:t>
            </w:r>
          </w:p>
        </w:tc>
        <w:tc>
          <w:tcPr>
            <w:tcW w:type="dxa" w:w="6696"/>
            <w:vAlign w:val="center"/>
          </w:tcPr>
          <w:p>
            <w:pPr>
              <w:spacing w:after="0"/>
            </w:pPr>
            <w:r>
              <w:rPr>
                <w:rFonts w:ascii="Calibri" w:hAnsi="Calibri"/>
              </w:rPr>
            </w:r>
            <w:r>
              <w:rPr>
                <w:rFonts w:ascii="Calibri" w:hAnsi="Calibri"/>
                <w:sz w:val="20"/>
              </w:rPr>
              <w:t>The correct input form and available batsman models are displayed.</w:t>
            </w:r>
          </w:p>
        </w:tc>
      </w:tr>
      <w:tr>
        <w:trPr>
          <w:cantSplit/>
          <w:cantSplit/>
        </w:trPr>
        <w:tc>
          <w:tcPr>
            <w:tcW w:type="dxa" w:w="3384"/>
            <w:vAlign w:val="center"/>
          </w:tcPr>
          <w:p>
            <w:pPr>
              <w:spacing w:after="0"/>
            </w:pPr>
            <w:r>
              <w:rPr>
                <w:rFonts w:ascii="Calibri" w:hAnsi="Calibri"/>
              </w:rPr>
            </w:r>
            <w:r>
              <w:rPr>
                <w:rFonts w:ascii="Calibri" w:hAnsi="Calibri"/>
                <w:sz w:val="20"/>
              </w:rPr>
              <w:t>Select bowler</w:t>
            </w:r>
          </w:p>
        </w:tc>
        <w:tc>
          <w:tcPr>
            <w:tcW w:type="dxa" w:w="6696"/>
            <w:vAlign w:val="center"/>
          </w:tcPr>
          <w:p>
            <w:pPr>
              <w:spacing w:after="0"/>
            </w:pPr>
            <w:r>
              <w:rPr>
                <w:rFonts w:ascii="Calibri" w:hAnsi="Calibri"/>
              </w:rPr>
            </w:r>
            <w:r>
              <w:rPr>
                <w:rFonts w:ascii="Calibri" w:hAnsi="Calibri"/>
                <w:sz w:val="20"/>
              </w:rPr>
              <w:t>The correct input form and available bowler models are displayed.</w:t>
            </w:r>
          </w:p>
        </w:tc>
      </w:tr>
      <w:tr>
        <w:trPr>
          <w:cantSplit/>
          <w:cantSplit/>
        </w:trPr>
        <w:tc>
          <w:tcPr>
            <w:tcW w:type="dxa" w:w="3384"/>
            <w:vAlign w:val="center"/>
          </w:tcPr>
          <w:p>
            <w:pPr>
              <w:spacing w:after="0"/>
            </w:pPr>
            <w:r>
              <w:rPr>
                <w:rFonts w:ascii="Calibri" w:hAnsi="Calibri"/>
              </w:rPr>
            </w:r>
            <w:r>
              <w:rPr>
                <w:rFonts w:ascii="Calibri" w:hAnsi="Calibri"/>
                <w:sz w:val="20"/>
              </w:rPr>
              <w:t>Select all-rounder</w:t>
            </w:r>
          </w:p>
        </w:tc>
        <w:tc>
          <w:tcPr>
            <w:tcW w:type="dxa" w:w="6696"/>
            <w:vAlign w:val="center"/>
          </w:tcPr>
          <w:p>
            <w:pPr>
              <w:spacing w:after="0"/>
            </w:pPr>
            <w:r>
              <w:rPr>
                <w:rFonts w:ascii="Calibri" w:hAnsi="Calibri"/>
              </w:rPr>
            </w:r>
            <w:r>
              <w:rPr>
                <w:rFonts w:ascii="Calibri" w:hAnsi="Calibri"/>
                <w:sz w:val="20"/>
              </w:rPr>
              <w:t>Combined batting and bowling inputs are displayed.</w:t>
            </w:r>
          </w:p>
        </w:tc>
      </w:tr>
      <w:tr>
        <w:trPr>
          <w:cantSplit/>
          <w:cantSplit/>
        </w:trPr>
        <w:tc>
          <w:tcPr>
            <w:tcW w:type="dxa" w:w="3384"/>
            <w:vAlign w:val="center"/>
          </w:tcPr>
          <w:p>
            <w:pPr>
              <w:spacing w:after="0"/>
            </w:pPr>
            <w:r>
              <w:rPr>
                <w:rFonts w:ascii="Calibri" w:hAnsi="Calibri"/>
              </w:rPr>
            </w:r>
            <w:r>
              <w:rPr>
                <w:rFonts w:ascii="Calibri" w:hAnsi="Calibri"/>
                <w:sz w:val="20"/>
              </w:rPr>
              <w:t>Enter valid statistics</w:t>
            </w:r>
          </w:p>
        </w:tc>
        <w:tc>
          <w:tcPr>
            <w:tcW w:type="dxa" w:w="6696"/>
            <w:vAlign w:val="center"/>
          </w:tcPr>
          <w:p>
            <w:pPr>
              <w:spacing w:after="0"/>
            </w:pPr>
            <w:r>
              <w:rPr>
                <w:rFonts w:ascii="Calibri" w:hAnsi="Calibri"/>
              </w:rPr>
            </w:r>
            <w:r>
              <w:rPr>
                <w:rFonts w:ascii="Calibri" w:hAnsi="Calibri"/>
                <w:sz w:val="20"/>
              </w:rPr>
              <w:t>A score, category, gauge, and analysis are displayed.</w:t>
            </w:r>
          </w:p>
        </w:tc>
      </w:tr>
      <w:tr>
        <w:trPr>
          <w:cantSplit/>
          <w:cantSplit/>
        </w:trPr>
        <w:tc>
          <w:tcPr>
            <w:tcW w:type="dxa" w:w="3384"/>
            <w:vAlign w:val="center"/>
          </w:tcPr>
          <w:p>
            <w:pPr>
              <w:spacing w:after="0"/>
            </w:pPr>
            <w:r>
              <w:rPr>
                <w:rFonts w:ascii="Calibri" w:hAnsi="Calibri"/>
              </w:rPr>
            </w:r>
            <w:r>
              <w:rPr>
                <w:rFonts w:ascii="Calibri" w:hAnsi="Calibri"/>
                <w:sz w:val="20"/>
              </w:rPr>
              <w:t>Enter boundary values</w:t>
            </w:r>
          </w:p>
        </w:tc>
        <w:tc>
          <w:tcPr>
            <w:tcW w:type="dxa" w:w="6696"/>
            <w:vAlign w:val="center"/>
          </w:tcPr>
          <w:p>
            <w:pPr>
              <w:spacing w:after="0"/>
            </w:pPr>
            <w:r>
              <w:rPr>
                <w:rFonts w:ascii="Calibri" w:hAnsi="Calibri"/>
              </w:rPr>
            </w:r>
            <w:r>
              <w:rPr>
                <w:rFonts w:ascii="Calibri" w:hAnsi="Calibri"/>
                <w:sz w:val="20"/>
              </w:rPr>
              <w:t>The system handles zero and maximum permitted values without invalid output.</w:t>
            </w:r>
          </w:p>
        </w:tc>
      </w:tr>
      <w:tr>
        <w:trPr>
          <w:cantSplit/>
          <w:cantSplit/>
        </w:trPr>
        <w:tc>
          <w:tcPr>
            <w:tcW w:type="dxa" w:w="3384"/>
            <w:vAlign w:val="center"/>
          </w:tcPr>
          <w:p>
            <w:pPr>
              <w:spacing w:after="0"/>
            </w:pPr>
            <w:r>
              <w:rPr>
                <w:rFonts w:ascii="Calibri" w:hAnsi="Calibri"/>
              </w:rPr>
            </w:r>
            <w:r>
              <w:rPr>
                <w:rFonts w:ascii="Calibri" w:hAnsi="Calibri"/>
                <w:sz w:val="20"/>
              </w:rPr>
              <w:t>Invalid or incomplete artifact</w:t>
            </w:r>
          </w:p>
        </w:tc>
        <w:tc>
          <w:tcPr>
            <w:tcW w:type="dxa" w:w="6696"/>
            <w:vAlign w:val="center"/>
          </w:tcPr>
          <w:p>
            <w:pPr>
              <w:spacing w:after="0"/>
            </w:pPr>
            <w:r>
              <w:rPr>
                <w:rFonts w:ascii="Calibri" w:hAnsi="Calibri"/>
              </w:rPr>
            </w:r>
            <w:r>
              <w:rPr>
                <w:rFonts w:ascii="Calibri" w:hAnsi="Calibri"/>
                <w:sz w:val="20"/>
              </w:rPr>
              <w:t>A clear error or warning is displayed instead of an uncontrolled crash.</w:t>
            </w:r>
          </w:p>
        </w:tc>
      </w:tr>
      <w:tr>
        <w:trPr>
          <w:cantSplit/>
          <w:cantSplit/>
        </w:trPr>
        <w:tc>
          <w:tcPr>
            <w:tcW w:type="dxa" w:w="3384"/>
            <w:vAlign w:val="center"/>
          </w:tcPr>
          <w:p>
            <w:pPr>
              <w:spacing w:after="0"/>
            </w:pPr>
            <w:r>
              <w:rPr>
                <w:rFonts w:ascii="Calibri" w:hAnsi="Calibri"/>
              </w:rPr>
            </w:r>
            <w:r>
              <w:rPr>
                <w:rFonts w:ascii="Calibri" w:hAnsi="Calibri"/>
                <w:sz w:val="20"/>
              </w:rPr>
              <w:t>Repeat prediction</w:t>
            </w:r>
          </w:p>
        </w:tc>
        <w:tc>
          <w:tcPr>
            <w:tcW w:type="dxa" w:w="6696"/>
            <w:vAlign w:val="center"/>
          </w:tcPr>
          <w:p>
            <w:pPr>
              <w:spacing w:after="0"/>
            </w:pPr>
            <w:r>
              <w:rPr>
                <w:rFonts w:ascii="Calibri" w:hAnsi="Calibri"/>
              </w:rPr>
            </w:r>
            <w:r>
              <w:rPr>
                <w:rFonts w:ascii="Calibri" w:hAnsi="Calibri"/>
                <w:sz w:val="20"/>
              </w:rPr>
              <w:t>Identical input and model selection produce a consistent result.</w:t>
            </w:r>
          </w:p>
        </w:tc>
      </w:tr>
      <w:tr>
        <w:trPr>
          <w:cantSplit/>
          <w:cantSplit/>
        </w:trPr>
        <w:tc>
          <w:tcPr>
            <w:tcW w:type="dxa" w:w="3384"/>
            <w:vAlign w:val="center"/>
          </w:tcPr>
          <w:p>
            <w:pPr>
              <w:spacing w:after="0"/>
            </w:pPr>
            <w:r>
              <w:rPr>
                <w:rFonts w:ascii="Calibri" w:hAnsi="Calibri"/>
              </w:rPr>
            </w:r>
            <w:r>
              <w:rPr>
                <w:rFonts w:ascii="Calibri" w:hAnsi="Calibri"/>
                <w:sz w:val="20"/>
              </w:rPr>
              <w:t>Review charts and information tabs</w:t>
            </w:r>
          </w:p>
        </w:tc>
        <w:tc>
          <w:tcPr>
            <w:tcW w:type="dxa" w:w="6696"/>
            <w:vAlign w:val="center"/>
          </w:tcPr>
          <w:p>
            <w:pPr>
              <w:spacing w:after="0"/>
            </w:pPr>
            <w:r>
              <w:rPr>
                <w:rFonts w:ascii="Calibri" w:hAnsi="Calibri"/>
              </w:rPr>
            </w:r>
            <w:r>
              <w:rPr>
                <w:rFonts w:ascii="Calibri" w:hAnsi="Calibri"/>
                <w:sz w:val="20"/>
              </w:rPr>
              <w:t>Supporting charts and model information render clearly.</w:t>
            </w:r>
          </w:p>
        </w:tc>
      </w:tr>
    </w:tbl>
    <w:p>
      <w:pPr>
        <w:spacing w:after="0"/>
      </w:pPr>
    </w:p>
    <w:p>
      <w:pPr>
        <w:spacing w:before="140" w:after="80" w:line="240" w:lineRule="auto"/>
      </w:pPr>
      <w:r>
        <w:rPr>
          <w:rFonts w:ascii="Calibri" w:hAnsi="Calibri"/>
          <w:b/>
          <w:color w:val="1F497D"/>
          <w:sz w:val="23"/>
        </w:rPr>
        <w:t>Example Output</w:t>
      </w:r>
    </w:p>
    <w:p>
      <w:pPr>
        <w:spacing w:before="0" w:after="60" w:line="240" w:lineRule="auto"/>
      </w:pPr>
      <w:r>
        <w:t>Role: Bowler    Model: Ensemble    Predicted Performance Score: 7.8 / 10</w:t>
      </w:r>
    </w:p>
    <w:p>
      <w:pPr>
        <w:spacing w:before="0" w:after="60" w:line="240" w:lineRule="auto"/>
      </w:pPr>
      <w:r>
        <w:t>Performance Category: Very Good</w:t>
      </w:r>
    </w:p>
    <w:p>
      <w:pPr>
        <w:spacing w:before="0" w:after="60" w:line="240" w:lineRule="auto"/>
      </w:pPr>
      <w:r>
        <w:t>The actual score depends on the player statistics entered by the user and must be presented as an analytical prediction rather than a guaranteed future result.</w:t>
      </w:r>
    </w:p>
    <w:p>
      <w:pPr>
        <w:spacing w:before="140" w:after="80" w:line="240" w:lineRule="auto"/>
      </w:pPr>
      <w:r>
        <w:rPr>
          <w:rFonts w:ascii="Calibri" w:hAnsi="Calibri"/>
          <w:b/>
          <w:color w:val="1F497D"/>
          <w:sz w:val="23"/>
        </w:rPr>
        <w:t>UAT Pass Criteria</w:t>
      </w:r>
    </w:p>
    <w:p>
      <w:pPr>
        <w:pStyle w:val="ListParagraph"/>
        <w:spacing w:after="40" w:line="240" w:lineRule="auto"/>
        <w:ind w:left="360" w:hanging="259"/>
      </w:pPr>
      <w:r>
        <w:t>•</w:t>
        <w:tab/>
      </w:r>
      <w:r>
        <w:t>A reviewer can complete at least one prediction for each role without assistance.</w:t>
      </w:r>
    </w:p>
    <w:p>
      <w:pPr>
        <w:pStyle w:val="ListParagraph"/>
        <w:spacing w:after="40" w:line="240" w:lineRule="auto"/>
        <w:ind w:left="360" w:hanging="259"/>
      </w:pPr>
      <w:r>
        <w:t>•</w:t>
        <w:tab/>
      </w:r>
      <w:r>
        <w:t>The application does not crash during the normal prediction workflow.</w:t>
      </w:r>
    </w:p>
    <w:p>
      <w:pPr>
        <w:pStyle w:val="ListParagraph"/>
        <w:spacing w:after="40" w:line="240" w:lineRule="auto"/>
        <w:ind w:left="360" w:hanging="259"/>
      </w:pPr>
      <w:r>
        <w:t>•</w:t>
        <w:tab/>
      </w:r>
      <w:r>
        <w:t>The score, category, and supporting information are understandable and internally consistent.</w:t>
      </w:r>
    </w:p>
    <w:p>
      <w:pPr>
        <w:pStyle w:val="ListParagraph"/>
        <w:spacing w:after="40" w:line="240" w:lineRule="auto"/>
        <w:ind w:left="360" w:hanging="259"/>
      </w:pPr>
      <w:r>
        <w:t>•</w:t>
        <w:tab/>
      </w:r>
      <w:r>
        <w:t>At least 80% of reviewers rate the workflow as clear and easy to use.</w:t>
      </w:r>
    </w:p>
    <w:p>
      <w:pPr>
        <w:pStyle w:val="ListParagraph"/>
        <w:spacing w:after="40" w:line="240" w:lineRule="auto"/>
        <w:ind w:left="360" w:hanging="259"/>
      </w:pPr>
      <w:r>
        <w:t>•</w:t>
        <w:tab/>
      </w:r>
      <w:r>
        <w:t>No critical or high-severity defect remains open at final sign-off.</w:t>
      </w:r>
    </w:p>
    <w:p>
      <w:pPr>
        <w:spacing w:before="140" w:after="80" w:line="240" w:lineRule="auto"/>
      </w:pPr>
      <w:r>
        <w:rPr>
          <w:rFonts w:ascii="Calibri" w:hAnsi="Calibri"/>
          <w:b/>
          <w:color w:val="1F497D"/>
          <w:sz w:val="26"/>
        </w:rPr>
        <w:t>7. Defect Management and Sign-Off Process</w:t>
      </w:r>
    </w:p>
    <w:p>
      <w:pPr>
        <w:pStyle w:val="ListParagraph"/>
        <w:spacing w:after="40" w:line="240" w:lineRule="auto"/>
        <w:ind w:left="360" w:hanging="259"/>
      </w:pPr>
      <w:r>
        <w:t>•</w:t>
        <w:tab/>
      </w:r>
      <w:r>
        <w:t>Each defect should record a test ID, environment, steps to reproduce, expected result, actual result, severity, supporting screenshot or log, assigned owner, and retest status.</w:t>
      </w:r>
    </w:p>
    <w:p>
      <w:pPr>
        <w:pStyle w:val="ListParagraph"/>
        <w:spacing w:after="40" w:line="240" w:lineRule="auto"/>
        <w:ind w:left="360" w:hanging="259"/>
      </w:pPr>
      <w:r>
        <w:t>•</w:t>
        <w:tab/>
      </w:r>
      <w:r>
        <w:t>After correction, the failed test and related regression tests must be repeated before the defect is closed.</w:t>
      </w:r>
    </w:p>
    <w:p>
      <w:pPr>
        <w:pStyle w:val="ListParagraph"/>
        <w:spacing w:after="40" w:line="240" w:lineRule="auto"/>
        <w:ind w:left="360" w:hanging="259"/>
      </w:pPr>
      <w:r>
        <w:t>•</w:t>
        <w:tab/>
      </w:r>
      <w:r>
        <w:t>Final sign-off takes place after data validation, feature validation, model verification, application testing, UAT, documentation review, and confirmation of known limitations.</w:t>
      </w:r>
    </w:p>
    <w:p>
      <w:pPr>
        <w:spacing w:before="140" w:after="80" w:line="240" w:lineRule="auto"/>
      </w:pPr>
      <w:r>
        <w:rPr>
          <w:rFonts w:ascii="Calibri" w:hAnsi="Calibri"/>
          <w:b/>
          <w:color w:val="1F497D"/>
          <w:sz w:val="23"/>
        </w:rPr>
        <w:t>Final Sign-Off Checklist</w:t>
      </w:r>
    </w:p>
    <w:tbl>
      <w:tblPr>
        <w:tblStyle w:val="LightGrid-Accent1"/>
        <w:tblW w:type="auto" w:w="0"/>
        <w:jc w:val="center"/>
        <w:tblLook w:firstColumn="1" w:firstRow="1" w:lastColumn="0" w:lastRow="0" w:noHBand="0" w:noVBand="1" w:val="04A0"/>
      </w:tblPr>
      <w:tblGrid>
        <w:gridCol w:w="5040"/>
        <w:gridCol w:w="5040"/>
      </w:tblGrid>
      <w:tr>
        <w:trPr>
          <w:tblHeader w:val="true"/>
          <w:cantSplit/>
          <w:cantSplit/>
        </w:trPr>
        <w:tc>
          <w:tcPr>
            <w:tcW w:type="dxa" w:w="6048"/>
            <w:vAlign w:val="center"/>
          </w:tcPr>
          <w:p>
            <w:pPr>
              <w:spacing w:after="0"/>
              <w:jc w:val="center"/>
            </w:pPr>
            <w:r>
              <w:rPr>
                <w:rFonts w:ascii="Calibri" w:hAnsi="Calibri"/>
              </w:rPr>
            </w:r>
            <w:r>
              <w:rPr>
                <w:rFonts w:ascii="Calibri" w:hAnsi="Calibri"/>
                <w:b/>
                <w:sz w:val="21"/>
              </w:rPr>
              <w:t>Sign-Off Item</w:t>
            </w:r>
          </w:p>
        </w:tc>
        <w:tc>
          <w:tcPr>
            <w:tcW w:type="dxa" w:w="4032"/>
            <w:vAlign w:val="center"/>
          </w:tcPr>
          <w:p>
            <w:pPr>
              <w:spacing w:after="0"/>
              <w:jc w:val="center"/>
            </w:pPr>
            <w:r>
              <w:rPr>
                <w:rFonts w:ascii="Calibri" w:hAnsi="Calibri"/>
              </w:rPr>
            </w:r>
            <w:r>
              <w:rPr>
                <w:rFonts w:ascii="Calibri" w:hAnsi="Calibri"/>
                <w:b/>
                <w:sz w:val="21"/>
              </w:rPr>
              <w:t>Status Required</w:t>
            </w:r>
          </w:p>
        </w:tc>
      </w:tr>
      <w:tr>
        <w:trPr>
          <w:cantSplit/>
          <w:cantSplit/>
        </w:trPr>
        <w:tc>
          <w:tcPr>
            <w:tcW w:type="dxa" w:w="6048"/>
            <w:vAlign w:val="center"/>
          </w:tcPr>
          <w:p>
            <w:pPr>
              <w:spacing w:after="0"/>
            </w:pPr>
            <w:r>
              <w:rPr>
                <w:rFonts w:ascii="Calibri" w:hAnsi="Calibri"/>
              </w:rPr>
            </w:r>
            <w:r>
              <w:rPr>
                <w:rFonts w:ascii="Calibri" w:hAnsi="Calibri"/>
                <w:sz w:val="20"/>
              </w:rPr>
              <w:t>Data files and required columns</w:t>
            </w:r>
          </w:p>
        </w:tc>
        <w:tc>
          <w:tcPr>
            <w:tcW w:type="dxa" w:w="4032"/>
            <w:vAlign w:val="center"/>
          </w:tcPr>
          <w:p>
            <w:pPr>
              <w:spacing w:after="0"/>
            </w:pPr>
            <w:r>
              <w:rPr>
                <w:rFonts w:ascii="Calibri" w:hAnsi="Calibri"/>
              </w:rPr>
            </w:r>
            <w:r>
              <w:rPr>
                <w:rFonts w:ascii="Calibri" w:hAnsi="Calibri"/>
                <w:sz w:val="20"/>
              </w:rPr>
              <w:t>Validated</w:t>
            </w:r>
          </w:p>
        </w:tc>
      </w:tr>
      <w:tr>
        <w:trPr>
          <w:cantSplit/>
          <w:cantSplit/>
        </w:trPr>
        <w:tc>
          <w:tcPr>
            <w:tcW w:type="dxa" w:w="6048"/>
            <w:vAlign w:val="center"/>
          </w:tcPr>
          <w:p>
            <w:pPr>
              <w:spacing w:after="0"/>
            </w:pPr>
            <w:r>
              <w:rPr>
                <w:rFonts w:ascii="Calibri" w:hAnsi="Calibri"/>
              </w:rPr>
            </w:r>
            <w:r>
              <w:rPr>
                <w:rFonts w:ascii="Calibri" w:hAnsi="Calibri"/>
                <w:sz w:val="20"/>
              </w:rPr>
              <w:t>General and role-specific feature order</w:t>
            </w:r>
          </w:p>
        </w:tc>
        <w:tc>
          <w:tcPr>
            <w:tcW w:type="dxa" w:w="4032"/>
            <w:vAlign w:val="center"/>
          </w:tcPr>
          <w:p>
            <w:pPr>
              <w:spacing w:after="0"/>
            </w:pPr>
            <w:r>
              <w:rPr>
                <w:rFonts w:ascii="Calibri" w:hAnsi="Calibri"/>
              </w:rPr>
            </w:r>
            <w:r>
              <w:rPr>
                <w:rFonts w:ascii="Calibri" w:hAnsi="Calibri"/>
                <w:sz w:val="20"/>
              </w:rPr>
              <w:t>Validated</w:t>
            </w:r>
          </w:p>
        </w:tc>
      </w:tr>
      <w:tr>
        <w:trPr>
          <w:cantSplit/>
          <w:cantSplit/>
        </w:trPr>
        <w:tc>
          <w:tcPr>
            <w:tcW w:type="dxa" w:w="6048"/>
            <w:vAlign w:val="center"/>
          </w:tcPr>
          <w:p>
            <w:pPr>
              <w:spacing w:after="0"/>
            </w:pPr>
            <w:r>
              <w:rPr>
                <w:rFonts w:ascii="Calibri" w:hAnsi="Calibri"/>
              </w:rPr>
            </w:r>
            <w:r>
              <w:rPr>
                <w:rFonts w:ascii="Calibri" w:hAnsi="Calibri"/>
                <w:sz w:val="20"/>
              </w:rPr>
              <w:t>Saved model and metadata files</w:t>
            </w:r>
          </w:p>
        </w:tc>
        <w:tc>
          <w:tcPr>
            <w:tcW w:type="dxa" w:w="4032"/>
            <w:vAlign w:val="center"/>
          </w:tcPr>
          <w:p>
            <w:pPr>
              <w:spacing w:after="0"/>
            </w:pPr>
            <w:r>
              <w:rPr>
                <w:rFonts w:ascii="Calibri" w:hAnsi="Calibri"/>
              </w:rPr>
            </w:r>
            <w:r>
              <w:rPr>
                <w:rFonts w:ascii="Calibri" w:hAnsi="Calibri"/>
                <w:sz w:val="20"/>
              </w:rPr>
              <w:t>Load successfully</w:t>
            </w:r>
          </w:p>
        </w:tc>
      </w:tr>
      <w:tr>
        <w:trPr>
          <w:cantSplit/>
          <w:cantSplit/>
        </w:trPr>
        <w:tc>
          <w:tcPr>
            <w:tcW w:type="dxa" w:w="6048"/>
            <w:vAlign w:val="center"/>
          </w:tcPr>
          <w:p>
            <w:pPr>
              <w:spacing w:after="0"/>
            </w:pPr>
            <w:r>
              <w:rPr>
                <w:rFonts w:ascii="Calibri" w:hAnsi="Calibri"/>
              </w:rPr>
            </w:r>
            <w:r>
              <w:rPr>
                <w:rFonts w:ascii="Calibri" w:hAnsi="Calibri"/>
                <w:sz w:val="20"/>
              </w:rPr>
              <w:t>Recorded evaluation metrics</w:t>
            </w:r>
          </w:p>
        </w:tc>
        <w:tc>
          <w:tcPr>
            <w:tcW w:type="dxa" w:w="4032"/>
            <w:vAlign w:val="center"/>
          </w:tcPr>
          <w:p>
            <w:pPr>
              <w:spacing w:after="0"/>
            </w:pPr>
            <w:r>
              <w:rPr>
                <w:rFonts w:ascii="Calibri" w:hAnsi="Calibri"/>
              </w:rPr>
            </w:r>
            <w:r>
              <w:rPr>
                <w:rFonts w:ascii="Calibri" w:hAnsi="Calibri"/>
                <w:sz w:val="20"/>
              </w:rPr>
              <w:t>Reproduced within tolerance</w:t>
            </w:r>
          </w:p>
        </w:tc>
      </w:tr>
      <w:tr>
        <w:trPr>
          <w:cantSplit/>
          <w:cantSplit/>
        </w:trPr>
        <w:tc>
          <w:tcPr>
            <w:tcW w:type="dxa" w:w="6048"/>
            <w:vAlign w:val="center"/>
          </w:tcPr>
          <w:p>
            <w:pPr>
              <w:spacing w:after="0"/>
            </w:pPr>
            <w:r>
              <w:rPr>
                <w:rFonts w:ascii="Calibri" w:hAnsi="Calibri"/>
              </w:rPr>
            </w:r>
            <w:r>
              <w:rPr>
                <w:rFonts w:ascii="Calibri" w:hAnsi="Calibri"/>
                <w:sz w:val="20"/>
              </w:rPr>
              <w:t>Streamlit application</w:t>
            </w:r>
          </w:p>
        </w:tc>
        <w:tc>
          <w:tcPr>
            <w:tcW w:type="dxa" w:w="4032"/>
            <w:vAlign w:val="center"/>
          </w:tcPr>
          <w:p>
            <w:pPr>
              <w:spacing w:after="0"/>
            </w:pPr>
            <w:r>
              <w:rPr>
                <w:rFonts w:ascii="Calibri" w:hAnsi="Calibri"/>
              </w:rPr>
            </w:r>
            <w:r>
              <w:rPr>
                <w:rFonts w:ascii="Calibri" w:hAnsi="Calibri"/>
                <w:sz w:val="20"/>
              </w:rPr>
              <w:t>Launches and predicts for all roles</w:t>
            </w:r>
          </w:p>
        </w:tc>
      </w:tr>
      <w:tr>
        <w:trPr>
          <w:cantSplit/>
          <w:cantSplit/>
        </w:trPr>
        <w:tc>
          <w:tcPr>
            <w:tcW w:type="dxa" w:w="6048"/>
            <w:vAlign w:val="center"/>
          </w:tcPr>
          <w:p>
            <w:pPr>
              <w:spacing w:after="0"/>
            </w:pPr>
            <w:r>
              <w:rPr>
                <w:rFonts w:ascii="Calibri" w:hAnsi="Calibri"/>
              </w:rPr>
            </w:r>
            <w:r>
              <w:rPr>
                <w:rFonts w:ascii="Calibri" w:hAnsi="Calibri"/>
                <w:sz w:val="20"/>
              </w:rPr>
              <w:t>Input validation and error handling</w:t>
            </w:r>
          </w:p>
        </w:tc>
        <w:tc>
          <w:tcPr>
            <w:tcW w:type="dxa" w:w="4032"/>
            <w:vAlign w:val="center"/>
          </w:tcPr>
          <w:p>
            <w:pPr>
              <w:spacing w:after="0"/>
            </w:pPr>
            <w:r>
              <w:rPr>
                <w:rFonts w:ascii="Calibri" w:hAnsi="Calibri"/>
              </w:rPr>
            </w:r>
            <w:r>
              <w:rPr>
                <w:rFonts w:ascii="Calibri" w:hAnsi="Calibri"/>
                <w:sz w:val="20"/>
              </w:rPr>
              <w:t>Verified</w:t>
            </w:r>
          </w:p>
        </w:tc>
      </w:tr>
      <w:tr>
        <w:trPr>
          <w:cantSplit/>
          <w:cantSplit/>
        </w:trPr>
        <w:tc>
          <w:tcPr>
            <w:tcW w:type="dxa" w:w="6048"/>
            <w:vAlign w:val="center"/>
          </w:tcPr>
          <w:p>
            <w:pPr>
              <w:spacing w:after="0"/>
            </w:pPr>
            <w:r>
              <w:rPr>
                <w:rFonts w:ascii="Calibri" w:hAnsi="Calibri"/>
              </w:rPr>
            </w:r>
            <w:r>
              <w:rPr>
                <w:rFonts w:ascii="Calibri" w:hAnsi="Calibri"/>
                <w:sz w:val="20"/>
              </w:rPr>
              <w:t>User acceptance scenarios</w:t>
            </w:r>
          </w:p>
        </w:tc>
        <w:tc>
          <w:tcPr>
            <w:tcW w:type="dxa" w:w="4032"/>
            <w:vAlign w:val="center"/>
          </w:tcPr>
          <w:p>
            <w:pPr>
              <w:spacing w:after="0"/>
            </w:pPr>
            <w:r>
              <w:rPr>
                <w:rFonts w:ascii="Calibri" w:hAnsi="Calibri"/>
              </w:rPr>
            </w:r>
            <w:r>
              <w:rPr>
                <w:rFonts w:ascii="Calibri" w:hAnsi="Calibri"/>
                <w:sz w:val="20"/>
              </w:rPr>
              <w:t>Passed</w:t>
            </w:r>
          </w:p>
        </w:tc>
      </w:tr>
      <w:tr>
        <w:trPr>
          <w:cantSplit/>
          <w:cantSplit/>
        </w:trPr>
        <w:tc>
          <w:tcPr>
            <w:tcW w:type="dxa" w:w="6048"/>
            <w:vAlign w:val="center"/>
          </w:tcPr>
          <w:p>
            <w:pPr>
              <w:spacing w:after="0"/>
            </w:pPr>
            <w:r>
              <w:rPr>
                <w:rFonts w:ascii="Calibri" w:hAnsi="Calibri"/>
              </w:rPr>
            </w:r>
            <w:r>
              <w:rPr>
                <w:rFonts w:ascii="Calibri" w:hAnsi="Calibri"/>
                <w:sz w:val="20"/>
              </w:rPr>
              <w:t>README, model card, and final documentation</w:t>
            </w:r>
          </w:p>
        </w:tc>
        <w:tc>
          <w:tcPr>
            <w:tcW w:type="dxa" w:w="4032"/>
            <w:vAlign w:val="center"/>
          </w:tcPr>
          <w:p>
            <w:pPr>
              <w:spacing w:after="0"/>
            </w:pPr>
            <w:r>
              <w:rPr>
                <w:rFonts w:ascii="Calibri" w:hAnsi="Calibri"/>
              </w:rPr>
            </w:r>
            <w:r>
              <w:rPr>
                <w:rFonts w:ascii="Calibri" w:hAnsi="Calibri"/>
                <w:sz w:val="20"/>
              </w:rPr>
              <w:t>Completed</w:t>
            </w:r>
          </w:p>
        </w:tc>
      </w:tr>
    </w:tbl>
    <w:p>
      <w:pPr>
        <w:spacing w:after="0"/>
      </w:pPr>
    </w:p>
    <w:p>
      <w:pPr>
        <w:spacing w:before="140" w:after="80" w:line="240" w:lineRule="auto"/>
      </w:pPr>
      <w:r>
        <w:rPr>
          <w:rFonts w:ascii="Calibri" w:hAnsi="Calibri"/>
          <w:b/>
          <w:color w:val="1F497D"/>
          <w:sz w:val="26"/>
        </w:rPr>
        <w:t>8. Known Gaps and Recommended Improvements</w:t>
      </w:r>
    </w:p>
    <w:p>
      <w:pPr>
        <w:pStyle w:val="ListParagraph"/>
        <w:spacing w:after="40" w:line="240" w:lineRule="auto"/>
        <w:ind w:left="360" w:hanging="259"/>
      </w:pPr>
      <w:r>
        <w:t>•</w:t>
        <w:tab/>
      </w:r>
      <w:r>
        <w:t>Add a dedicated tests folder using pytest for data utilities, feature order, role classification, model loading, category conversion, and deterministic inference.</w:t>
      </w:r>
    </w:p>
    <w:p>
      <w:pPr>
        <w:pStyle w:val="ListParagraph"/>
        <w:spacing w:after="40" w:line="240" w:lineRule="auto"/>
        <w:ind w:left="360" w:hanging="259"/>
      </w:pPr>
      <w:r>
        <w:t>•</w:t>
        <w:tab/>
      </w:r>
      <w:r>
        <w:t>Add an automated smoke test or continuous-integration workflow that imports the application and loads every saved model artifact.</w:t>
      </w:r>
    </w:p>
    <w:p>
      <w:pPr>
        <w:pStyle w:val="ListParagraph"/>
        <w:spacing w:after="40" w:line="240" w:lineRule="auto"/>
        <w:ind w:left="360" w:hanging="259"/>
      </w:pPr>
      <w:r>
        <w:t>•</w:t>
        <w:tab/>
      </w:r>
      <w:r>
        <w:t>Use a time-aware or player-grouped evaluation split in future versions to provide stronger protection against data leakage when forecasting future performance.</w:t>
      </w:r>
    </w:p>
    <w:p>
      <w:pPr>
        <w:pStyle w:val="ListParagraph"/>
        <w:spacing w:after="40" w:line="240" w:lineRule="auto"/>
        <w:ind w:left="360" w:hanging="259"/>
      </w:pPr>
      <w:r>
        <w:t>•</w:t>
        <w:tab/>
      </w:r>
      <w:r>
        <w:t>Keep all documentation consistent with the final implemented models and remove references to models or functions that were planned but not included in the final application.</w:t>
      </w:r>
    </w:p>
    <w:p>
      <w:pPr>
        <w:pStyle w:val="ListParagraph"/>
        <w:spacing w:after="40" w:line="240" w:lineRule="auto"/>
        <w:ind w:left="360" w:hanging="259"/>
      </w:pPr>
      <w:r>
        <w:t>•</w:t>
        <w:tab/>
      </w:r>
      <w:r>
        <w:t>Retain written evidence of sample validation against official BCCI or source records.</w:t>
      </w:r>
    </w:p>
    <w:p>
      <w:pPr>
        <w:spacing w:before="140" w:after="80" w:line="240" w:lineRule="auto"/>
      </w:pPr>
      <w:r>
        <w:rPr>
          <w:rFonts w:ascii="Calibri" w:hAnsi="Calibri"/>
          <w:b/>
          <w:color w:val="1F497D"/>
          <w:sz w:val="26"/>
        </w:rPr>
        <w:t>Response to Supervisor’s Comment</w:t>
      </w:r>
    </w:p>
    <w:p>
      <w:pPr>
        <w:spacing w:before="140" w:after="80" w:line="240" w:lineRule="auto"/>
      </w:pPr>
      <w:r>
        <w:rPr>
          <w:rFonts w:ascii="Calibri" w:hAnsi="Calibri"/>
          <w:b/>
          <w:color w:val="1F497D"/>
          <w:sz w:val="23"/>
        </w:rPr>
        <w:t>Clarification: Data Validation Against Official Source</w:t>
      </w:r>
    </w:p>
    <w:p>
      <w:pPr>
        <w:pStyle w:val="ListParagraph"/>
        <w:spacing w:after="40" w:line="240" w:lineRule="auto"/>
        <w:ind w:left="360" w:hanging="259"/>
      </w:pPr>
      <w:r>
        <w:t>•</w:t>
        <w:tab/>
      </w:r>
      <w:r>
        <w:t>The project data should be verified by comparing a sample of downloaded or scraped player records with the original official source. Important fields such as matches, runs, batting average, strike rate, wickets, bowling average, economy rate, and catches should be checked.</w:t>
      </w:r>
    </w:p>
    <w:p>
      <w:pPr>
        <w:pStyle w:val="ListParagraph"/>
        <w:spacing w:after="40" w:line="240" w:lineRule="auto"/>
        <w:ind w:left="360" w:hanging="259"/>
      </w:pPr>
      <w:r>
        <w:t>•</w:t>
        <w:tab/>
      </w:r>
      <w:r>
        <w:t>Public datasets such as Kaggle may be used as a secondary reference for structure and general consistency, but the official source remains the main source of truth.</w:t>
      </w:r>
    </w:p>
    <w:p>
      <w:pPr>
        <w:pStyle w:val="ListParagraph"/>
        <w:spacing w:after="40" w:line="240" w:lineRule="auto"/>
        <w:ind w:left="360" w:hanging="259"/>
      </w:pPr>
      <w:r>
        <w:t>•</w:t>
        <w:tab/>
      </w:r>
      <w:r>
        <w:t>Any difference caused by update dates, competition scope, or cleaning rules should be documented as part of the test evidence.</w:t>
      </w:r>
    </w:p>
    <w:sectPr w:rsidR="00A60B86" w:rsidRPr="00A60B8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15998"/>
    <w:multiLevelType w:val="hybridMultilevel"/>
    <w:tmpl w:val="DC72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DA7707"/>
    <w:multiLevelType w:val="hybridMultilevel"/>
    <w:tmpl w:val="2578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8E23F6"/>
    <w:multiLevelType w:val="hybridMultilevel"/>
    <w:tmpl w:val="645E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260CAB"/>
    <w:multiLevelType w:val="hybridMultilevel"/>
    <w:tmpl w:val="36DE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1336F8"/>
    <w:multiLevelType w:val="hybridMultilevel"/>
    <w:tmpl w:val="7ABA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215336"/>
    <w:multiLevelType w:val="hybridMultilevel"/>
    <w:tmpl w:val="2CF2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0D4F3F"/>
    <w:multiLevelType w:val="hybridMultilevel"/>
    <w:tmpl w:val="6386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8B0D81"/>
    <w:multiLevelType w:val="hybridMultilevel"/>
    <w:tmpl w:val="9184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9857DC"/>
    <w:multiLevelType w:val="hybridMultilevel"/>
    <w:tmpl w:val="497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240E5D"/>
    <w:multiLevelType w:val="hybridMultilevel"/>
    <w:tmpl w:val="0458F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865294"/>
    <w:multiLevelType w:val="hybridMultilevel"/>
    <w:tmpl w:val="940E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5"/>
  </w:num>
  <w:num w:numId="5">
    <w:abstractNumId w:val="9"/>
  </w:num>
  <w:num w:numId="6">
    <w:abstractNumId w:val="6"/>
  </w:num>
  <w:num w:numId="7">
    <w:abstractNumId w:val="3"/>
  </w:num>
  <w:num w:numId="8">
    <w:abstractNumId w:val="10"/>
  </w:num>
  <w:num w:numId="9">
    <w:abstractNumId w:val="7"/>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59B"/>
    <w:rsid w:val="00043D01"/>
    <w:rsid w:val="000909DE"/>
    <w:rsid w:val="002052C0"/>
    <w:rsid w:val="002612ED"/>
    <w:rsid w:val="002B6479"/>
    <w:rsid w:val="00384778"/>
    <w:rsid w:val="003868B0"/>
    <w:rsid w:val="003D01A8"/>
    <w:rsid w:val="00467DBB"/>
    <w:rsid w:val="00547086"/>
    <w:rsid w:val="005721C3"/>
    <w:rsid w:val="00574590"/>
    <w:rsid w:val="005E5373"/>
    <w:rsid w:val="007078AC"/>
    <w:rsid w:val="00754145"/>
    <w:rsid w:val="007A000C"/>
    <w:rsid w:val="00852413"/>
    <w:rsid w:val="00887B73"/>
    <w:rsid w:val="008C4CBC"/>
    <w:rsid w:val="00963BAF"/>
    <w:rsid w:val="00997254"/>
    <w:rsid w:val="00A45616"/>
    <w:rsid w:val="00A60B86"/>
    <w:rsid w:val="00B1710F"/>
    <w:rsid w:val="00C36490"/>
    <w:rsid w:val="00CB50FD"/>
    <w:rsid w:val="00CC26E4"/>
    <w:rsid w:val="00D54D0A"/>
    <w:rsid w:val="00E226EC"/>
    <w:rsid w:val="00EB7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6EC"/>
    <w:pPr>
      <w:spacing w:after="0" w:line="240" w:lineRule="auto"/>
    </w:pPr>
    <w:rPr>
      <w:rFonts w:ascii="Calibri" w:eastAsia="Arial" w:hAnsi="Calibri"/>
      <w:sz w:val="22"/>
    </w:rPr>
  </w:style>
  <w:style w:type="paragraph" w:styleId="Heading1">
    <w:name w:val="heading 1"/>
    <w:basedOn w:val="Normal"/>
    <w:next w:val="Normal"/>
    <w:link w:val="Heading1Char"/>
    <w:uiPriority w:val="9"/>
    <w:qFormat/>
    <w:rsid w:val="003847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12ED"/>
    <w:pPr>
      <w:keepNext/>
      <w:keepLines/>
      <w:spacing w:before="200" w:after="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2ED"/>
    <w:pPr>
      <w:ind w:left="720"/>
      <w:contextualSpacing/>
    </w:pPr>
  </w:style>
  <w:style w:type="character" w:customStyle="1" w:styleId="Heading2Char">
    <w:name w:val="Heading 2 Char"/>
    <w:basedOn w:val="DefaultParagraphFont"/>
    <w:link w:val="Heading2"/>
    <w:uiPriority w:val="9"/>
    <w:rsid w:val="002612ED"/>
    <w:rPr>
      <w:rFonts w:asciiTheme="majorHAnsi" w:eastAsiaTheme="majorEastAsia" w:hAnsiTheme="majorHAnsi" w:cstheme="majorBidi"/>
      <w:b/>
      <w:bCs/>
      <w:color w:val="1F4E79"/>
      <w:sz w:val="26"/>
      <w:szCs w:val="26"/>
    </w:rPr>
  </w:style>
  <w:style w:type="table" w:styleId="LightGrid-Accent1">
    <w:name w:val="Light Grid Accent 1"/>
    <w:basedOn w:val="TableNormal"/>
    <w:uiPriority w:val="62"/>
    <w:rsid w:val="002612ED"/>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CodeBlock">
    <w:name w:val="Code Block"/>
    <w:rsid w:val="00043D01"/>
    <w:pPr>
      <w:ind w:left="360"/>
    </w:pPr>
    <w:rPr>
      <w:rFonts w:ascii="Consolas" w:eastAsia="Consolas" w:hAnsi="Consolas"/>
      <w:sz w:val="18"/>
    </w:rPr>
  </w:style>
  <w:style w:type="character" w:customStyle="1" w:styleId="Heading1Char">
    <w:name w:val="Heading 1 Char"/>
    <w:basedOn w:val="DefaultParagraphFont"/>
    <w:link w:val="Heading1"/>
    <w:uiPriority w:val="9"/>
    <w:rsid w:val="0038477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38477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2413"/>
    <w:rPr>
      <w:color w:val="0000FF" w:themeColor="hyperlink"/>
      <w:u w:val="single"/>
    </w:rPr>
  </w:style>
  <w:style w:type="character" w:styleId="FollowedHyperlink">
    <w:name w:val="FollowedHyperlink"/>
    <w:basedOn w:val="DefaultParagraphFont"/>
    <w:uiPriority w:val="99"/>
    <w:semiHidden/>
    <w:unhideWhenUsed/>
    <w:rsid w:val="00852413"/>
    <w:rPr>
      <w:color w:val="800080" w:themeColor="followedHyperlink"/>
      <w:u w:val="single"/>
    </w:rPr>
  </w:style>
  <w:style w:type="paragraph" w:styleId="NormalWeb">
    <w:name w:val="Normal (Web)"/>
    <w:basedOn w:val="Normal"/>
    <w:uiPriority w:val="99"/>
    <w:semiHidden/>
    <w:unhideWhenUsed/>
    <w:rsid w:val="00A60B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0B8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6EC"/>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3847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12ED"/>
    <w:pPr>
      <w:keepNext/>
      <w:keepLines/>
      <w:spacing w:before="200" w:after="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2ED"/>
    <w:pPr>
      <w:ind w:left="720"/>
      <w:contextualSpacing/>
    </w:pPr>
  </w:style>
  <w:style w:type="character" w:customStyle="1" w:styleId="Heading2Char">
    <w:name w:val="Heading 2 Char"/>
    <w:basedOn w:val="DefaultParagraphFont"/>
    <w:link w:val="Heading2"/>
    <w:uiPriority w:val="9"/>
    <w:rsid w:val="002612ED"/>
    <w:rPr>
      <w:rFonts w:asciiTheme="majorHAnsi" w:eastAsiaTheme="majorEastAsia" w:hAnsiTheme="majorHAnsi" w:cstheme="majorBidi"/>
      <w:b/>
      <w:bCs/>
      <w:color w:val="1F4E79"/>
      <w:sz w:val="26"/>
      <w:szCs w:val="26"/>
    </w:rPr>
  </w:style>
  <w:style w:type="table" w:styleId="LightGrid-Accent1">
    <w:name w:val="Light Grid Accent 1"/>
    <w:basedOn w:val="TableNormal"/>
    <w:uiPriority w:val="62"/>
    <w:rsid w:val="002612ED"/>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CodeBlock">
    <w:name w:val="Code Block"/>
    <w:rsid w:val="00043D01"/>
    <w:pPr>
      <w:ind w:left="360"/>
    </w:pPr>
    <w:rPr>
      <w:rFonts w:ascii="Consolas" w:eastAsia="Consolas" w:hAnsi="Consolas"/>
      <w:sz w:val="18"/>
    </w:rPr>
  </w:style>
  <w:style w:type="character" w:customStyle="1" w:styleId="Heading1Char">
    <w:name w:val="Heading 1 Char"/>
    <w:basedOn w:val="DefaultParagraphFont"/>
    <w:link w:val="Heading1"/>
    <w:uiPriority w:val="9"/>
    <w:rsid w:val="0038477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38477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52413"/>
    <w:rPr>
      <w:color w:val="0000FF" w:themeColor="hyperlink"/>
      <w:u w:val="single"/>
    </w:rPr>
  </w:style>
  <w:style w:type="character" w:styleId="FollowedHyperlink">
    <w:name w:val="FollowedHyperlink"/>
    <w:basedOn w:val="DefaultParagraphFont"/>
    <w:uiPriority w:val="99"/>
    <w:semiHidden/>
    <w:unhideWhenUsed/>
    <w:rsid w:val="00852413"/>
    <w:rPr>
      <w:color w:val="800080" w:themeColor="followedHyperlink"/>
      <w:u w:val="single"/>
    </w:rPr>
  </w:style>
  <w:style w:type="paragraph" w:styleId="NormalWeb">
    <w:name w:val="Normal (Web)"/>
    <w:basedOn w:val="Normal"/>
    <w:uiPriority w:val="99"/>
    <w:semiHidden/>
    <w:unhideWhenUsed/>
    <w:rsid w:val="00A60B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0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77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ashs14282001/Group-1-Team-Projec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2310</TotalTime>
  <Pages>4</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1</dc:creator>
  <cp:lastModifiedBy>Abcd</cp:lastModifiedBy>
  <cp:revision>33</cp:revision>
  <cp:lastPrinted>2026-05-28T21:13:00Z</cp:lastPrinted>
  <dcterms:created xsi:type="dcterms:W3CDTF">2026-05-24T15:23:00Z</dcterms:created>
  <dcterms:modified xsi:type="dcterms:W3CDTF">2026-06-09T09:41:00Z</dcterms:modified>
  <dc:title>Updated Test Plan - CricPredict</dc:title>
  <dc:subject>Completed project test plan in the original Word format</dc:subject>
</cp:coreProperties>
</file>