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aps/>
          <w:color w:val="0891B2"/>
          <w:sz w:val="56"/>
          <w:szCs w:val="56"/>
        </w:rPr>
        <w:t xml:space="preserve">CUSTOMER CHURN ANALYSIS</w:t>
      </w:r>
    </w:p>
    <w:p>
      <w:pPr>
        <w:spacing w:before="0" w:after="80"/>
      </w:pPr>
      <w:r>
        <w:rPr>
          <w:rFonts w:ascii="Arial" w:cs="Arial" w:eastAsia="Arial" w:hAnsi="Arial"/>
          <w:color w:val="0D1B2A"/>
          <w:sz w:val="40"/>
          <w:szCs w:val="40"/>
        </w:rPr>
        <w:t xml:space="preserve">&amp; Retention Strategy Report</w:t>
      </w:r>
    </w:p>
    <w:p>
      <w:pPr>
        <w:spacing w:before="40" w:after="400"/>
      </w:pPr>
      <w:r>
        <w:rPr>
          <w:rFonts w:ascii="Arial" w:cs="Arial" w:eastAsia="Arial" w:hAnsi="Arial"/>
          <w:color w:val="64748B"/>
          <w:sz w:val="24"/>
          <w:szCs w:val="24"/>
        </w:rPr>
        <w:t xml:space="preserve">Telco Dataset · 7,043 Customers · ML-Powered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FF6FF" w:val="clear"/>
            <w:tcMar>
              <w:top w:type="dxa" w:w="100"/>
              <w:left w:type="dxa" w:w="150"/>
              <w:bottom w:type="dxa" w:w="100"/>
              <w:right w:type="dxa" w:w="150"/>
            </w:tcMar>
          </w:tcPr>
          <w:p>
            <w:pPr>
              <w:jc w:val="center"/>
            </w:pPr>
            <w:r>
              <w:rPr>
                <w:rFonts w:ascii="Arial" w:cs="Arial" w:eastAsia="Arial" w:hAnsi="Arial"/>
                <w:b/>
                <w:bCs/>
                <w:color w:val="0891B2"/>
                <w:sz w:val="40"/>
                <w:szCs w:val="40"/>
              </w:rPr>
              <w:t xml:space="preserve">7,043</w:t>
            </w:r>
          </w:p>
          <w:p>
            <w:pPr>
              <w:spacing w:before="40"/>
              <w:jc w:val="center"/>
            </w:pPr>
            <w:r>
              <w:rPr>
                <w:rFonts w:ascii="Arial" w:cs="Arial" w:eastAsia="Arial" w:hAnsi="Arial"/>
                <w:color w:val="64748B"/>
                <w:sz w:val="18"/>
                <w:szCs w:val="18"/>
              </w:rPr>
              <w:t xml:space="preserve">Total Customers</w:t>
            </w:r>
          </w:p>
        </w:tc>
        <w:tc>
          <w:tcPr>
            <w:tcW w:type="dxa" w:w="2340"/>
            <w:tcBorders>
              <w:top w:val="none" w:color="FFFFFF" w:sz="0"/>
              <w:left w:val="none" w:color="FFFFFF" w:sz="0"/>
              <w:bottom w:val="none" w:color="FFFFFF" w:sz="0"/>
              <w:right w:val="none" w:color="FFFFFF" w:sz="0"/>
            </w:tcBorders>
            <w:shd w:fill="FEF2F2" w:val="clear"/>
            <w:tcMar>
              <w:top w:type="dxa" w:w="100"/>
              <w:left w:type="dxa" w:w="150"/>
              <w:bottom w:type="dxa" w:w="100"/>
              <w:right w:type="dxa" w:w="150"/>
            </w:tcMar>
          </w:tcPr>
          <w:p>
            <w:pPr>
              <w:jc w:val="center"/>
            </w:pPr>
            <w:r>
              <w:rPr>
                <w:rFonts w:ascii="Arial" w:cs="Arial" w:eastAsia="Arial" w:hAnsi="Arial"/>
                <w:b/>
                <w:bCs/>
                <w:color w:val="DC2626"/>
                <w:sz w:val="40"/>
                <w:szCs w:val="40"/>
              </w:rPr>
              <w:t xml:space="preserve">26.5%</w:t>
            </w:r>
          </w:p>
          <w:p>
            <w:pPr>
              <w:spacing w:before="40"/>
              <w:jc w:val="center"/>
            </w:pPr>
            <w:r>
              <w:rPr>
                <w:rFonts w:ascii="Arial" w:cs="Arial" w:eastAsia="Arial" w:hAnsi="Arial"/>
                <w:color w:val="64748B"/>
                <w:sz w:val="18"/>
                <w:szCs w:val="18"/>
              </w:rPr>
              <w:t xml:space="preserve">Churn Rate</w:t>
            </w:r>
          </w:p>
        </w:tc>
        <w:tc>
          <w:tcPr>
            <w:tcW w:type="dxa" w:w="2340"/>
            <w:tcBorders>
              <w:top w:val="none" w:color="FFFFFF" w:sz="0"/>
              <w:left w:val="none" w:color="FFFFFF" w:sz="0"/>
              <w:bottom w:val="none" w:color="FFFFFF" w:sz="0"/>
              <w:right w:val="none" w:color="FFFFFF" w:sz="0"/>
            </w:tcBorders>
            <w:shd w:fill="FFFBEB" w:val="clear"/>
            <w:tcMar>
              <w:top w:type="dxa" w:w="100"/>
              <w:left w:type="dxa" w:w="150"/>
              <w:bottom w:type="dxa" w:w="100"/>
              <w:right w:type="dxa" w:w="150"/>
            </w:tcMar>
          </w:tcPr>
          <w:p>
            <w:pPr>
              <w:jc w:val="center"/>
            </w:pPr>
            <w:r>
              <w:rPr>
                <w:rFonts w:ascii="Arial" w:cs="Arial" w:eastAsia="Arial" w:hAnsi="Arial"/>
                <w:b/>
                <w:bCs/>
                <w:color w:val="D97706"/>
                <w:sz w:val="40"/>
                <w:szCs w:val="40"/>
              </w:rPr>
              <w:t xml:space="preserve">$139K</w:t>
            </w:r>
          </w:p>
          <w:p>
            <w:pPr>
              <w:spacing w:before="40"/>
              <w:jc w:val="center"/>
            </w:pPr>
            <w:r>
              <w:rPr>
                <w:rFonts w:ascii="Arial" w:cs="Arial" w:eastAsia="Arial" w:hAnsi="Arial"/>
                <w:color w:val="64748B"/>
                <w:sz w:val="18"/>
                <w:szCs w:val="18"/>
              </w:rPr>
              <w:t xml:space="preserve">MRR at Risk</w:t>
            </w:r>
          </w:p>
        </w:tc>
        <w:tc>
          <w:tcPr>
            <w:tcW w:type="dxa" w:w="2340"/>
            <w:tcBorders>
              <w:top w:val="none" w:color="FFFFFF" w:sz="0"/>
              <w:left w:val="none" w:color="FFFFFF" w:sz="0"/>
              <w:bottom w:val="none" w:color="FFFFFF" w:sz="0"/>
              <w:right w:val="none" w:color="FFFFFF" w:sz="0"/>
            </w:tcBorders>
            <w:shd w:fill="F0FDF4" w:val="clear"/>
            <w:tcMar>
              <w:top w:type="dxa" w:w="100"/>
              <w:left w:type="dxa" w:w="150"/>
              <w:bottom w:type="dxa" w:w="100"/>
              <w:right w:type="dxa" w:w="150"/>
            </w:tcMar>
          </w:tcPr>
          <w:p>
            <w:pPr>
              <w:jc w:val="center"/>
            </w:pPr>
            <w:r>
              <w:rPr>
                <w:rFonts w:ascii="Arial" w:cs="Arial" w:eastAsia="Arial" w:hAnsi="Arial"/>
                <w:b/>
                <w:bCs/>
                <w:color w:val="059669"/>
                <w:sz w:val="40"/>
                <w:szCs w:val="40"/>
              </w:rPr>
              <w:t xml:space="preserve">0.841</w:t>
            </w:r>
          </w:p>
          <w:p>
            <w:pPr>
              <w:spacing w:before="40"/>
              <w:jc w:val="center"/>
            </w:pPr>
            <w:r>
              <w:rPr>
                <w:rFonts w:ascii="Arial" w:cs="Arial" w:eastAsia="Arial" w:hAnsi="Arial"/>
                <w:color w:val="64748B"/>
                <w:sz w:val="18"/>
                <w:szCs w:val="18"/>
              </w:rPr>
              <w:t xml:space="preserve">Best Model AUC</w:t>
            </w:r>
          </w:p>
        </w:tc>
      </w:tr>
    </w:tbl>
    <w:p>
      <w:r>
        <w:t xml:space="preserve"/>
      </w:r>
    </w:p>
    <w:p>
      <w:r>
        <w:t xml:space="preserve"/>
      </w:r>
    </w:p>
    <w:p>
      <w:pPr>
        <w:spacing w:before="120" w:after="60"/>
      </w:pPr>
      <w:r>
        <w:rPr>
          <w:rFonts w:ascii="Arial" w:cs="Arial" w:eastAsia="Arial" w:hAnsi="Arial"/>
          <w:color w:val="64748B"/>
          <w:sz w:val="20"/>
          <w:szCs w:val="20"/>
        </w:rPr>
        <w:t xml:space="preserve">Prepared by: Analytics &amp; Strategy Team</w:t>
      </w:r>
    </w:p>
    <w:p>
      <w:r>
        <w:rPr>
          <w:rFonts w:ascii="Arial" w:cs="Arial" w:eastAsia="Arial" w:hAnsi="Arial"/>
          <w:color w:val="64748B"/>
          <w:sz w:val="20"/>
          <w:szCs w:val="20"/>
        </w:rPr>
        <w:t xml:space="preserve">Date: March 2026  |  Status: Final  |  Classification: Confidential</w:t>
      </w:r>
    </w:p>
    <w:p>
      <w:r>
        <w:br w:type="page"/>
      </w:r>
    </w:p>
    <w:p>
      <w:pPr>
        <w:pStyle w:val="Heading1"/>
        <w:pBdr>
          <w:bottom w:val="single" w:color="0891B2" w:sz="4" w:space="4"/>
        </w:pBdr>
        <w:spacing w:before="360" w:after="160"/>
      </w:pPr>
      <w:r>
        <w:rPr>
          <w:rFonts w:ascii="Arial" w:cs="Arial" w:eastAsia="Arial" w:hAnsi="Arial"/>
          <w:b/>
          <w:bCs/>
          <w:color w:val="0D1B2A"/>
          <w:sz w:val="32"/>
          <w:szCs w:val="32"/>
        </w:rPr>
        <w:t xml:space="preserve">1. Executive Summary</w:t>
      </w:r>
    </w:p>
    <w:p>
      <w:pPr>
        <w:spacing w:before="60" w:after="80"/>
      </w:pPr>
      <w:r>
        <w:rPr>
          <w:rFonts w:ascii="Arial" w:cs="Arial" w:eastAsia="Arial" w:hAnsi="Arial"/>
          <w:color w:val="1E293B"/>
          <w:sz w:val="22"/>
          <w:szCs w:val="22"/>
        </w:rPr>
        <w:t xml:space="preserve">This report presents a comprehensive analysis of customer churn for a telecom provider using real transactional data from 7,043 customers. Three machine learning models were trained and evaluated, with the Gradient Boosting model achieving an AUC of 0.841. Key churn drivers, customer segments, and actionable retention strategies are detailed below.</w:t>
      </w:r>
    </w:p>
    <w:p>
      <w:r>
        <w:t xml:space="preserve"/>
      </w:r>
    </w:p>
    <w:p>
      <w:pPr>
        <w:pStyle w:val="Heading2"/>
        <w:spacing w:before="280" w:after="120"/>
      </w:pPr>
      <w:r>
        <w:rPr>
          <w:rFonts w:ascii="Arial" w:cs="Arial" w:eastAsia="Arial" w:hAnsi="Arial"/>
          <w:b/>
          <w:bCs/>
          <w:color w:val="0891B2"/>
          <w:sz w:val="26"/>
          <w:szCs w:val="26"/>
        </w:rPr>
        <w:t xml:space="preserve">1.1 Key Findings</w:t>
      </w:r>
    </w:p>
    <w:p>
      <w:pPr>
        <w:pStyle w:val="ListParagraph"/>
        <w:numPr>
          <w:ilvl w:val="0"/>
          <w:numId w:val="2"/>
        </w:numPr>
        <w:spacing w:before="40" w:after="40"/>
      </w:pPr>
      <w:r>
        <w:rPr>
          <w:rFonts w:ascii="Arial" w:cs="Arial" w:eastAsia="Arial" w:hAnsi="Arial"/>
          <w:b/>
          <w:bCs/>
          <w:color w:val="1E293B"/>
          <w:sz w:val="22"/>
          <w:szCs w:val="22"/>
        </w:rPr>
        <w:t xml:space="preserve">Finding: </w:t>
      </w:r>
      <w:r>
        <w:rPr>
          <w:rFonts w:ascii="Arial" w:cs="Arial" w:eastAsia="Arial" w:hAnsi="Arial"/>
          <w:color w:val="1E293B"/>
          <w:sz w:val="22"/>
          <w:szCs w:val="22"/>
        </w:rPr>
        <w:t xml:space="preserve">26.5% of customers have churned, representing $139K/month in lost recurring revenue</w:t>
      </w:r>
    </w:p>
    <w:p>
      <w:pPr>
        <w:pStyle w:val="ListParagraph"/>
        <w:numPr>
          <w:ilvl w:val="0"/>
          <w:numId w:val="2"/>
        </w:numPr>
        <w:spacing w:before="40" w:after="40"/>
      </w:pPr>
      <w:r>
        <w:rPr>
          <w:rFonts w:ascii="Arial" w:cs="Arial" w:eastAsia="Arial" w:hAnsi="Arial"/>
          <w:b/>
          <w:bCs/>
          <w:color w:val="1E293B"/>
          <w:sz w:val="22"/>
          <w:szCs w:val="22"/>
        </w:rPr>
        <w:t xml:space="preserve">Finding: </w:t>
      </w:r>
      <w:r>
        <w:rPr>
          <w:rFonts w:ascii="Arial" w:cs="Arial" w:eastAsia="Arial" w:hAnsi="Arial"/>
          <w:color w:val="1E293B"/>
          <w:sz w:val="22"/>
          <w:szCs w:val="22"/>
        </w:rPr>
        <w:t xml:space="preserve">Month-to-month contract customers churn at 42.7% — 15× higher than 2-year contract holders (2.8%)</w:t>
      </w:r>
    </w:p>
    <w:p>
      <w:pPr>
        <w:pStyle w:val="ListParagraph"/>
        <w:numPr>
          <w:ilvl w:val="0"/>
          <w:numId w:val="2"/>
        </w:numPr>
        <w:spacing w:before="40" w:after="40"/>
      </w:pPr>
      <w:r>
        <w:rPr>
          <w:rFonts w:ascii="Arial" w:cs="Arial" w:eastAsia="Arial" w:hAnsi="Arial"/>
          <w:b/>
          <w:bCs/>
          <w:color w:val="1E293B"/>
          <w:sz w:val="22"/>
          <w:szCs w:val="22"/>
        </w:rPr>
        <w:t xml:space="preserve">Finding: </w:t>
      </w:r>
      <w:r>
        <w:rPr>
          <w:rFonts w:ascii="Arial" w:cs="Arial" w:eastAsia="Arial" w:hAnsi="Arial"/>
          <w:color w:val="1E293B"/>
          <w:sz w:val="22"/>
          <w:szCs w:val="22"/>
        </w:rPr>
        <w:t xml:space="preserve">Electronic check payment users churn at 45.3% — highest of any segment. Auto-pay customers churn at 15–17%</w:t>
      </w:r>
    </w:p>
    <w:p>
      <w:pPr>
        <w:pStyle w:val="ListParagraph"/>
        <w:numPr>
          <w:ilvl w:val="0"/>
          <w:numId w:val="2"/>
        </w:numPr>
        <w:spacing w:before="40" w:after="40"/>
      </w:pPr>
      <w:r>
        <w:rPr>
          <w:rFonts w:ascii="Arial" w:cs="Arial" w:eastAsia="Arial" w:hAnsi="Arial"/>
          <w:b/>
          <w:bCs/>
          <w:color w:val="1E293B"/>
          <w:sz w:val="22"/>
          <w:szCs w:val="22"/>
        </w:rPr>
        <w:t xml:space="preserve">Finding: </w:t>
      </w:r>
      <w:r>
        <w:rPr>
          <w:rFonts w:ascii="Arial" w:cs="Arial" w:eastAsia="Arial" w:hAnsi="Arial"/>
          <w:color w:val="1E293B"/>
          <w:sz w:val="22"/>
          <w:szCs w:val="22"/>
        </w:rPr>
        <w:t xml:space="preserve">53.3% of customers in their first 6 months churn — onboarding is the critical intervention window</w:t>
      </w:r>
    </w:p>
    <w:p>
      <w:pPr>
        <w:pStyle w:val="ListParagraph"/>
        <w:numPr>
          <w:ilvl w:val="0"/>
          <w:numId w:val="2"/>
        </w:numPr>
        <w:spacing w:before="40" w:after="40"/>
      </w:pPr>
      <w:r>
        <w:rPr>
          <w:rFonts w:ascii="Arial" w:cs="Arial" w:eastAsia="Arial" w:hAnsi="Arial"/>
          <w:b/>
          <w:bCs/>
          <w:color w:val="1E293B"/>
          <w:sz w:val="22"/>
          <w:szCs w:val="22"/>
        </w:rPr>
        <w:t xml:space="preserve">Finding: </w:t>
      </w:r>
      <w:r>
        <w:rPr>
          <w:rFonts w:ascii="Arial" w:cs="Arial" w:eastAsia="Arial" w:hAnsi="Arial"/>
          <w:color w:val="1E293B"/>
          <w:sz w:val="22"/>
          <w:szCs w:val="22"/>
        </w:rPr>
        <w:t xml:space="preserve">Customers without Online Security or Tech Support churn at 2× the rate of those who have these add-ons</w:t>
      </w:r>
    </w:p>
    <w:p>
      <w:pPr>
        <w:pStyle w:val="ListParagraph"/>
        <w:numPr>
          <w:ilvl w:val="0"/>
          <w:numId w:val="2"/>
        </w:numPr>
        <w:spacing w:before="40" w:after="40"/>
      </w:pPr>
      <w:r>
        <w:rPr>
          <w:rFonts w:ascii="Arial" w:cs="Arial" w:eastAsia="Arial" w:hAnsi="Arial"/>
          <w:b/>
          <w:bCs/>
          <w:color w:val="1E293B"/>
          <w:sz w:val="22"/>
          <w:szCs w:val="22"/>
        </w:rPr>
        <w:t xml:space="preserve">Finding: </w:t>
      </w:r>
      <w:r>
        <w:rPr>
          <w:rFonts w:ascii="Arial" w:cs="Arial" w:eastAsia="Arial" w:hAnsi="Arial"/>
          <w:color w:val="1E293B"/>
          <w:sz w:val="22"/>
          <w:szCs w:val="22"/>
        </w:rPr>
        <w:t xml:space="preserve">Senior citizens churn at 41.7% vs 23.6% for non-seniors — a high-risk demographic needing dedicated programs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891B2" w:val="clear"/>
            <w:tcMar>
              <w:top w:type="dxa" w:w="80"/>
              <w:left w:type="dxa" w:w="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EFF6FF" w:val="clear"/>
            <w:tcMar>
              <w:top w:type="dxa" w:w="100"/>
              <w:left w:type="dxa" w:w="150"/>
              <w:bottom w:type="dxa" w:w="100"/>
              <w:right w:type="dxa" w:w="150"/>
            </w:tcMar>
          </w:tcPr>
          <w:p>
            <w:r>
              <w:rPr>
                <w:rFonts w:ascii="Arial" w:cs="Arial" w:eastAsia="Arial" w:hAnsi="Arial"/>
                <w:b/>
                <w:bCs/>
                <w:color w:val="0891B2"/>
                <w:sz w:val="22"/>
                <w:szCs w:val="22"/>
              </w:rPr>
              <w:t xml:space="preserve">Bottom Line</w:t>
            </w:r>
          </w:p>
          <w:p>
            <w:pPr>
              <w:spacing w:before="40"/>
            </w:pPr>
            <w:r>
              <w:rPr>
                <w:rFonts w:ascii="Arial" w:cs="Arial" w:eastAsia="Arial" w:hAnsi="Arial"/>
                <w:color w:val="1E293B"/>
                <w:sz w:val="20"/>
                <w:szCs w:val="20"/>
              </w:rPr>
              <w:t xml:space="preserve">With targeted interventions across contract conversion, auto-pay enrollment, and 90-day onboarding, we project a 35–40% reduction in monthly churn — saving approximately $48–55K in MRR within 12 months.</w:t>
            </w:r>
          </w:p>
        </w:tc>
      </w:tr>
    </w:tbl>
    <w:p>
      <w:r>
        <w:br w:type="page"/>
      </w:r>
    </w:p>
    <w:p>
      <w:pPr>
        <w:pStyle w:val="Heading1"/>
        <w:pBdr>
          <w:bottom w:val="single" w:color="0891B2" w:sz="4" w:space="4"/>
        </w:pBdr>
        <w:spacing w:before="360" w:after="160"/>
      </w:pPr>
      <w:r>
        <w:rPr>
          <w:rFonts w:ascii="Arial" w:cs="Arial" w:eastAsia="Arial" w:hAnsi="Arial"/>
          <w:b/>
          <w:bCs/>
          <w:color w:val="0D1B2A"/>
          <w:sz w:val="32"/>
          <w:szCs w:val="32"/>
        </w:rPr>
        <w:t xml:space="preserve">2. Dataset &amp; Methodology</w:t>
      </w:r>
    </w:p>
    <w:p>
      <w:pPr>
        <w:pStyle w:val="Heading2"/>
        <w:spacing w:before="280" w:after="120"/>
      </w:pPr>
      <w:r>
        <w:rPr>
          <w:rFonts w:ascii="Arial" w:cs="Arial" w:eastAsia="Arial" w:hAnsi="Arial"/>
          <w:b/>
          <w:bCs/>
          <w:color w:val="0891B2"/>
          <w:sz w:val="26"/>
          <w:szCs w:val="26"/>
        </w:rPr>
        <w:t xml:space="preserve">2.1 Dataset Overview</w:t>
      </w:r>
    </w:p>
    <w:p>
      <w:pPr>
        <w:spacing w:before="60" w:after="80"/>
      </w:pPr>
      <w:r>
        <w:rPr>
          <w:rFonts w:ascii="Arial" w:cs="Arial" w:eastAsia="Arial" w:hAnsi="Arial"/>
          <w:color w:val="1E293B"/>
          <w:sz w:val="22"/>
          <w:szCs w:val="22"/>
        </w:rPr>
        <w:t xml:space="preserve">The IBM Telco Customer Churn dataset contains 7,043 customer records with 20 features covering demographics, service subscriptions, billing, and contract information. The target variable is binary: whether the customer churned or not.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 Category</w:t>
            </w:r>
          </w:p>
        </w:tc>
        <w:tc>
          <w:tcPr>
            <w:tcW w:type="dxa" w:w="312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Variables</w:t>
            </w:r>
          </w:p>
        </w:tc>
        <w:tc>
          <w:tcPr>
            <w:tcW w:type="dxa" w:w="312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Count</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Demographics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Gender, Senior Citizen, Partner, Dependents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4</w:t>
            </w:r>
          </w:p>
        </w:tc>
      </w:tr>
      <w:tr>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Services</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Phone, Internet, Online Security, Backup, Device Protection, Tech Support, Streaming</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7</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Account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Contract Type, Paperless Billing, Payment Method</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3</w:t>
            </w:r>
          </w:p>
        </w:tc>
      </w:tr>
      <w:tr>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Financial</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Monthly Charges, Total Charges, Tenure</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3</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Target</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Churn (Yes/No)</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w:t>
            </w:r>
          </w:p>
        </w:tc>
      </w:tr>
    </w:tbl>
    <w:p>
      <w:r>
        <w:t xml:space="preserve"/>
      </w:r>
    </w:p>
    <w:p>
      <w:pPr>
        <w:pStyle w:val="Heading2"/>
        <w:spacing w:before="280" w:after="120"/>
      </w:pPr>
      <w:r>
        <w:rPr>
          <w:rFonts w:ascii="Arial" w:cs="Arial" w:eastAsia="Arial" w:hAnsi="Arial"/>
          <w:b/>
          <w:bCs/>
          <w:color w:val="0891B2"/>
          <w:sz w:val="26"/>
          <w:szCs w:val="26"/>
        </w:rPr>
        <w:t xml:space="preserve">2.2 Data Preprocessing</w:t>
      </w:r>
    </w:p>
    <w:p>
      <w:pPr>
        <w:pStyle w:val="ListParagraph"/>
        <w:numPr>
          <w:ilvl w:val="0"/>
          <w:numId w:val="2"/>
        </w:numPr>
        <w:spacing w:before="40" w:after="40"/>
      </w:pPr>
      <w:r>
        <w:rPr>
          <w:rFonts w:ascii="Arial" w:cs="Arial" w:eastAsia="Arial" w:hAnsi="Arial"/>
          <w:color w:val="1E293B"/>
          <w:sz w:val="22"/>
          <w:szCs w:val="22"/>
        </w:rPr>
        <w:t xml:space="preserve">TotalCharges converted from string to numeric; 11 records with blank values imputed with median</w:t>
      </w:r>
    </w:p>
    <w:p>
      <w:pPr>
        <w:pStyle w:val="ListParagraph"/>
        <w:numPr>
          <w:ilvl w:val="0"/>
          <w:numId w:val="2"/>
        </w:numPr>
        <w:spacing w:before="40" w:after="40"/>
      </w:pPr>
      <w:r>
        <w:rPr>
          <w:rFonts w:ascii="Arial" w:cs="Arial" w:eastAsia="Arial" w:hAnsi="Arial"/>
          <w:color w:val="1E293B"/>
          <w:sz w:val="22"/>
          <w:szCs w:val="22"/>
        </w:rPr>
        <w:t xml:space="preserve">Categorical variables encoded using Label Encoding (19 features after encoding)</w:t>
      </w:r>
    </w:p>
    <w:p>
      <w:pPr>
        <w:pStyle w:val="ListParagraph"/>
        <w:numPr>
          <w:ilvl w:val="0"/>
          <w:numId w:val="2"/>
        </w:numPr>
        <w:spacing w:before="40" w:after="40"/>
      </w:pPr>
      <w:r>
        <w:rPr>
          <w:rFonts w:ascii="Arial" w:cs="Arial" w:eastAsia="Arial" w:hAnsi="Arial"/>
          <w:color w:val="1E293B"/>
          <w:sz w:val="22"/>
          <w:szCs w:val="22"/>
        </w:rPr>
        <w:t xml:space="preserve">Train/test split: 80/20 stratified by churn label</w:t>
      </w:r>
    </w:p>
    <w:p>
      <w:pPr>
        <w:pStyle w:val="ListParagraph"/>
        <w:numPr>
          <w:ilvl w:val="0"/>
          <w:numId w:val="2"/>
        </w:numPr>
        <w:spacing w:before="40" w:after="40"/>
      </w:pPr>
      <w:r>
        <w:rPr>
          <w:rFonts w:ascii="Arial" w:cs="Arial" w:eastAsia="Arial" w:hAnsi="Arial"/>
          <w:color w:val="1E293B"/>
          <w:sz w:val="22"/>
          <w:szCs w:val="22"/>
        </w:rPr>
        <w:t xml:space="preserve">Feature scaling: StandardScaler applied for Logistic Regression only</w:t>
      </w:r>
    </w:p>
    <w:p>
      <w:pPr>
        <w:pStyle w:val="ListParagraph"/>
        <w:numPr>
          <w:ilvl w:val="0"/>
          <w:numId w:val="2"/>
        </w:numPr>
        <w:spacing w:before="40" w:after="40"/>
      </w:pPr>
      <w:r>
        <w:rPr>
          <w:rFonts w:ascii="Arial" w:cs="Arial" w:eastAsia="Arial" w:hAnsi="Arial"/>
          <w:color w:val="1E293B"/>
          <w:sz w:val="22"/>
          <w:szCs w:val="22"/>
        </w:rPr>
        <w:t xml:space="preserve">Missing value imputation: median substitution for all numeric features</w:t>
      </w:r>
    </w:p>
    <w:p>
      <w:r>
        <w:t xml:space="preserve"/>
      </w:r>
    </w:p>
    <w:p>
      <w:pPr>
        <w:pStyle w:val="Heading2"/>
        <w:spacing w:before="280" w:after="120"/>
      </w:pPr>
      <w:r>
        <w:rPr>
          <w:rFonts w:ascii="Arial" w:cs="Arial" w:eastAsia="Arial" w:hAnsi="Arial"/>
          <w:b/>
          <w:bCs/>
          <w:color w:val="0891B2"/>
          <w:sz w:val="26"/>
          <w:szCs w:val="26"/>
        </w:rPr>
        <w:t xml:space="preserve">2.3 Model Training</w:t>
      </w:r>
    </w:p>
    <w:p>
      <w:pPr>
        <w:spacing w:before="60" w:after="80"/>
      </w:pPr>
      <w:r>
        <w:rPr>
          <w:rFonts w:ascii="Arial" w:cs="Arial" w:eastAsia="Arial" w:hAnsi="Arial"/>
          <w:color w:val="1E293B"/>
          <w:sz w:val="22"/>
          <w:szCs w:val="22"/>
        </w:rPr>
        <w:t xml:space="preserve">Three classification models were trained and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Model</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AUC Score</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Accuracy</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Precision (Churn)</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Recall (Churn)</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Notes</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Logistic Regression</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0.840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79.9%</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0.64</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0.52</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Strong baseline, fast inference</w:t>
            </w:r>
          </w:p>
        </w:tc>
      </w:tr>
      <w:tr>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Random Forest (200 trees)</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0.822</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78.8%</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0.63</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0.49</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Best feature importance</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Gradient Boosting (200 est.)</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0.841</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80.6%</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0.65</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0.51</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Best overall AUC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59669" w:val="clear"/>
            <w:tcMar>
              <w:top w:type="dxa" w:w="80"/>
              <w:left w:type="dxa" w:w="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EFF6FF" w:val="clear"/>
            <w:tcMar>
              <w:top w:type="dxa" w:w="100"/>
              <w:left w:type="dxa" w:w="150"/>
              <w:bottom w:type="dxa" w:w="100"/>
              <w:right w:type="dxa" w:w="150"/>
            </w:tcMar>
          </w:tcPr>
          <w:p>
            <w:r>
              <w:rPr>
                <w:rFonts w:ascii="Arial" w:cs="Arial" w:eastAsia="Arial" w:hAnsi="Arial"/>
                <w:b/>
                <w:bCs/>
                <w:color w:val="059669"/>
                <w:sz w:val="22"/>
                <w:szCs w:val="22"/>
              </w:rPr>
              <w:t xml:space="preserve">Model Selection</w:t>
            </w:r>
          </w:p>
          <w:p>
            <w:pPr>
              <w:spacing w:before="40"/>
            </w:pPr>
            <w:r>
              <w:rPr>
                <w:rFonts w:ascii="Arial" w:cs="Arial" w:eastAsia="Arial" w:hAnsi="Arial"/>
                <w:color w:val="1E293B"/>
                <w:sz w:val="20"/>
                <w:szCs w:val="20"/>
              </w:rPr>
              <w:t xml:space="preserve">Gradient Boosting (AUC 0.841) is recommended for production deployment due to best overall AUC. Random Forest is used for feature importance analysis due to interpretability.</w:t>
            </w:r>
          </w:p>
        </w:tc>
      </w:tr>
    </w:tbl>
    <w:p>
      <w:r>
        <w:br w:type="page"/>
      </w:r>
    </w:p>
    <w:p>
      <w:pPr>
        <w:pStyle w:val="Heading1"/>
        <w:pBdr>
          <w:bottom w:val="single" w:color="0891B2" w:sz="4" w:space="4"/>
        </w:pBdr>
        <w:spacing w:before="360" w:after="160"/>
      </w:pPr>
      <w:r>
        <w:rPr>
          <w:rFonts w:ascii="Arial" w:cs="Arial" w:eastAsia="Arial" w:hAnsi="Arial"/>
          <w:b/>
          <w:bCs/>
          <w:color w:val="0D1B2A"/>
          <w:sz w:val="32"/>
          <w:szCs w:val="32"/>
        </w:rPr>
        <w:t xml:space="preserve">3. Churn Analysis</w:t>
      </w:r>
    </w:p>
    <w:p>
      <w:pPr>
        <w:pStyle w:val="Heading2"/>
        <w:spacing w:before="280" w:after="120"/>
      </w:pPr>
      <w:r>
        <w:rPr>
          <w:rFonts w:ascii="Arial" w:cs="Arial" w:eastAsia="Arial" w:hAnsi="Arial"/>
          <w:b/>
          <w:bCs/>
          <w:color w:val="0891B2"/>
          <w:sz w:val="26"/>
          <w:szCs w:val="26"/>
        </w:rPr>
        <w:t xml:space="preserve">3.1 Churn by Contract Type</w:t>
      </w:r>
    </w:p>
    <w:p>
      <w:pPr>
        <w:spacing w:before="60" w:after="80"/>
      </w:pPr>
      <w:r>
        <w:rPr>
          <w:rFonts w:ascii="Arial" w:cs="Arial" w:eastAsia="Arial" w:hAnsi="Arial"/>
          <w:color w:val="1E293B"/>
          <w:sz w:val="22"/>
          <w:szCs w:val="22"/>
        </w:rPr>
        <w:t xml:space="preserve">Contract type is the single most powerful predictor of churn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Contract Type</w:t>
            </w:r>
          </w:p>
        </w:tc>
        <w:tc>
          <w:tcPr>
            <w:tcW w:type="dxa" w:w="1872"/>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Customers</w:t>
            </w:r>
          </w:p>
        </w:tc>
        <w:tc>
          <w:tcPr>
            <w:tcW w:type="dxa" w:w="1872"/>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Churned</w:t>
            </w:r>
          </w:p>
        </w:tc>
        <w:tc>
          <w:tcPr>
            <w:tcW w:type="dxa" w:w="1872"/>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 Rate</w:t>
            </w:r>
          </w:p>
        </w:tc>
        <w:tc>
          <w:tcPr>
            <w:tcW w:type="dxa" w:w="1872"/>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 Level</w:t>
            </w:r>
          </w:p>
        </w:tc>
      </w:tr>
      <w:tr>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Month-to-Month</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3,875</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1,655</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42.7%</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VERY HIGH</w:t>
            </w:r>
          </w:p>
        </w:tc>
      </w:tr>
      <w:tr>
        <w:tc>
          <w:tcPr>
            <w:tcW w:type="dxa" w:w="1872"/>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One Year</w:t>
            </w:r>
          </w:p>
        </w:tc>
        <w:tc>
          <w:tcPr>
            <w:tcW w:type="dxa" w:w="1872"/>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1,473</w:t>
            </w:r>
          </w:p>
        </w:tc>
        <w:tc>
          <w:tcPr>
            <w:tcW w:type="dxa" w:w="1872"/>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166</w:t>
            </w:r>
          </w:p>
        </w:tc>
        <w:tc>
          <w:tcPr>
            <w:tcW w:type="dxa" w:w="1872"/>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11.3%</w:t>
            </w:r>
          </w:p>
        </w:tc>
        <w:tc>
          <w:tcPr>
            <w:tcW w:type="dxa" w:w="1872"/>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MEDIUM</w:t>
            </w:r>
          </w:p>
        </w:tc>
      </w:tr>
      <w:tr>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Two Year</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1,695</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48</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2.8%</w:t>
            </w:r>
          </w:p>
        </w:tc>
        <w:tc>
          <w:tcPr>
            <w:tcW w:type="dxa" w:w="1872"/>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LOW</w:t>
            </w:r>
          </w:p>
        </w:tc>
      </w:tr>
    </w:tbl>
    <w:p>
      <w:r>
        <w:t xml:space="preserve"/>
      </w:r>
    </w:p>
    <w:p>
      <w:pPr>
        <w:pStyle w:val="Heading2"/>
        <w:spacing w:before="280" w:after="120"/>
      </w:pPr>
      <w:r>
        <w:rPr>
          <w:rFonts w:ascii="Arial" w:cs="Arial" w:eastAsia="Arial" w:hAnsi="Arial"/>
          <w:b/>
          <w:bCs/>
          <w:color w:val="0891B2"/>
          <w:sz w:val="26"/>
          <w:szCs w:val="26"/>
        </w:rPr>
        <w:t xml:space="preserve">3.2 Churn by Payment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Payment Method</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Customers</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 Rate</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Electronic Check</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2,365</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45.3%</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CRITICAL</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Mailed Check</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1,612</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19.1%</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MEDIUM</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Bank Transfer (Auto)</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1,544</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16.7%</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LOW</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Credit Card (Auto)</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1,522</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15.2%</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LOW</w:t>
            </w:r>
          </w:p>
        </w:tc>
      </w:tr>
    </w:tbl>
    <w:p>
      <w:r>
        <w:t xml:space="preserve"/>
      </w:r>
    </w:p>
    <w:p>
      <w:pPr>
        <w:pStyle w:val="Heading2"/>
        <w:spacing w:before="280" w:after="120"/>
      </w:pPr>
      <w:r>
        <w:rPr>
          <w:rFonts w:ascii="Arial" w:cs="Arial" w:eastAsia="Arial" w:hAnsi="Arial"/>
          <w:b/>
          <w:bCs/>
          <w:color w:val="0891B2"/>
          <w:sz w:val="26"/>
          <w:szCs w:val="26"/>
        </w:rPr>
        <w:t xml:space="preserve">3.3 Churn by Tenure</w:t>
      </w:r>
    </w:p>
    <w:p>
      <w:pPr>
        <w:spacing w:before="60" w:after="80"/>
      </w:pPr>
      <w:r>
        <w:rPr>
          <w:rFonts w:ascii="Arial" w:cs="Arial" w:eastAsia="Arial" w:hAnsi="Arial"/>
          <w:color w:val="1E293B"/>
          <w:sz w:val="22"/>
          <w:szCs w:val="22"/>
        </w:rPr>
        <w:t xml:space="preserve">Churn rate declines sharply with tenure — the first 12 months are the most critical retention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Tenure Group</w:t>
            </w:r>
          </w:p>
        </w:tc>
        <w:tc>
          <w:tcPr>
            <w:tcW w:type="dxa" w:w="312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 Rate</w:t>
            </w:r>
          </w:p>
        </w:tc>
        <w:tc>
          <w:tcPr>
            <w:tcW w:type="dxa" w:w="312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Insight</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0–6 months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53.3%</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Critical danger zone — more than half churn</w:t>
            </w:r>
          </w:p>
        </w:tc>
      </w:tr>
      <w:tr>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7–12 months</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35.9%</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Still very high — continued intervention needed</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13–24 months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28.7%</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Improving — mid-term engagement programs help</w:t>
            </w:r>
          </w:p>
        </w:tc>
      </w:tr>
      <w:tr>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25–36 months</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21.6%</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Getting stable — loyalty recognition relevant</w:t>
            </w:r>
          </w:p>
        </w:tc>
      </w:tr>
      <w:tr>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37–48 months</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19.0%</w:t>
            </w:r>
          </w:p>
        </w:tc>
        <w:tc>
          <w:tcPr>
            <w:tcW w:type="dxa" w:w="312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Approaching loyal customer threshold</w:t>
            </w:r>
          </w:p>
        </w:tc>
      </w:tr>
      <w:tr>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49–72 months</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9.5%</w:t>
            </w:r>
          </w:p>
        </w:tc>
        <w:tc>
          <w:tcPr>
            <w:tcW w:type="dxa" w:w="312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Highly loyal — focus on ARPU growth not retention</w:t>
            </w:r>
          </w:p>
        </w:tc>
      </w:tr>
    </w:tbl>
    <w:p>
      <w:r>
        <w:t xml:space="preserve"/>
      </w:r>
    </w:p>
    <w:p>
      <w:pPr>
        <w:pStyle w:val="Heading2"/>
        <w:spacing w:before="280" w:after="120"/>
      </w:pPr>
      <w:r>
        <w:rPr>
          <w:rFonts w:ascii="Arial" w:cs="Arial" w:eastAsia="Arial" w:hAnsi="Arial"/>
          <w:b/>
          <w:bCs/>
          <w:color w:val="0891B2"/>
          <w:sz w:val="26"/>
          <w:szCs w:val="26"/>
        </w:rPr>
        <w:t xml:space="preserve">3.4 Service Add-on Impact</w:t>
      </w:r>
    </w:p>
    <w:p>
      <w:pPr>
        <w:spacing w:before="60" w:after="80"/>
      </w:pPr>
      <w:r>
        <w:rPr>
          <w:rFonts w:ascii="Arial" w:cs="Arial" w:eastAsia="Arial" w:hAnsi="Arial"/>
          <w:color w:val="1E293B"/>
          <w:sz w:val="22"/>
          <w:szCs w:val="22"/>
        </w:rPr>
        <w:t xml:space="preserve">Customers without key add-ons churn at significantly higher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Service</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Without Add-on</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With Add-on</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Retention Lift</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Online Security</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41.8%</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14.6%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+27.2pp</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Tech Support</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41.6%</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15.2%</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+26.4pp</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Online Backup</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39.9%</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21.6%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+18.3pp</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Device Protection</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39.1%</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22.5%</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+16.6pp</w:t>
            </w:r>
          </w:p>
        </w:tc>
      </w:tr>
    </w:tbl>
    <w:p>
      <w:r>
        <w:br w:type="page"/>
      </w:r>
    </w:p>
    <w:p>
      <w:pPr>
        <w:pStyle w:val="Heading1"/>
        <w:pBdr>
          <w:bottom w:val="single" w:color="0891B2" w:sz="4" w:space="4"/>
        </w:pBdr>
        <w:spacing w:before="360" w:after="160"/>
      </w:pPr>
      <w:r>
        <w:rPr>
          <w:rFonts w:ascii="Arial" w:cs="Arial" w:eastAsia="Arial" w:hAnsi="Arial"/>
          <w:b/>
          <w:bCs/>
          <w:color w:val="0D1B2A"/>
          <w:sz w:val="32"/>
          <w:szCs w:val="32"/>
        </w:rPr>
        <w:t xml:space="preserve">4. Customer Segmentation</w:t>
      </w:r>
    </w:p>
    <w:p>
      <w:pPr>
        <w:spacing w:before="60" w:after="80"/>
      </w:pPr>
      <w:r>
        <w:rPr>
          <w:rFonts w:ascii="Arial" w:cs="Arial" w:eastAsia="Arial" w:hAnsi="Arial"/>
          <w:color w:val="1E293B"/>
          <w:sz w:val="22"/>
          <w:szCs w:val="22"/>
        </w:rPr>
        <w:t xml:space="preserve">K-Means clustering (k=4) was applied on tenure, monthly charges, and total charges to identify distinct customer profiles: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Segment</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Customers</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 Rate</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Tenure</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MRR</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Risk</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Budget Loyalists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~1,159</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5.0%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54 months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$35/mo</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LOW</w:t>
            </w:r>
          </w:p>
        </w:tc>
      </w:tr>
      <w:tr>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Value Seekers</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~1,904</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15.0%</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60 months</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$93/mo</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MEDIUM</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Premium At-Risk</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~1,704</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25.0%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10 months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$32/mo</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HIGH</w:t>
            </w:r>
          </w:p>
        </w:tc>
      </w:tr>
      <w:tr>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High-Value Stable</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~2,276</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48.0%</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15 months</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$81/mo</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VERY HIGH</w:t>
            </w:r>
          </w:p>
        </w:tc>
      </w:tr>
    </w:tbl>
    <w:p>
      <w:r>
        <w:t xml:space="preserve"/>
      </w:r>
    </w:p>
    <w:p>
      <w:pPr>
        <w:spacing w:before="200" w:after="80"/>
      </w:pPr>
      <w:r>
        <w:rPr>
          <w:rFonts w:ascii="Arial" w:cs="Arial" w:eastAsia="Arial" w:hAnsi="Arial"/>
          <w:b/>
          <w:bCs/>
          <w:color w:val="0D1B2A"/>
          <w:sz w:val="22"/>
          <w:szCs w:val="22"/>
        </w:rPr>
        <w:t xml:space="preserve">Segment Interpretation</w:t>
      </w:r>
    </w:p>
    <w:p>
      <w:pPr>
        <w:pStyle w:val="ListParagraph"/>
        <w:numPr>
          <w:ilvl w:val="0"/>
          <w:numId w:val="2"/>
        </w:numPr>
        <w:spacing w:before="40" w:after="40"/>
      </w:pPr>
      <w:r>
        <w:rPr>
          <w:rFonts w:ascii="Arial" w:cs="Arial" w:eastAsia="Arial" w:hAnsi="Arial"/>
          <w:color w:val="1E293B"/>
          <w:sz w:val="22"/>
          <w:szCs w:val="22"/>
        </w:rPr>
        <w:t xml:space="preserve">Budget Loyalists: Long-tenured, low-spend customers who rarely churn. Focus on gentle ARPU upsell, not retention.</w:t>
      </w:r>
    </w:p>
    <w:p>
      <w:pPr>
        <w:pStyle w:val="ListParagraph"/>
        <w:numPr>
          <w:ilvl w:val="0"/>
          <w:numId w:val="2"/>
        </w:numPr>
        <w:spacing w:before="40" w:after="40"/>
      </w:pPr>
      <w:r>
        <w:rPr>
          <w:rFonts w:ascii="Arial" w:cs="Arial" w:eastAsia="Arial" w:hAnsi="Arial"/>
          <w:color w:val="1E293B"/>
          <w:sz w:val="22"/>
          <w:szCs w:val="22"/>
        </w:rPr>
        <w:t xml:space="preserve">Value Seekers: High-spend, long-tenure customers. Very profitable. Moderate risk — proactive loyalty rewards recommended.</w:t>
      </w:r>
    </w:p>
    <w:p>
      <w:pPr>
        <w:pStyle w:val="ListParagraph"/>
        <w:numPr>
          <w:ilvl w:val="0"/>
          <w:numId w:val="2"/>
        </w:numPr>
        <w:spacing w:before="40" w:after="40"/>
      </w:pPr>
      <w:r>
        <w:rPr>
          <w:rFonts w:ascii="Arial" w:cs="Arial" w:eastAsia="Arial" w:hAnsi="Arial"/>
          <w:color w:val="1E293B"/>
          <w:sz w:val="22"/>
          <w:szCs w:val="22"/>
        </w:rPr>
        <w:t xml:space="preserve">Premium At-Risk: New low-spend customers in critical onboarding phase. High churn driven by early abandonment.</w:t>
      </w:r>
    </w:p>
    <w:p>
      <w:pPr>
        <w:pStyle w:val="ListParagraph"/>
        <w:numPr>
          <w:ilvl w:val="0"/>
          <w:numId w:val="2"/>
        </w:numPr>
        <w:spacing w:before="40" w:after="40"/>
      </w:pPr>
      <w:r>
        <w:rPr>
          <w:rFonts w:ascii="Arial" w:cs="Arial" w:eastAsia="Arial" w:hAnsi="Arial"/>
          <w:color w:val="1E293B"/>
          <w:sz w:val="22"/>
          <w:szCs w:val="22"/>
        </w:rPr>
        <w:t xml:space="preserve">High-Value Stable: New high-spend customers — highest revenue risk. Immediate outreach essential to lock them in.</w:t>
      </w:r>
    </w:p>
    <w:p>
      <w:r>
        <w:br w:type="page"/>
      </w:r>
    </w:p>
    <w:p>
      <w:pPr>
        <w:pStyle w:val="Heading1"/>
        <w:pBdr>
          <w:bottom w:val="single" w:color="0891B2" w:sz="4" w:space="4"/>
        </w:pBdr>
        <w:spacing w:before="360" w:after="160"/>
      </w:pPr>
      <w:r>
        <w:rPr>
          <w:rFonts w:ascii="Arial" w:cs="Arial" w:eastAsia="Arial" w:hAnsi="Arial"/>
          <w:b/>
          <w:bCs/>
          <w:color w:val="0D1B2A"/>
          <w:sz w:val="32"/>
          <w:szCs w:val="32"/>
        </w:rPr>
        <w:t xml:space="preserve">5. Churn Drivers &amp; Feature Importance</w:t>
      </w:r>
    </w:p>
    <w:p>
      <w:pPr>
        <w:spacing w:before="60" w:after="80"/>
      </w:pPr>
      <w:r>
        <w:rPr>
          <w:rFonts w:ascii="Arial" w:cs="Arial" w:eastAsia="Arial" w:hAnsi="Arial"/>
          <w:color w:val="1E293B"/>
          <w:sz w:val="22"/>
          <w:szCs w:val="22"/>
        </w:rPr>
        <w:t xml:space="preserve">The Random Forest model's feature importance scores reveal the relative contribution of each variable to predicting churn: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Rank</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Feature</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Importance Score</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Business Interpretation</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Total Charges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0.186</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Proxy for tenure × price — high bill, low perceived value = risk</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2</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Monthly Charges</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0.179</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High monthly bills without service satisfaction drive exit</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Tenure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0.160</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Longer customers are significantly more loyal</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4</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Contract Type</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0.075</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Month-to-month = 15× higher churn risk than 2-year</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Payment Method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0.052</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Electronic check = friction + financial instability signal</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6</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Online Security</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0.043</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Lack of add-on indicates lower engagement with product</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Tech Support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0.043</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Same as above — service depth = retention depth</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8</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Internet Service</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0.029</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Fiber optic users have highest churn despite highest spend</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Online Backup</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0.028</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Add-on depth correlates with lower churn</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10</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Gender</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0.028</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Minimal predictor — gender-neutral churn pattern</w:t>
            </w:r>
          </w:p>
        </w:tc>
      </w:tr>
    </w:tbl>
    <w:p>
      <w:r>
        <w:br w:type="page"/>
      </w:r>
    </w:p>
    <w:p>
      <w:pPr>
        <w:pStyle w:val="Heading1"/>
        <w:pBdr>
          <w:bottom w:val="single" w:color="0891B2" w:sz="4" w:space="4"/>
        </w:pBdr>
        <w:spacing w:before="360" w:after="160"/>
      </w:pPr>
      <w:r>
        <w:rPr>
          <w:rFonts w:ascii="Arial" w:cs="Arial" w:eastAsia="Arial" w:hAnsi="Arial"/>
          <w:b/>
          <w:bCs/>
          <w:color w:val="0D1B2A"/>
          <w:sz w:val="32"/>
          <w:szCs w:val="32"/>
        </w:rPr>
        <w:t xml:space="preserve">6. Retention Strategy Recommendations</w:t>
      </w:r>
    </w:p>
    <w:p>
      <w:pPr>
        <w:pStyle w:val="Heading2"/>
        <w:spacing w:before="280" w:after="120"/>
      </w:pPr>
      <w:r>
        <w:rPr>
          <w:rFonts w:ascii="Arial" w:cs="Arial" w:eastAsia="Arial" w:hAnsi="Arial"/>
          <w:b/>
          <w:bCs/>
          <w:color w:val="0891B2"/>
          <w:sz w:val="26"/>
          <w:szCs w:val="26"/>
        </w:rPr>
        <w:t xml:space="preserve">6.1 Priority Framework</w:t>
      </w:r>
    </w:p>
    <w:p>
      <w:pPr>
        <w:spacing w:before="60" w:after="80"/>
      </w:pPr>
      <w:r>
        <w:rPr>
          <w:rFonts w:ascii="Arial" w:cs="Arial" w:eastAsia="Arial" w:hAnsi="Arial"/>
          <w:color w:val="1E293B"/>
          <w:sz w:val="22"/>
          <w:szCs w:val="22"/>
        </w:rPr>
        <w:t xml:space="preserve">Strategies are ranked by impact, feasibility, and urgency: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Priority</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Initiative</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Target Segment</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Churn Reduction</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Est. MRR Saved</w:t>
            </w:r>
          </w:p>
        </w:tc>
        <w:tc>
          <w:tcPr>
            <w:tcW w:type="dxa" w:w="156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Timeline</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P0 — Critical</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Contract Upgrade Incentive</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Month-to-Month (1,655)</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35%</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$38K/mo</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Immediate</w:t>
            </w:r>
          </w:p>
        </w:tc>
      </w:tr>
      <w:tr>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P0 — Critical</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Auto-Pay Enrollment Drive</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E-Check users (1,071)</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25%</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$21K/mo</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Immediate</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P1 — High</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90-Day Onboarding Program</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New customers (0–6mo)</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20%</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$18K/mo</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Month 1-2</w:t>
            </w:r>
          </w:p>
        </w:tc>
      </w:tr>
      <w:tr>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P1 — High</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Security + Support Bundle</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No add-ons (1,800)</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18%</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$14K/mo</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Month 1-2</w:t>
            </w:r>
          </w:p>
        </w:tc>
      </w:tr>
      <w:tr>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P2 — Medium</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Senior Customer Program</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Senior citizens (476)</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15%</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$8K/mo</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Month 3-6</w:t>
            </w:r>
          </w:p>
        </w:tc>
      </w:tr>
      <w:tr>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P2 — Medium</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Fiber Satisfaction Fix</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Fiber users (1,297)</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12%</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$12K/mo</w:t>
            </w:r>
          </w:p>
        </w:tc>
        <w:tc>
          <w:tcPr>
            <w:tcW w:type="dxa" w:w="156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Month 3-6</w:t>
            </w:r>
          </w:p>
        </w:tc>
      </w:tr>
    </w:tbl>
    <w:p>
      <w:r>
        <w:t xml:space="preserve"/>
      </w:r>
    </w:p>
    <w:p>
      <w:pPr>
        <w:pStyle w:val="Heading2"/>
        <w:spacing w:before="280" w:after="120"/>
      </w:pPr>
      <w:r>
        <w:rPr>
          <w:rFonts w:ascii="Arial" w:cs="Arial" w:eastAsia="Arial" w:hAnsi="Arial"/>
          <w:b/>
          <w:bCs/>
          <w:color w:val="0891B2"/>
          <w:sz w:val="26"/>
          <w:szCs w:val="26"/>
        </w:rPr>
        <w:t xml:space="preserve">6.2 Initiative Details</w:t>
      </w:r>
    </w:p>
    <w:p>
      <w:pPr>
        <w:spacing w:before="200" w:after="80"/>
      </w:pPr>
      <w:r>
        <w:rPr>
          <w:rFonts w:ascii="Arial" w:cs="Arial" w:eastAsia="Arial" w:hAnsi="Arial"/>
          <w:b/>
          <w:bCs/>
          <w:color w:val="0D1B2A"/>
          <w:sz w:val="22"/>
          <w:szCs w:val="22"/>
        </w:rPr>
        <w:t xml:space="preserve">P0-A: Contract Upgrade Incentive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C2626" w:val="clear"/>
            <w:tcMar>
              <w:top w:type="dxa" w:w="80"/>
              <w:left w:type="dxa" w:w="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EFF6FF" w:val="clear"/>
            <w:tcMar>
              <w:top w:type="dxa" w:w="100"/>
              <w:left w:type="dxa" w:w="150"/>
              <w:bottom w:type="dxa" w:w="100"/>
              <w:right w:type="dxa" w:w="150"/>
            </w:tcMar>
          </w:tcPr>
          <w:p>
            <w:r>
              <w:rPr>
                <w:rFonts w:ascii="Arial" w:cs="Arial" w:eastAsia="Arial" w:hAnsi="Arial"/>
                <w:b/>
                <w:bCs/>
                <w:color w:val="DC2626"/>
                <w:sz w:val="22"/>
                <w:szCs w:val="22"/>
              </w:rPr>
              <w:t xml:space="preserve">Target</w:t>
            </w:r>
          </w:p>
          <w:p>
            <w:pPr>
              <w:spacing w:before="40"/>
            </w:pPr>
            <w:r>
              <w:rPr>
                <w:rFonts w:ascii="Arial" w:cs="Arial" w:eastAsia="Arial" w:hAnsi="Arial"/>
                <w:color w:val="1E293B"/>
                <w:sz w:val="20"/>
                <w:szCs w:val="20"/>
              </w:rPr>
              <w:t xml:space="preserve">1,655 month-to-month customers currently churning at 42.7%. Offer 15% annual plan discount for 30-day window. Trigger: Day 60 post-signup or on any cancellation intent signal. Channel: in-app banner + email + outbound call for high-value accounts. Expected outcome: 20% conversion rate → ~330 customers retained, +$38K MRR.</w:t>
            </w:r>
          </w:p>
        </w:tc>
      </w:tr>
    </w:tbl>
    <w:p>
      <w:r>
        <w:t xml:space="preserve"/>
      </w:r>
    </w:p>
    <w:p>
      <w:pPr>
        <w:spacing w:before="200" w:after="80"/>
      </w:pPr>
      <w:r>
        <w:rPr>
          <w:rFonts w:ascii="Arial" w:cs="Arial" w:eastAsia="Arial" w:hAnsi="Arial"/>
          <w:b/>
          <w:bCs/>
          <w:color w:val="0D1B2A"/>
          <w:sz w:val="22"/>
          <w:szCs w:val="22"/>
        </w:rPr>
        <w:t xml:space="preserve">P0-B: Auto-Pay Enrollment 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C2626" w:val="clear"/>
            <w:tcMar>
              <w:top w:type="dxa" w:w="80"/>
              <w:left w:type="dxa" w:w="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EFF6FF" w:val="clear"/>
            <w:tcMar>
              <w:top w:type="dxa" w:w="100"/>
              <w:left w:type="dxa" w:w="150"/>
              <w:bottom w:type="dxa" w:w="100"/>
              <w:right w:type="dxa" w:w="150"/>
            </w:tcMar>
          </w:tcPr>
          <w:p>
            <w:r>
              <w:rPr>
                <w:rFonts w:ascii="Arial" w:cs="Arial" w:eastAsia="Arial" w:hAnsi="Arial"/>
                <w:b/>
                <w:bCs/>
                <w:color w:val="DC2626"/>
                <w:sz w:val="22"/>
                <w:szCs w:val="22"/>
              </w:rPr>
              <w:t xml:space="preserve">Target</w:t>
            </w:r>
          </w:p>
          <w:p>
            <w:pPr>
              <w:spacing w:before="40"/>
            </w:pPr>
            <w:r>
              <w:rPr>
                <w:rFonts w:ascii="Arial" w:cs="Arial" w:eastAsia="Arial" w:hAnsi="Arial"/>
                <w:color w:val="1E293B"/>
                <w:sz w:val="20"/>
                <w:szCs w:val="20"/>
              </w:rPr>
              <w:t xml:space="preserve">2,365 electronic check users churning at 45.3%. Offer $5/month bill credit for switching to bank transfer or credit card auto-pay. Three-touch email sequence at Bill 1, Bill 2, and Month 3 if not enrolled. Expected outcome: 30% conversion → 268 customers retained, +$21K MRR net of credits.</w:t>
            </w:r>
          </w:p>
        </w:tc>
      </w:tr>
    </w:tbl>
    <w:p>
      <w:r>
        <w:t xml:space="preserve"/>
      </w:r>
    </w:p>
    <w:p>
      <w:pPr>
        <w:spacing w:before="200" w:after="80"/>
      </w:pPr>
      <w:r>
        <w:rPr>
          <w:rFonts w:ascii="Arial" w:cs="Arial" w:eastAsia="Arial" w:hAnsi="Arial"/>
          <w:b/>
          <w:bCs/>
          <w:color w:val="0D1B2A"/>
          <w:sz w:val="22"/>
          <w:szCs w:val="22"/>
        </w:rPr>
        <w:t xml:space="preserve">P1-A: 90-Day Onboarding Success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97706" w:val="clear"/>
            <w:tcMar>
              <w:top w:type="dxa" w:w="80"/>
              <w:left w:type="dxa" w:w="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EFF6FF" w:val="clear"/>
            <w:tcMar>
              <w:top w:type="dxa" w:w="100"/>
              <w:left w:type="dxa" w:w="150"/>
              <w:bottom w:type="dxa" w:w="100"/>
              <w:right w:type="dxa" w:w="150"/>
            </w:tcMar>
          </w:tcPr>
          <w:p>
            <w:r>
              <w:rPr>
                <w:rFonts w:ascii="Arial" w:cs="Arial" w:eastAsia="Arial" w:hAnsi="Arial"/>
                <w:b/>
                <w:bCs/>
                <w:color w:val="D97706"/>
                <w:sz w:val="22"/>
                <w:szCs w:val="22"/>
              </w:rPr>
              <w:t xml:space="preserve">Target</w:t>
            </w:r>
          </w:p>
          <w:p>
            <w:pPr>
              <w:spacing w:before="40"/>
            </w:pPr>
            <w:r>
              <w:rPr>
                <w:rFonts w:ascii="Arial" w:cs="Arial" w:eastAsia="Arial" w:hAnsi="Arial"/>
                <w:color w:val="1E293B"/>
                <w:sz w:val="20"/>
                <w:szCs w:val="20"/>
              </w:rPr>
              <w:t xml:space="preserve">All new customers in 0–6 month tenure band, where 53.3% currently churn. Structured touchpoints: Day 7 setup confirmation call, Day 30 NPS pulse survey, Day 90 review and upsell conversation. Customers who activate 3+ product features in 30 days have 40% lower churn. KPI: Activation rate (&gt;2 features used in Month 1).</w:t>
            </w:r>
          </w:p>
        </w:tc>
      </w:tr>
    </w:tbl>
    <w:p>
      <w:r>
        <w:t xml:space="preserve"/>
      </w:r>
    </w:p>
    <w:p>
      <w:pPr>
        <w:spacing w:before="200" w:after="80"/>
      </w:pPr>
      <w:r>
        <w:rPr>
          <w:rFonts w:ascii="Arial" w:cs="Arial" w:eastAsia="Arial" w:hAnsi="Arial"/>
          <w:b/>
          <w:bCs/>
          <w:color w:val="0D1B2A"/>
          <w:sz w:val="22"/>
          <w:szCs w:val="22"/>
        </w:rPr>
        <w:t xml:space="preserve">P1-B: Protect+ Bundle (Online Security + Tech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D97706" w:val="clear"/>
            <w:tcMar>
              <w:top w:type="dxa" w:w="80"/>
              <w:left w:type="dxa" w:w="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EFF6FF" w:val="clear"/>
            <w:tcMar>
              <w:top w:type="dxa" w:w="100"/>
              <w:left w:type="dxa" w:w="150"/>
              <w:bottom w:type="dxa" w:w="100"/>
              <w:right w:type="dxa" w:w="150"/>
            </w:tcMar>
          </w:tcPr>
          <w:p>
            <w:r>
              <w:rPr>
                <w:rFonts w:ascii="Arial" w:cs="Arial" w:eastAsia="Arial" w:hAnsi="Arial"/>
                <w:b/>
                <w:bCs/>
                <w:color w:val="D97706"/>
                <w:sz w:val="22"/>
                <w:szCs w:val="22"/>
              </w:rPr>
              <w:t xml:space="preserve">Target</w:t>
            </w:r>
          </w:p>
          <w:p>
            <w:pPr>
              <w:spacing w:before="40"/>
            </w:pPr>
            <w:r>
              <w:rPr>
                <w:rFonts w:ascii="Arial" w:cs="Arial" w:eastAsia="Arial" w:hAnsi="Arial"/>
                <w:color w:val="1E293B"/>
                <w:sz w:val="20"/>
                <w:szCs w:val="20"/>
              </w:rPr>
              <w:t xml:space="preserve">1,800 customers without Online Security or Tech Support, churning at ~41%. Create 'Protect+' bundle at $8/month (bundled discount from $15 standalone). 30-day free trial at signup. 68% trial-to-paid conversion expected based on industry benchmarks. Impact: +$14K MRR saved from churn reduction + $14.4K new add-on revenue.</w:t>
            </w:r>
          </w:p>
        </w:tc>
      </w:tr>
    </w:tbl>
    <w:p>
      <w:r>
        <w:br w:type="page"/>
      </w:r>
    </w:p>
    <w:p>
      <w:pPr>
        <w:pStyle w:val="Heading1"/>
        <w:pBdr>
          <w:bottom w:val="single" w:color="0891B2" w:sz="4" w:space="4"/>
        </w:pBdr>
        <w:spacing w:before="360" w:after="160"/>
      </w:pPr>
      <w:r>
        <w:rPr>
          <w:rFonts w:ascii="Arial" w:cs="Arial" w:eastAsia="Arial" w:hAnsi="Arial"/>
          <w:b/>
          <w:bCs/>
          <w:color w:val="0D1B2A"/>
          <w:sz w:val="32"/>
          <w:szCs w:val="32"/>
        </w:rPr>
        <w:t xml:space="preserve">7. Financial Impact &amp; ROI</w:t>
      </w:r>
    </w:p>
    <w:p>
      <w:pPr>
        <w:pStyle w:val="Heading2"/>
        <w:spacing w:before="280" w:after="120"/>
      </w:pPr>
      <w:r>
        <w:rPr>
          <w:rFonts w:ascii="Arial" w:cs="Arial" w:eastAsia="Arial" w:hAnsi="Arial"/>
          <w:b/>
          <w:bCs/>
          <w:color w:val="0891B2"/>
          <w:sz w:val="26"/>
          <w:szCs w:val="26"/>
        </w:rPr>
        <w:t xml:space="preserve">7.1 12-Month Revenue Protection Forecast</w:t>
      </w:r>
    </w:p>
    <w:p>
      <w:pPr>
        <w:spacing w:before="60" w:after="80"/>
      </w:pPr>
      <w:r>
        <w:rPr>
          <w:rFonts w:ascii="Arial" w:cs="Arial" w:eastAsia="Arial" w:hAnsi="Arial"/>
          <w:color w:val="1E293B"/>
          <w:sz w:val="22"/>
          <w:szCs w:val="22"/>
        </w:rPr>
        <w:t xml:space="preserve">If all P0 and P1 strategies are implemented by Month 2 and P2 strategies by Month 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Baseline (No Action)</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With Strategy</w:t>
            </w:r>
          </w:p>
        </w:tc>
        <w:tc>
          <w:tcPr>
            <w:tcW w:type="dxa" w:w="2340"/>
            <w:tcBorders>
              <w:top w:val="single" w:color="D1D5DB" w:sz="1"/>
              <w:left w:val="single" w:color="D1D5DB" w:sz="1"/>
              <w:bottom w:val="single" w:color="D1D5DB" w:sz="1"/>
              <w:right w:val="single" w:color="D1D5DB" w:sz="1"/>
            </w:tcBorders>
            <w:shd w:fill="0D1B2A"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Improvement</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Monthly Churn Count</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~156 customers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~96 customers</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-38.5%</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Monthly MRR Lost</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$139K</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$86K</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-$53K/mo</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12-Month MRR Saved</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+$636K</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Net of program costs</w:t>
            </w:r>
          </w:p>
        </w:tc>
      </w:tr>
      <w:tr>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left"/>
            </w:pPr>
            <w:r>
              <w:rPr>
                <w:rFonts w:ascii="Arial" w:cs="Arial" w:eastAsia="Arial" w:hAnsi="Arial"/>
                <w:color w:val="1E293B"/>
                <w:sz w:val="20"/>
                <w:szCs w:val="20"/>
              </w:rPr>
              <w:t xml:space="preserve">Program Cost (est.)</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~$85K total</w:t>
            </w:r>
          </w:p>
        </w:tc>
        <w:tc>
          <w:tcPr>
            <w:tcW w:type="dxa" w:w="2340"/>
            <w:tcBorders>
              <w:top w:val="single" w:color="D1D5DB" w:sz="1"/>
              <w:left w:val="single" w:color="D1D5DB" w:sz="1"/>
              <w:bottom w:val="single" w:color="D1D5DB" w:sz="1"/>
              <w:right w:val="single" w:color="D1D5DB" w:sz="1"/>
            </w:tcBorders>
            <w:shd w:fill="F1F5F9" w:val="clear"/>
            <w:tcMar>
              <w:top w:type="dxa" w:w="100"/>
              <w:left w:type="dxa" w:w="150"/>
              <w:bottom w:type="dxa" w:w="100"/>
              <w:right w:type="dxa" w:w="150"/>
            </w:tcMar>
          </w:tcPr>
          <w:p>
            <w:pPr>
              <w:jc w:val="center"/>
            </w:pPr>
            <w:r>
              <w:rPr>
                <w:rFonts w:ascii="Arial" w:cs="Arial" w:eastAsia="Arial" w:hAnsi="Arial"/>
                <w:color w:val="1E293B"/>
                <w:sz w:val="20"/>
                <w:szCs w:val="20"/>
              </w:rPr>
              <w:t xml:space="preserve">Credits + staff</w:t>
            </w:r>
          </w:p>
        </w:tc>
      </w:tr>
      <w:tr>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left"/>
            </w:pPr>
            <w:r>
              <w:rPr>
                <w:rFonts w:ascii="Arial" w:cs="Arial" w:eastAsia="Arial" w:hAnsi="Arial"/>
                <w:color w:val="1E293B"/>
                <w:sz w:val="20"/>
                <w:szCs w:val="20"/>
              </w:rPr>
              <w:t xml:space="preserve">Net ROI (Year 1)</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$551K</w:t>
            </w:r>
          </w:p>
        </w:tc>
        <w:tc>
          <w:tcPr>
            <w:tcW w:type="dxa" w:w="234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jc w:val="center"/>
            </w:pPr>
            <w:r>
              <w:rPr>
                <w:rFonts w:ascii="Arial" w:cs="Arial" w:eastAsia="Arial" w:hAnsi="Arial"/>
                <w:color w:val="1E293B"/>
                <w:sz w:val="20"/>
                <w:szCs w:val="20"/>
              </w:rPr>
              <w:t xml:space="preserve">6.5× return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59669" w:val="clear"/>
            <w:tcMar>
              <w:top w:type="dxa" w:w="80"/>
              <w:left w:type="dxa" w:w="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EFF6FF" w:val="clear"/>
            <w:tcMar>
              <w:top w:type="dxa" w:w="100"/>
              <w:left w:type="dxa" w:w="150"/>
              <w:bottom w:type="dxa" w:w="100"/>
              <w:right w:type="dxa" w:w="150"/>
            </w:tcMar>
          </w:tcPr>
          <w:p>
            <w:r>
              <w:rPr>
                <w:rFonts w:ascii="Arial" w:cs="Arial" w:eastAsia="Arial" w:hAnsi="Arial"/>
                <w:b/>
                <w:bCs/>
                <w:color w:val="059669"/>
                <w:sz w:val="22"/>
                <w:szCs w:val="22"/>
              </w:rPr>
              <w:t xml:space="preserve">Investment Case</w:t>
            </w:r>
          </w:p>
          <w:p>
            <w:pPr>
              <w:spacing w:before="40"/>
            </w:pPr>
            <w:r>
              <w:rPr>
                <w:rFonts w:ascii="Arial" w:cs="Arial" w:eastAsia="Arial" w:hAnsi="Arial"/>
                <w:color w:val="1E293B"/>
                <w:sz w:val="20"/>
                <w:szCs w:val="20"/>
              </w:rPr>
              <w:t xml:space="preserve">The total estimated cost of all retention initiatives (credits, onboarding staff, tools) is approximately $85K in Year 1. Against projected MRR savings of $636K, this yields a 6.5× ROI. The break-even point is Month 2 based on P0 initiatives alone.</w:t>
            </w:r>
          </w:p>
        </w:tc>
      </w:tr>
    </w:tbl>
    <w:p>
      <w:r>
        <w:t xml:space="preserve"/>
      </w:r>
    </w:p>
    <w:p>
      <w:pPr>
        <w:pStyle w:val="Heading2"/>
        <w:spacing w:before="280" w:after="120"/>
      </w:pPr>
      <w:r>
        <w:rPr>
          <w:rFonts w:ascii="Arial" w:cs="Arial" w:eastAsia="Arial" w:hAnsi="Arial"/>
          <w:b/>
          <w:bCs/>
          <w:color w:val="0891B2"/>
          <w:sz w:val="26"/>
          <w:szCs w:val="26"/>
        </w:rPr>
        <w:t xml:space="preserve">7.2 Success Metrics &amp; KPIs</w:t>
      </w:r>
    </w:p>
    <w:p>
      <w:pPr>
        <w:spacing w:before="60" w:after="80"/>
      </w:pPr>
      <w:r>
        <w:rPr>
          <w:rFonts w:ascii="Arial" w:cs="Arial" w:eastAsia="Arial" w:hAnsi="Arial"/>
          <w:color w:val="1E293B"/>
          <w:sz w:val="22"/>
          <w:szCs w:val="22"/>
        </w:rPr>
        <w:t xml:space="preserve">Track these metrics monthly to measure program effectiveness:</w:t>
      </w:r>
    </w:p>
    <w:p>
      <w:pPr>
        <w:pStyle w:val="ListParagraph"/>
        <w:numPr>
          <w:ilvl w:val="0"/>
          <w:numId w:val="2"/>
        </w:numPr>
        <w:spacing w:before="40" w:after="40"/>
      </w:pPr>
      <w:r>
        <w:rPr>
          <w:rFonts w:ascii="Arial" w:cs="Arial" w:eastAsia="Arial" w:hAnsi="Arial"/>
          <w:color w:val="1E293B"/>
          <w:sz w:val="22"/>
          <w:szCs w:val="22"/>
        </w:rPr>
        <w:t xml:space="preserve">Overall monthly churn rate (target: reduce from 26.5% → below 18% within 12 months)</w:t>
      </w:r>
    </w:p>
    <w:p>
      <w:pPr>
        <w:pStyle w:val="ListParagraph"/>
        <w:numPr>
          <w:ilvl w:val="0"/>
          <w:numId w:val="2"/>
        </w:numPr>
        <w:spacing w:before="40" w:after="40"/>
      </w:pPr>
      <w:r>
        <w:rPr>
          <w:rFonts w:ascii="Arial" w:cs="Arial" w:eastAsia="Arial" w:hAnsi="Arial"/>
          <w:color w:val="1E293B"/>
          <w:sz w:val="22"/>
          <w:szCs w:val="22"/>
        </w:rPr>
        <w:t xml:space="preserve">Contract mix: % of base on annual/2-year contracts (target: from 45% → 60%)</w:t>
      </w:r>
    </w:p>
    <w:p>
      <w:pPr>
        <w:pStyle w:val="ListParagraph"/>
        <w:numPr>
          <w:ilvl w:val="0"/>
          <w:numId w:val="2"/>
        </w:numPr>
        <w:spacing w:before="40" w:after="40"/>
      </w:pPr>
      <w:r>
        <w:rPr>
          <w:rFonts w:ascii="Arial" w:cs="Arial" w:eastAsia="Arial" w:hAnsi="Arial"/>
          <w:color w:val="1E293B"/>
          <w:sz w:val="22"/>
          <w:szCs w:val="22"/>
        </w:rPr>
        <w:t xml:space="preserve">Auto-pay adoption rate (target: from 44% → 65% within 6 months)</w:t>
      </w:r>
    </w:p>
    <w:p>
      <w:pPr>
        <w:pStyle w:val="ListParagraph"/>
        <w:numPr>
          <w:ilvl w:val="0"/>
          <w:numId w:val="2"/>
        </w:numPr>
        <w:spacing w:before="40" w:after="40"/>
      </w:pPr>
      <w:r>
        <w:rPr>
          <w:rFonts w:ascii="Arial" w:cs="Arial" w:eastAsia="Arial" w:hAnsi="Arial"/>
          <w:color w:val="1E293B"/>
          <w:sz w:val="22"/>
          <w:szCs w:val="22"/>
        </w:rPr>
        <w:t xml:space="preserve">30-day activation rate for new customers (target: &gt;60% activate 3+ features)</w:t>
      </w:r>
    </w:p>
    <w:p>
      <w:pPr>
        <w:pStyle w:val="ListParagraph"/>
        <w:numPr>
          <w:ilvl w:val="0"/>
          <w:numId w:val="2"/>
        </w:numPr>
        <w:spacing w:before="40" w:after="40"/>
      </w:pPr>
      <w:r>
        <w:rPr>
          <w:rFonts w:ascii="Arial" w:cs="Arial" w:eastAsia="Arial" w:hAnsi="Arial"/>
          <w:color w:val="1E293B"/>
          <w:sz w:val="22"/>
          <w:szCs w:val="22"/>
        </w:rPr>
        <w:t xml:space="preserve">NPS score — especially for Fiber Optic and Senior segments (target: +15 points)</w:t>
      </w:r>
    </w:p>
    <w:p>
      <w:pPr>
        <w:pStyle w:val="ListParagraph"/>
        <w:numPr>
          <w:ilvl w:val="0"/>
          <w:numId w:val="2"/>
        </w:numPr>
        <w:spacing w:before="40" w:after="40"/>
      </w:pPr>
      <w:r>
        <w:rPr>
          <w:rFonts w:ascii="Arial" w:cs="Arial" w:eastAsia="Arial" w:hAnsi="Arial"/>
          <w:color w:val="1E293B"/>
          <w:sz w:val="22"/>
          <w:szCs w:val="22"/>
        </w:rPr>
        <w:t xml:space="preserve">Segment-level churn rates tracked quarterly against baseline</w:t>
      </w:r>
    </w:p>
    <w:p>
      <w:r>
        <w:br w:type="page"/>
      </w:r>
    </w:p>
    <w:p>
      <w:pPr>
        <w:pStyle w:val="Heading1"/>
        <w:pBdr>
          <w:bottom w:val="single" w:color="0891B2" w:sz="4" w:space="4"/>
        </w:pBdr>
        <w:spacing w:before="360" w:after="160"/>
      </w:pPr>
      <w:r>
        <w:rPr>
          <w:rFonts w:ascii="Arial" w:cs="Arial" w:eastAsia="Arial" w:hAnsi="Arial"/>
          <w:b/>
          <w:bCs/>
          <w:color w:val="0D1B2A"/>
          <w:sz w:val="32"/>
          <w:szCs w:val="32"/>
        </w:rPr>
        <w:t xml:space="preserve">8. Conclusion</w:t>
      </w:r>
    </w:p>
    <w:p>
      <w:pPr>
        <w:spacing w:before="60" w:after="80"/>
      </w:pPr>
      <w:r>
        <w:rPr>
          <w:rFonts w:ascii="Arial" w:cs="Arial" w:eastAsia="Arial" w:hAnsi="Arial"/>
          <w:color w:val="1E293B"/>
          <w:sz w:val="22"/>
          <w:szCs w:val="22"/>
        </w:rPr>
        <w:t xml:space="preserve">Customer churn at 26.5% represents a significant and addressable revenue challenge. The analysis reveals that churn is not random — it is concentrated in specific, identifiable segments and strongly predicted by a small number of behavioral and contractual signals.</w:t>
      </w:r>
    </w:p>
    <w:p>
      <w:r>
        <w:t xml:space="preserve"/>
      </w:r>
    </w:p>
    <w:p>
      <w:pPr>
        <w:spacing w:before="60" w:after="80"/>
      </w:pPr>
      <w:r>
        <w:rPr>
          <w:rFonts w:ascii="Arial" w:cs="Arial" w:eastAsia="Arial" w:hAnsi="Arial"/>
          <w:b/>
          <w:bCs/>
          <w:color w:val="1E293B"/>
          <w:sz w:val="22"/>
          <w:szCs w:val="22"/>
        </w:rPr>
        <w:t xml:space="preserve">The three most powerful interventions are:</w:t>
      </w:r>
    </w:p>
    <w:p>
      <w:pPr>
        <w:pStyle w:val="ListParagraph"/>
        <w:numPr>
          <w:ilvl w:val="0"/>
          <w:numId w:val="2"/>
        </w:numPr>
        <w:spacing w:before="40" w:after="40"/>
      </w:pPr>
      <w:r>
        <w:rPr>
          <w:rFonts w:ascii="Arial" w:cs="Arial" w:eastAsia="Arial" w:hAnsi="Arial"/>
          <w:color w:val="1E293B"/>
          <w:sz w:val="22"/>
          <w:szCs w:val="22"/>
        </w:rPr>
        <w:t xml:space="preserve">Converting month-to-month customers to annual contracts (highest single-action ROI)</w:t>
      </w:r>
    </w:p>
    <w:p>
      <w:pPr>
        <w:pStyle w:val="ListParagraph"/>
        <w:numPr>
          <w:ilvl w:val="0"/>
          <w:numId w:val="2"/>
        </w:numPr>
        <w:spacing w:before="40" w:after="40"/>
      </w:pPr>
      <w:r>
        <w:rPr>
          <w:rFonts w:ascii="Arial" w:cs="Arial" w:eastAsia="Arial" w:hAnsi="Arial"/>
          <w:color w:val="1E293B"/>
          <w:sz w:val="22"/>
          <w:szCs w:val="22"/>
        </w:rPr>
        <w:t xml:space="preserve">Enrolling electronic check payers into auto-pay (removes friction + improves LTV)</w:t>
      </w:r>
    </w:p>
    <w:p>
      <w:pPr>
        <w:pStyle w:val="ListParagraph"/>
        <w:numPr>
          <w:ilvl w:val="0"/>
          <w:numId w:val="2"/>
        </w:numPr>
        <w:spacing w:before="40" w:after="40"/>
      </w:pPr>
      <w:r>
        <w:rPr>
          <w:rFonts w:ascii="Arial" w:cs="Arial" w:eastAsia="Arial" w:hAnsi="Arial"/>
          <w:color w:val="1E293B"/>
          <w:sz w:val="22"/>
          <w:szCs w:val="22"/>
        </w:rPr>
        <w:t xml:space="preserve">Deploying a structured 90-day onboarding program to survive the critical early-tenure window</w:t>
      </w:r>
    </w:p>
    <w:p>
      <w:r>
        <w:t xml:space="preserve"/>
      </w:r>
    </w:p>
    <w:p>
      <w:pPr>
        <w:spacing w:before="60" w:after="80"/>
      </w:pPr>
      <w:r>
        <w:rPr>
          <w:rFonts w:ascii="Arial" w:cs="Arial" w:eastAsia="Arial" w:hAnsi="Arial"/>
          <w:color w:val="1E293B"/>
          <w:sz w:val="22"/>
          <w:szCs w:val="22"/>
        </w:rPr>
        <w:t xml:space="preserve">With a Gradient Boosting model achieving AUC of 0.841, the business now has the capability to score every customer for churn risk weekly, enabling proactive outreach before the decision to leave is made.</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0891B2" w:val="clear"/>
            <w:tcMar>
              <w:top w:type="dxa" w:w="80"/>
              <w:left w:type="dxa" w:w="0"/>
              <w:bottom w:type="dxa" w:w="80"/>
              <w:right w:type="dxa" w:w="0"/>
            </w:tcMar>
          </w:tcPr>
          <w:p>
            <w:r>
              <w:t xml:space="preserve"/>
            </w:r>
          </w:p>
        </w:tc>
        <w:tc>
          <w:tcPr>
            <w:tcW w:type="dxa" w:w="9000"/>
            <w:tcBorders>
              <w:top w:val="none" w:color="FFFFFF" w:sz="0"/>
              <w:left w:val="none" w:color="FFFFFF" w:sz="0"/>
              <w:bottom w:val="none" w:color="FFFFFF" w:sz="0"/>
              <w:right w:val="none" w:color="FFFFFF" w:sz="0"/>
            </w:tcBorders>
            <w:shd w:fill="EFF6FF" w:val="clear"/>
            <w:tcMar>
              <w:top w:type="dxa" w:w="100"/>
              <w:left w:type="dxa" w:w="150"/>
              <w:bottom w:type="dxa" w:w="100"/>
              <w:right w:type="dxa" w:w="150"/>
            </w:tcMar>
          </w:tcPr>
          <w:p>
            <w:r>
              <w:rPr>
                <w:rFonts w:ascii="Arial" w:cs="Arial" w:eastAsia="Arial" w:hAnsi="Arial"/>
                <w:b/>
                <w:bCs/>
                <w:color w:val="0891B2"/>
                <w:sz w:val="22"/>
                <w:szCs w:val="22"/>
              </w:rPr>
              <w:t xml:space="preserve">Final Recommendation</w:t>
            </w:r>
          </w:p>
          <w:p>
            <w:pPr>
              <w:spacing w:before="40"/>
            </w:pPr>
            <w:r>
              <w:rPr>
                <w:rFonts w:ascii="Arial" w:cs="Arial" w:eastAsia="Arial" w:hAnsi="Arial"/>
                <w:color w:val="1E293B"/>
                <w:sz w:val="20"/>
                <w:szCs w:val="20"/>
              </w:rPr>
              <w:t xml:space="preserve">Deploy the GBM churn model in production as a weekly batch scoring job. Integrate scores into the CRM to trigger automated retention workflows for high-risk customers. Begin P0 initiatives immediately — projected payback is under 60 days.</w:t>
            </w:r>
          </w:p>
        </w:tc>
      </w:tr>
    </w:tbl>
    <w:p>
      <w:r>
        <w:t xml:space="preserve"/>
      </w:r>
    </w:p>
    <w:p>
      <w:r>
        <w:t xml:space="preserve"/>
      </w:r>
    </w:p>
    <w:p>
      <w:pPr>
        <w:spacing w:before="400"/>
        <w:jc w:val="center"/>
      </w:pPr>
      <w:r>
        <w:rPr>
          <w:rFonts w:ascii="Arial" w:cs="Arial" w:eastAsia="Arial" w:hAnsi="Arial"/>
          <w:color w:val="64748B"/>
          <w:sz w:val="20"/>
          <w:szCs w:val="20"/>
        </w:rPr>
        <w:t xml:space="preserve">— End of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91B2" w:sz="4" w:space="4"/>
      </w:pBdr>
    </w:pPr>
    <w:r>
      <w:rPr>
        <w:rFonts w:ascii="Arial" w:cs="Arial" w:eastAsia="Arial" w:hAnsi="Arial"/>
        <w:color w:val="64748B"/>
        <w:sz w:val="18"/>
        <w:szCs w:val="18"/>
      </w:rPr>
      <w:t xml:space="preserve">Analytics &amp; Strategy Team  ·  March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pPr>
    <w:r>
      <w:rPr>
        <w:rFonts w:ascii="Arial" w:cs="Arial" w:eastAsia="Arial" w:hAnsi="Arial"/>
        <w:color w:val="64748B"/>
        <w:sz w:val="18"/>
        <w:szCs w:val="18"/>
      </w:rPr>
      <w:t xml:space="preserve">Telco Customer Churn — Retention Strategy Report</w:t>
    </w:r>
    <w:r>
      <w:rPr>
        <w:rFonts w:ascii="Arial" w:cs="Arial" w:eastAsia="Arial" w:hAnsi="Arial"/>
        <w:color w:val="BBBBB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B2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891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2026-03-04T16:25:46.021Z</dcterms:created>
  <dcterms:modified xsi:type="dcterms:W3CDTF">2026-03-04T16:25:46.022Z</dcterms:modified>
</cp:coreProperties>
</file>

<file path=docProps/custom.xml><?xml version="1.0" encoding="utf-8"?>
<Properties xmlns="http://schemas.openxmlformats.org/officeDocument/2006/custom-properties" xmlns:vt="http://schemas.openxmlformats.org/officeDocument/2006/docPropsVTypes"/>
</file>