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eastAsia="宋体" w:ascii="Times New Roman" w:hAnsi="Times New Roman"/>
        </w:rPr>
        <w:t>内分泌专科入院评估</w:t>
      </w:r>
    </w:p>
    <w:p>
      <w:pPr>
        <w:spacing w:after="40"/>
        <w:jc w:val="center"/>
      </w:pPr>
      <w:r>
        <w:rPr>
          <w:b/>
          <w:i w:val="0"/>
          <w:sz w:val="22"/>
          <w:rFonts w:eastAsia="宋体" w:ascii="Times New Roman" w:hAnsi="Times New Roman"/>
        </w:rPr>
        <w:t>育龄女性 · 严重高血糖、多年多饮多尿、尿酮阳性、体重下降、晶状体脱位及马凡样体征</w:t>
      </w:r>
    </w:p>
    <w:p>
      <w:pPr>
        <w:spacing w:after="200"/>
        <w:jc w:val="center"/>
      </w:pPr>
      <w:r>
        <w:rPr>
          <w:b w:val="0"/>
          <w:i/>
          <w:sz w:val="19"/>
          <w:rFonts w:eastAsia="宋体" w:ascii="Times New Roman" w:hAnsi="Times New Roman"/>
        </w:rPr>
        <w:t>文件性质：入院评估与检查计划（proposal）。本文件为分阶段检查方案与诊断层级判断，不是诊疗执行记录，不含任何本次入院尚未回报的结果。</w:t>
      </w:r>
    </w:p>
    <w:p>
      <w:pPr>
        <w:pStyle w:val="Heading1"/>
        <w:spacing w:before="200" w:after="100"/>
      </w:pPr>
      <w:r>
        <w:rPr>
          <w:rFonts w:eastAsia="宋体" w:ascii="Times New Roman" w:hAnsi="Times New Roman"/>
        </w:rPr>
        <w:t>阅读须知与事实基线（结论边界）</w:t>
      </w:r>
    </w:p>
    <w:p>
      <w:pPr>
        <w:spacing w:after="60"/>
      </w:pPr>
      <w:r>
        <w:rPr>
          <w:b/>
          <w:i w:val="0"/>
          <w:sz w:val="21"/>
          <w:rFonts w:eastAsia="宋体" w:ascii="Times New Roman" w:hAnsi="Times New Roman"/>
        </w:rPr>
        <w:t>一、本评估可用的事实来源与效力</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928"/>
            <w:shd w:val="clear" w:color="auto" w:fill="DCE6F1"/>
          </w:tcPr>
          <w:p>
            <w:pPr>
              <w:spacing w:after="20"/>
            </w:pPr>
            <w:r/>
            <w:r>
              <w:rPr>
                <w:b/>
                <w:sz w:val="17"/>
                <w:rFonts w:eastAsia="宋体" w:ascii="Times New Roman" w:hAnsi="Times New Roman"/>
              </w:rPr>
              <w:t>材料</w:t>
            </w:r>
          </w:p>
        </w:tc>
        <w:tc>
          <w:tcPr>
            <w:tcW w:type="dxa" w:w="1474"/>
            <w:shd w:val="clear" w:color="auto" w:fill="DCE6F1"/>
          </w:tcPr>
          <w:p>
            <w:pPr>
              <w:spacing w:after="20"/>
            </w:pPr>
            <w:r/>
            <w:r>
              <w:rPr>
                <w:b/>
                <w:sz w:val="17"/>
                <w:rFonts w:eastAsia="宋体" w:ascii="Times New Roman" w:hAnsi="Times New Roman"/>
              </w:rPr>
              <w:t>时点</w:t>
            </w:r>
          </w:p>
        </w:tc>
        <w:tc>
          <w:tcPr>
            <w:tcW w:type="dxa" w:w="2948"/>
            <w:shd w:val="clear" w:color="auto" w:fill="DCE6F1"/>
          </w:tcPr>
          <w:p>
            <w:pPr>
              <w:spacing w:after="20"/>
            </w:pPr>
            <w:r/>
            <w:r>
              <w:rPr>
                <w:b/>
                <w:sz w:val="17"/>
                <w:rFonts w:eastAsia="宋体" w:ascii="Times New Roman" w:hAnsi="Times New Roman"/>
              </w:rPr>
              <w:t>性质与效力</w:t>
            </w:r>
          </w:p>
        </w:tc>
        <w:tc>
          <w:tcPr>
            <w:tcW w:type="dxa" w:w="3061"/>
            <w:shd w:val="clear" w:color="auto" w:fill="DCE6F1"/>
          </w:tcPr>
          <w:p>
            <w:pPr>
              <w:spacing w:after="20"/>
            </w:pPr>
            <w:r/>
            <w:r>
              <w:rPr>
                <w:b/>
                <w:sz w:val="17"/>
                <w:rFonts w:eastAsia="宋体" w:ascii="Times New Roman" w:hAnsi="Times New Roman"/>
              </w:rPr>
              <w:t>在本评估中的用途</w:t>
            </w:r>
          </w:p>
        </w:tc>
      </w:tr>
      <w:tr>
        <w:tc>
          <w:tcPr>
            <w:tcW w:type="dxa" w:w="1928"/>
          </w:tcPr>
          <w:p>
            <w:pPr>
              <w:spacing w:after="20"/>
            </w:pPr>
            <w:r/>
            <w:r>
              <w:rPr>
                <w:sz w:val="17"/>
                <w:rFonts w:eastAsia="宋体" w:ascii="Times New Roman" w:hAnsi="Times New Roman"/>
              </w:rPr>
              <w:t>01 入院病史与查体</w:t>
            </w:r>
          </w:p>
        </w:tc>
        <w:tc>
          <w:tcPr>
            <w:tcW w:type="dxa" w:w="1474"/>
          </w:tcPr>
          <w:p>
            <w:pPr>
              <w:spacing w:after="20"/>
            </w:pPr>
            <w:r/>
            <w:r>
              <w:rPr>
                <w:sz w:val="17"/>
                <w:rFonts w:eastAsia="宋体" w:ascii="Times New Roman" w:hAnsi="Times New Roman"/>
              </w:rPr>
              <w:t>本次入院及既往病史</w:t>
            </w:r>
          </w:p>
        </w:tc>
        <w:tc>
          <w:tcPr>
            <w:tcW w:type="dxa" w:w="2948"/>
          </w:tcPr>
          <w:p>
            <w:pPr>
              <w:spacing w:after="20"/>
            </w:pPr>
            <w:r/>
            <w:r>
              <w:rPr>
                <w:sz w:val="17"/>
                <w:rFonts w:eastAsia="宋体" w:ascii="Times New Roman" w:hAnsi="Times New Roman"/>
              </w:rPr>
              <w:t>临床汇总；明确声明不含本次入院当前血气、血酮、电解质、血渗透压或定量尿量</w:t>
            </w:r>
          </w:p>
        </w:tc>
        <w:tc>
          <w:tcPr>
            <w:tcW w:type="dxa" w:w="3061"/>
          </w:tcPr>
          <w:p>
            <w:pPr>
              <w:spacing w:after="20"/>
            </w:pPr>
            <w:r/>
            <w:r>
              <w:rPr>
                <w:sz w:val="17"/>
                <w:rFonts w:eastAsia="宋体" w:ascii="Times New Roman" w:hAnsi="Times New Roman"/>
              </w:rPr>
              <w:t>本次入院症状、体征、既往史、用药、生长发育与马凡样体征的唯一来源</w:t>
            </w:r>
          </w:p>
        </w:tc>
      </w:tr>
      <w:tr>
        <w:tc>
          <w:tcPr>
            <w:tcW w:type="dxa" w:w="1928"/>
          </w:tcPr>
          <w:p>
            <w:pPr>
              <w:spacing w:after="20"/>
            </w:pPr>
            <w:r/>
            <w:r>
              <w:rPr>
                <w:sz w:val="17"/>
                <w:rFonts w:eastAsia="宋体" w:ascii="Times New Roman" w:hAnsi="Times New Roman"/>
              </w:rPr>
              <w:t>02 外院检验转录与门诊交接（xlsx）</w:t>
            </w:r>
          </w:p>
        </w:tc>
        <w:tc>
          <w:tcPr>
            <w:tcW w:type="dxa" w:w="1474"/>
          </w:tcPr>
          <w:p>
            <w:pPr>
              <w:spacing w:after="20"/>
            </w:pPr>
            <w:r/>
            <w:r>
              <w:rPr>
                <w:sz w:val="17"/>
                <w:rFonts w:eastAsia="宋体" w:ascii="Times New Roman" w:hAnsi="Times New Roman"/>
              </w:rPr>
              <w:t>一年前、一月余前、三日前及用药后</w:t>
            </w:r>
          </w:p>
        </w:tc>
        <w:tc>
          <w:tcPr>
            <w:tcW w:type="dxa" w:w="2948"/>
          </w:tcPr>
          <w:p>
            <w:pPr>
              <w:spacing w:after="20"/>
            </w:pPr>
            <w:r/>
            <w:r>
              <w:rPr>
                <w:sz w:val="17"/>
                <w:rFonts w:eastAsia="宋体" w:ascii="Times New Roman" w:hAnsi="Times New Roman"/>
              </w:rPr>
              <w:t>外院资料人工转录；未附原始检验条码、采样时间明细；不含本次入院样本信息</w:t>
            </w:r>
          </w:p>
        </w:tc>
        <w:tc>
          <w:tcPr>
            <w:tcW w:type="dxa" w:w="3061"/>
          </w:tcPr>
          <w:p>
            <w:pPr>
              <w:spacing w:after="20"/>
            </w:pPr>
            <w:r/>
            <w:r>
              <w:rPr>
                <w:sz w:val="17"/>
                <w:rFonts w:eastAsia="宋体" w:ascii="Times New Roman" w:hAnsi="Times New Roman"/>
              </w:rPr>
              <w:t>仅用于说明病程演变、既往血糖轨迹与门诊用药，不用于当前危象判定</w:t>
            </w:r>
          </w:p>
        </w:tc>
      </w:tr>
      <w:tr>
        <w:tc>
          <w:tcPr>
            <w:tcW w:type="dxa" w:w="1928"/>
          </w:tcPr>
          <w:p>
            <w:pPr>
              <w:spacing w:after="20"/>
            </w:pPr>
            <w:r/>
            <w:r>
              <w:rPr>
                <w:sz w:val="17"/>
                <w:rFonts w:eastAsia="宋体" w:ascii="Times New Roman" w:hAnsi="Times New Roman"/>
              </w:rPr>
              <w:t>03 床旁交班摘要</w:t>
            </w:r>
          </w:p>
        </w:tc>
        <w:tc>
          <w:tcPr>
            <w:tcW w:type="dxa" w:w="1474"/>
          </w:tcPr>
          <w:p>
            <w:pPr>
              <w:spacing w:after="20"/>
            </w:pPr>
            <w:r/>
            <w:r>
              <w:rPr>
                <w:sz w:val="17"/>
                <w:rFonts w:eastAsia="宋体" w:ascii="Times New Roman" w:hAnsi="Times New Roman"/>
              </w:rPr>
              <w:t>本次入院当日 07:40</w:t>
            </w:r>
          </w:p>
        </w:tc>
        <w:tc>
          <w:tcPr>
            <w:tcW w:type="dxa" w:w="2948"/>
          </w:tcPr>
          <w:p>
            <w:pPr>
              <w:spacing w:after="20"/>
            </w:pPr>
            <w:r/>
            <w:r>
              <w:rPr>
                <w:sz w:val="17"/>
                <w:rFonts w:eastAsia="宋体" w:ascii="Times New Roman" w:hAnsi="Times New Roman"/>
              </w:rPr>
              <w:t>未审核、无主治医师签名；形成于检验未回报时</w:t>
            </w:r>
          </w:p>
        </w:tc>
        <w:tc>
          <w:tcPr>
            <w:tcW w:type="dxa" w:w="3061"/>
          </w:tcPr>
          <w:p>
            <w:pPr>
              <w:spacing w:after="20"/>
            </w:pPr>
            <w:r/>
            <w:r>
              <w:rPr>
                <w:sz w:val="17"/>
                <w:rFonts w:eastAsia="宋体" w:ascii="Times New Roman" w:hAnsi="Times New Roman"/>
              </w:rPr>
              <w:t>作为待核对的“工作提醒”；与后续回报结果冲突时以新结果为准</w:t>
            </w:r>
          </w:p>
        </w:tc>
      </w:tr>
      <w:tr>
        <w:tc>
          <w:tcPr>
            <w:tcW w:type="dxa" w:w="1928"/>
          </w:tcPr>
          <w:p>
            <w:pPr>
              <w:spacing w:after="20"/>
            </w:pPr>
            <w:r/>
            <w:r>
              <w:rPr>
                <w:sz w:val="17"/>
                <w:rFonts w:eastAsia="宋体" w:ascii="Times New Roman" w:hAnsi="Times New Roman"/>
              </w:rPr>
              <w:t>04 病历资料与检查安全规则</w:t>
            </w:r>
          </w:p>
        </w:tc>
        <w:tc>
          <w:tcPr>
            <w:tcW w:type="dxa" w:w="1474"/>
          </w:tcPr>
          <w:p>
            <w:pPr>
              <w:spacing w:after="20"/>
            </w:pPr>
            <w:r/>
            <w:r>
              <w:rPr>
                <w:sz w:val="17"/>
                <w:rFonts w:eastAsia="宋体" w:ascii="Times New Roman" w:hAnsi="Times New Roman"/>
              </w:rPr>
              <w:t>本次任务现行</w:t>
            </w:r>
          </w:p>
        </w:tc>
        <w:tc>
          <w:tcPr>
            <w:tcW w:type="dxa" w:w="2948"/>
          </w:tcPr>
          <w:p>
            <w:pPr>
              <w:spacing w:after="20"/>
            </w:pPr>
            <w:r/>
            <w:r>
              <w:rPr>
                <w:sz w:val="17"/>
                <w:rFonts w:eastAsia="宋体" w:ascii="Times New Roman" w:hAnsi="Times New Roman"/>
              </w:rPr>
              <w:t>现行制度规则，具约束力</w:t>
            </w:r>
          </w:p>
        </w:tc>
        <w:tc>
          <w:tcPr>
            <w:tcW w:type="dxa" w:w="3061"/>
          </w:tcPr>
          <w:p>
            <w:pPr>
              <w:spacing w:after="20"/>
            </w:pPr>
            <w:r/>
            <w:r>
              <w:rPr>
                <w:sz w:val="17"/>
                <w:rFonts w:eastAsia="宋体" w:ascii="Times New Roman" w:hAnsi="Times New Roman"/>
              </w:rPr>
              <w:t>决定资料效力、检查时序、辐射前妊娠核实与结论边界</w:t>
            </w:r>
          </w:p>
        </w:tc>
      </w:tr>
    </w:tbl>
    <w:p>
      <w:pPr>
        <w:spacing w:after="40"/>
      </w:pPr>
    </w:p>
    <w:p>
      <w:pPr>
        <w:spacing w:after="60"/>
      </w:pPr>
      <w:r>
        <w:rPr>
          <w:b/>
          <w:i w:val="0"/>
          <w:sz w:val="21"/>
          <w:rFonts w:eastAsia="宋体" w:ascii="Times New Roman" w:hAnsi="Times New Roman"/>
        </w:rPr>
        <w:t>二、当前时点的关键限定</w:t>
      </w:r>
    </w:p>
    <w:p>
      <w:pPr>
        <w:pStyle w:val="ListBullet"/>
        <w:spacing w:after="40"/>
        <w:ind w:left="340"/>
      </w:pPr>
      <w:r>
        <w:rPr>
          <w:sz w:val="21"/>
          <w:rFonts w:eastAsia="宋体" w:ascii="Times New Roman" w:hAnsi="Times New Roman"/>
        </w:rPr>
        <w:t>本次入院当前样本的血气、血 β-羟丁酸、电解质、血渗透压、肾功能与定量尿量均未回报；在材料中一律记为“待查”，不得写成既成事实。</w:t>
      </w:r>
    </w:p>
    <w:p>
      <w:pPr>
        <w:pStyle w:val="ListBullet"/>
        <w:spacing w:after="40"/>
        <w:ind w:left="340"/>
      </w:pPr>
      <w:r>
        <w:rPr>
          <w:sz w:val="21"/>
          <w:rFonts w:eastAsia="宋体" w:ascii="Times New Roman" w:hAnsi="Times New Roman"/>
        </w:rPr>
        <w:t>“一月余前尿酮 +”“空腹血糖 21.7 mmol/L”“HbA1c 14.6%”均来自外院人工转录，属既往时点资料，不能替代本次入院当前样本，也不能据此直接判定本次存在 DKA/HHS。</w:t>
      </w:r>
    </w:p>
    <w:p>
      <w:pPr>
        <w:pStyle w:val="ListBullet"/>
        <w:spacing w:after="40"/>
        <w:ind w:left="340"/>
      </w:pPr>
      <w:r>
        <w:rPr>
          <w:sz w:val="21"/>
          <w:rFonts w:eastAsia="宋体" w:ascii="Times New Roman" w:hAnsi="Times New Roman"/>
        </w:rPr>
        <w:t>“糖尿病”为三日前外院门诊诊断记录，未记录分型；本次入院不得沿用为已定型诊断。</w:t>
      </w:r>
    </w:p>
    <w:p>
      <w:pPr>
        <w:pStyle w:val="ListBullet"/>
        <w:spacing w:after="40"/>
        <w:ind w:left="340"/>
      </w:pPr>
      <w:r>
        <w:rPr>
          <w:sz w:val="21"/>
          <w:rFonts w:eastAsia="宋体" w:ascii="Times New Roman" w:hAnsi="Times New Roman"/>
        </w:rPr>
        <w:t>床旁交班摘要提出的“无明确酸中毒的糖尿病”与“可先完成尿崩症动态试验”均建立在检验未回报的前提上，属未经验证的假设与排序建议，不作为本评估的既定结论。</w:t>
      </w:r>
    </w:p>
    <w:p>
      <w:pPr>
        <w:pStyle w:val="ListBullet"/>
        <w:spacing w:after="40"/>
        <w:ind w:left="340"/>
      </w:pPr>
      <w:r>
        <w:rPr>
          <w:sz w:val="21"/>
          <w:rFonts w:eastAsia="宋体" w:ascii="Times New Roman" w:hAnsi="Times New Roman"/>
        </w:rPr>
        <w:t>凡标注“待分型”“疑似”“需要排除”者均不等于确诊；所有结论均标注其证据边界。</w:t>
      </w:r>
    </w:p>
    <w:p>
      <w:r>
        <w:br w:type="page"/>
      </w:r>
    </w:p>
    <w:p>
      <w:pPr>
        <w:pStyle w:val="Heading1"/>
        <w:spacing w:before="200" w:after="100"/>
      </w:pPr>
      <w:r>
        <w:rPr>
          <w:rFonts w:eastAsia="宋体" w:ascii="Times New Roman" w:hAnsi="Times New Roman"/>
        </w:rPr>
        <w:t>第一部分　当前急症排查（0–6 小时，急性代谢紊乱未排除期间）</w:t>
      </w:r>
    </w:p>
    <w:p>
      <w:pPr>
        <w:spacing w:after="80"/>
      </w:pPr>
      <w:r>
        <w:rPr>
          <w:b w:val="0"/>
          <w:i w:val="0"/>
          <w:sz w:val="20"/>
          <w:rFonts w:eastAsia="宋体" w:ascii="Times New Roman" w:hAnsi="Times New Roman"/>
        </w:rPr>
        <w:t>阶段目标：确认或排除 DKA / HHS / 混合型高血糖危象，量化脱水与电解质紊乱，识别诱因与致死性并发症；同时完成必须先行的时间敏感性采样。本阶段为“采集—判读”并行，在结果回报前不下达危象诊断。</w:t>
      </w:r>
    </w:p>
    <w:p>
      <w:pPr>
        <w:pStyle w:val="Heading2"/>
        <w:spacing w:before="160" w:after="100"/>
      </w:pPr>
      <w:r>
        <w:rPr>
          <w:rFonts w:eastAsia="宋体" w:ascii="Times New Roman" w:hAnsi="Times New Roman"/>
        </w:rPr>
        <w:t>1.1 第一批：立即采集（不得因等待其他检查而延迟）</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567"/>
            <w:shd w:val="clear" w:color="auto" w:fill="DCE6F1"/>
          </w:tcPr>
          <w:p>
            <w:pPr>
              <w:spacing w:after="20"/>
            </w:pPr>
            <w:r/>
            <w:r>
              <w:rPr>
                <w:b/>
                <w:sz w:val="17"/>
                <w:rFonts w:eastAsia="宋体" w:ascii="Times New Roman" w:hAnsi="Times New Roman"/>
              </w:rPr>
              <w:t>序</w:t>
            </w:r>
          </w:p>
        </w:tc>
        <w:tc>
          <w:tcPr>
            <w:tcW w:type="dxa" w:w="2268"/>
            <w:shd w:val="clear" w:color="auto" w:fill="DCE6F1"/>
          </w:tcPr>
          <w:p>
            <w:pPr>
              <w:spacing w:after="20"/>
            </w:pPr>
            <w:r/>
            <w:r>
              <w:rPr>
                <w:b/>
                <w:sz w:val="17"/>
                <w:rFonts w:eastAsia="宋体" w:ascii="Times New Roman" w:hAnsi="Times New Roman"/>
              </w:rPr>
              <w:t>检查项目</w:t>
            </w:r>
          </w:p>
        </w:tc>
        <w:tc>
          <w:tcPr>
            <w:tcW w:type="dxa" w:w="3175"/>
            <w:shd w:val="clear" w:color="auto" w:fill="DCE6F1"/>
          </w:tcPr>
          <w:p>
            <w:pPr>
              <w:spacing w:after="20"/>
            </w:pPr>
            <w:r/>
            <w:r>
              <w:rPr>
                <w:b/>
                <w:sz w:val="17"/>
                <w:rFonts w:eastAsia="宋体" w:ascii="Times New Roman" w:hAnsi="Times New Roman"/>
              </w:rPr>
              <w:t>目的（确认/排除什么）</w:t>
            </w:r>
          </w:p>
        </w:tc>
        <w:tc>
          <w:tcPr>
            <w:tcW w:type="dxa" w:w="3402"/>
            <w:shd w:val="clear" w:color="auto" w:fill="DCE6F1"/>
          </w:tcPr>
          <w:p>
            <w:pPr>
              <w:spacing w:after="20"/>
            </w:pPr>
            <w:r/>
            <w:r>
              <w:rPr>
                <w:b/>
                <w:sz w:val="17"/>
                <w:rFonts w:eastAsia="宋体" w:ascii="Times New Roman" w:hAnsi="Times New Roman"/>
              </w:rPr>
              <w:t>触发条件 / 备注</w:t>
            </w:r>
          </w:p>
        </w:tc>
      </w:tr>
      <w:tr>
        <w:tc>
          <w:tcPr>
            <w:tcW w:type="dxa" w:w="567"/>
          </w:tcPr>
          <w:p>
            <w:pPr>
              <w:spacing w:after="20"/>
            </w:pPr>
            <w:r/>
            <w:r>
              <w:rPr>
                <w:sz w:val="17"/>
                <w:rFonts w:eastAsia="宋体" w:ascii="Times New Roman" w:hAnsi="Times New Roman"/>
              </w:rPr>
              <w:t>A1</w:t>
            </w:r>
          </w:p>
        </w:tc>
        <w:tc>
          <w:tcPr>
            <w:tcW w:type="dxa" w:w="2268"/>
          </w:tcPr>
          <w:p>
            <w:pPr>
              <w:spacing w:after="20"/>
            </w:pPr>
            <w:r/>
            <w:r>
              <w:rPr>
                <w:sz w:val="17"/>
                <w:rFonts w:eastAsia="宋体" w:ascii="Times New Roman" w:hAnsi="Times New Roman"/>
              </w:rPr>
              <w:t>床旁指血血糖（立即，并记录采样时刻）</w:t>
            </w:r>
          </w:p>
        </w:tc>
        <w:tc>
          <w:tcPr>
            <w:tcW w:type="dxa" w:w="3175"/>
          </w:tcPr>
          <w:p>
            <w:pPr>
              <w:spacing w:after="20"/>
            </w:pPr>
            <w:r/>
            <w:r>
              <w:rPr>
                <w:sz w:val="17"/>
                <w:rFonts w:eastAsia="宋体" w:ascii="Times New Roman" w:hAnsi="Times New Roman"/>
              </w:rPr>
              <w:t>确认“显著高血糖”这一前提是否成立；为后续每 1–2 小时监测建立基线</w:t>
            </w:r>
          </w:p>
        </w:tc>
        <w:tc>
          <w:tcPr>
            <w:tcW w:type="dxa" w:w="3402"/>
          </w:tcPr>
          <w:p>
            <w:pPr>
              <w:spacing w:after="20"/>
            </w:pPr>
            <w:r/>
            <w:r>
              <w:rPr>
                <w:sz w:val="17"/>
                <w:rFonts w:eastAsia="宋体" w:ascii="Times New Roman" w:hAnsi="Times New Roman"/>
              </w:rPr>
              <w:t>入院即刻；结果即刻回报，是启动补液与胰岛素决策的前提</w:t>
            </w:r>
          </w:p>
        </w:tc>
      </w:tr>
      <w:tr>
        <w:tc>
          <w:tcPr>
            <w:tcW w:type="dxa" w:w="567"/>
          </w:tcPr>
          <w:p>
            <w:pPr>
              <w:spacing w:after="20"/>
            </w:pPr>
            <w:r/>
            <w:r>
              <w:rPr>
                <w:sz w:val="17"/>
                <w:rFonts w:eastAsia="宋体" w:ascii="Times New Roman" w:hAnsi="Times New Roman"/>
              </w:rPr>
              <w:t>A2</w:t>
            </w:r>
          </w:p>
        </w:tc>
        <w:tc>
          <w:tcPr>
            <w:tcW w:type="dxa" w:w="2268"/>
          </w:tcPr>
          <w:p>
            <w:pPr>
              <w:spacing w:after="20"/>
            </w:pPr>
            <w:r/>
            <w:r>
              <w:rPr>
                <w:sz w:val="17"/>
                <w:rFonts w:eastAsia="宋体" w:ascii="Times New Roman" w:hAnsi="Times New Roman"/>
              </w:rPr>
              <w:t>静脉血气（pH、pCO₂、HCO₃⁻、BE、乳酸）</w:t>
            </w:r>
          </w:p>
        </w:tc>
        <w:tc>
          <w:tcPr>
            <w:tcW w:type="dxa" w:w="3175"/>
          </w:tcPr>
          <w:p>
            <w:pPr>
              <w:spacing w:after="20"/>
            </w:pPr>
            <w:r/>
            <w:r>
              <w:rPr>
                <w:sz w:val="17"/>
                <w:rFonts w:eastAsia="宋体" w:ascii="Times New Roman" w:hAnsi="Times New Roman"/>
              </w:rPr>
              <w:t>确认或排除代谢性酸中毒；区分 DKA 与 HHS 的核心指标；乳酸提示灌注不足或感染</w:t>
            </w:r>
          </w:p>
        </w:tc>
        <w:tc>
          <w:tcPr>
            <w:tcW w:type="dxa" w:w="3402"/>
          </w:tcPr>
          <w:p>
            <w:pPr>
              <w:spacing w:after="20"/>
            </w:pPr>
            <w:r/>
            <w:r>
              <w:rPr>
                <w:sz w:val="17"/>
                <w:rFonts w:eastAsia="宋体" w:ascii="Times New Roman" w:hAnsi="Times New Roman"/>
              </w:rPr>
              <w:t>与 A1 同时；若无法即刻血气，退而先送静脉 HCO₃⁻/电解质，并在报告中注明该替代及其局限</w:t>
            </w:r>
          </w:p>
        </w:tc>
      </w:tr>
      <w:tr>
        <w:tc>
          <w:tcPr>
            <w:tcW w:type="dxa" w:w="567"/>
          </w:tcPr>
          <w:p>
            <w:pPr>
              <w:spacing w:after="20"/>
            </w:pPr>
            <w:r/>
            <w:r>
              <w:rPr>
                <w:sz w:val="17"/>
                <w:rFonts w:eastAsia="宋体" w:ascii="Times New Roman" w:hAnsi="Times New Roman"/>
              </w:rPr>
              <w:t>A3</w:t>
            </w:r>
          </w:p>
        </w:tc>
        <w:tc>
          <w:tcPr>
            <w:tcW w:type="dxa" w:w="2268"/>
          </w:tcPr>
          <w:p>
            <w:pPr>
              <w:spacing w:after="20"/>
            </w:pPr>
            <w:r/>
            <w:r>
              <w:rPr>
                <w:sz w:val="17"/>
                <w:rFonts w:eastAsia="宋体" w:ascii="Times New Roman" w:hAnsi="Times New Roman"/>
              </w:rPr>
              <w:t>血 β-羟丁酸（定量，实验室或床旁）</w:t>
            </w:r>
          </w:p>
        </w:tc>
        <w:tc>
          <w:tcPr>
            <w:tcW w:type="dxa" w:w="3175"/>
          </w:tcPr>
          <w:p>
            <w:pPr>
              <w:spacing w:after="20"/>
            </w:pPr>
            <w:r/>
            <w:r>
              <w:rPr>
                <w:sz w:val="17"/>
                <w:rFonts w:eastAsia="宋体" w:ascii="Times New Roman" w:hAnsi="Times New Roman"/>
              </w:rPr>
              <w:t>确认或排除酮症；优于尿酮（尿酮受脱水、肾功能与试纸条局限影响，且既往仅“尿酮 +”为定性）</w:t>
            </w:r>
          </w:p>
        </w:tc>
        <w:tc>
          <w:tcPr>
            <w:tcW w:type="dxa" w:w="3402"/>
          </w:tcPr>
          <w:p>
            <w:pPr>
              <w:spacing w:after="20"/>
            </w:pPr>
            <w:r/>
            <w:r>
              <w:rPr>
                <w:sz w:val="17"/>
                <w:rFonts w:eastAsia="宋体" w:ascii="Times New Roman" w:hAnsi="Times New Roman"/>
              </w:rPr>
              <w:t>与 A2 同时；交班摘要所依据的“尿酮 +”为外院定性结果，不可用于本次酮症判定</w:t>
            </w:r>
          </w:p>
        </w:tc>
      </w:tr>
      <w:tr>
        <w:tc>
          <w:tcPr>
            <w:tcW w:type="dxa" w:w="567"/>
          </w:tcPr>
          <w:p>
            <w:pPr>
              <w:spacing w:after="20"/>
            </w:pPr>
            <w:r/>
            <w:r>
              <w:rPr>
                <w:sz w:val="17"/>
                <w:rFonts w:eastAsia="宋体" w:ascii="Times New Roman" w:hAnsi="Times New Roman"/>
              </w:rPr>
              <w:t>A4</w:t>
            </w:r>
          </w:p>
        </w:tc>
        <w:tc>
          <w:tcPr>
            <w:tcW w:type="dxa" w:w="2268"/>
          </w:tcPr>
          <w:p>
            <w:pPr>
              <w:spacing w:after="20"/>
            </w:pPr>
            <w:r/>
            <w:r>
              <w:rPr>
                <w:sz w:val="17"/>
                <w:rFonts w:eastAsia="宋体" w:ascii="Times New Roman" w:hAnsi="Times New Roman"/>
              </w:rPr>
              <w:t>电解质（Na⁺、K⁺、Cl⁻、HCO₃⁻、Mg²⁺、磷）+ 肾功能（肌酐、尿素氮）</w:t>
            </w:r>
          </w:p>
        </w:tc>
        <w:tc>
          <w:tcPr>
            <w:tcW w:type="dxa" w:w="3175"/>
          </w:tcPr>
          <w:p>
            <w:pPr>
              <w:spacing w:after="20"/>
            </w:pPr>
            <w:r/>
            <w:r>
              <w:rPr>
                <w:sz w:val="17"/>
                <w:rFonts w:eastAsia="宋体" w:ascii="Times New Roman" w:hAnsi="Times New Roman"/>
              </w:rPr>
              <w:t>识别低钾/高钾、钠紊乱、阴离子间隙、急性肾损伤；为补液与胰岛素的安全前提</w:t>
            </w:r>
          </w:p>
        </w:tc>
        <w:tc>
          <w:tcPr>
            <w:tcW w:type="dxa" w:w="3402"/>
          </w:tcPr>
          <w:p>
            <w:pPr>
              <w:spacing w:after="20"/>
            </w:pPr>
            <w:r/>
            <w:r>
              <w:rPr>
                <w:sz w:val="17"/>
                <w:rFonts w:eastAsia="宋体" w:ascii="Times New Roman" w:hAnsi="Times New Roman"/>
              </w:rPr>
              <w:t>与 A2 同时；计算阴离子间隙（Na⁺−Cl⁻−HCO₃⁻）与校正钠</w:t>
            </w:r>
          </w:p>
        </w:tc>
      </w:tr>
      <w:tr>
        <w:tc>
          <w:tcPr>
            <w:tcW w:type="dxa" w:w="567"/>
          </w:tcPr>
          <w:p>
            <w:pPr>
              <w:spacing w:after="20"/>
            </w:pPr>
            <w:r/>
            <w:r>
              <w:rPr>
                <w:sz w:val="17"/>
                <w:rFonts w:eastAsia="宋体" w:ascii="Times New Roman" w:hAnsi="Times New Roman"/>
              </w:rPr>
              <w:t>A5</w:t>
            </w:r>
          </w:p>
        </w:tc>
        <w:tc>
          <w:tcPr>
            <w:tcW w:type="dxa" w:w="2268"/>
          </w:tcPr>
          <w:p>
            <w:pPr>
              <w:spacing w:after="20"/>
            </w:pPr>
            <w:r/>
            <w:r>
              <w:rPr>
                <w:sz w:val="17"/>
                <w:rFonts w:eastAsia="宋体" w:ascii="Times New Roman" w:hAnsi="Times New Roman"/>
              </w:rPr>
              <w:t>血渗透压（实测）+ 有效渗透压（2×Na⁺ + 血糖）</w:t>
            </w:r>
          </w:p>
        </w:tc>
        <w:tc>
          <w:tcPr>
            <w:tcW w:type="dxa" w:w="3175"/>
          </w:tcPr>
          <w:p>
            <w:pPr>
              <w:spacing w:after="20"/>
            </w:pPr>
            <w:r/>
            <w:r>
              <w:rPr>
                <w:sz w:val="17"/>
                <w:rFonts w:eastAsia="宋体" w:ascii="Times New Roman" w:hAnsi="Times New Roman"/>
              </w:rPr>
              <w:t>确认或排除 HHS 的高渗状态；与 A2/A3 联合完成 DKA/HHS/混合型分类</w:t>
            </w:r>
          </w:p>
        </w:tc>
        <w:tc>
          <w:tcPr>
            <w:tcW w:type="dxa" w:w="3402"/>
          </w:tcPr>
          <w:p>
            <w:pPr>
              <w:spacing w:after="20"/>
            </w:pPr>
            <w:r/>
            <w:r>
              <w:rPr>
                <w:sz w:val="17"/>
                <w:rFonts w:eastAsia="宋体" w:ascii="Times New Roman" w:hAnsi="Times New Roman"/>
              </w:rPr>
              <w:t>与 A2 同时；实测渗透压与计算值差 &gt;10 mOsm/kg 提示其他渗透活性物质（如乙醇、甘露醇）</w:t>
            </w:r>
          </w:p>
        </w:tc>
      </w:tr>
      <w:tr>
        <w:tc>
          <w:tcPr>
            <w:tcW w:type="dxa" w:w="567"/>
          </w:tcPr>
          <w:p>
            <w:pPr>
              <w:spacing w:after="20"/>
            </w:pPr>
            <w:r/>
            <w:r>
              <w:rPr>
                <w:sz w:val="17"/>
                <w:rFonts w:eastAsia="宋体" w:ascii="Times New Roman" w:hAnsi="Times New Roman"/>
              </w:rPr>
              <w:t>A6</w:t>
            </w:r>
          </w:p>
        </w:tc>
        <w:tc>
          <w:tcPr>
            <w:tcW w:type="dxa" w:w="2268"/>
          </w:tcPr>
          <w:p>
            <w:pPr>
              <w:spacing w:after="20"/>
            </w:pPr>
            <w:r/>
            <w:r>
              <w:rPr>
                <w:sz w:val="17"/>
                <w:rFonts w:eastAsia="宋体" w:ascii="Times New Roman" w:hAnsi="Times New Roman"/>
              </w:rPr>
              <w:t>血常规 + 中性粒细胞/淋巴细胞、CRP、降钙素原（按临床）</w:t>
            </w:r>
          </w:p>
        </w:tc>
        <w:tc>
          <w:tcPr>
            <w:tcW w:type="dxa" w:w="3175"/>
          </w:tcPr>
          <w:p>
            <w:pPr>
              <w:spacing w:after="20"/>
            </w:pPr>
            <w:r/>
            <w:r>
              <w:rPr>
                <w:sz w:val="17"/>
                <w:rFonts w:eastAsia="宋体" w:ascii="Times New Roman" w:hAnsi="Times New Roman"/>
              </w:rPr>
              <w:t>评估感染这一最常见诱因；白细胞升高在危象中可由应激/脱水所致，需结合 CRP/PCT 判读</w:t>
            </w:r>
          </w:p>
        </w:tc>
        <w:tc>
          <w:tcPr>
            <w:tcW w:type="dxa" w:w="3402"/>
          </w:tcPr>
          <w:p>
            <w:pPr>
              <w:spacing w:after="20"/>
            </w:pPr>
            <w:r/>
            <w:r>
              <w:rPr>
                <w:sz w:val="17"/>
                <w:rFonts w:eastAsia="宋体" w:ascii="Times New Roman" w:hAnsi="Times New Roman"/>
              </w:rPr>
              <w:t>与 A2 同时；发热缺失不排除感染</w:t>
            </w:r>
          </w:p>
        </w:tc>
      </w:tr>
      <w:tr>
        <w:tc>
          <w:tcPr>
            <w:tcW w:type="dxa" w:w="567"/>
          </w:tcPr>
          <w:p>
            <w:pPr>
              <w:spacing w:after="20"/>
            </w:pPr>
            <w:r/>
            <w:r>
              <w:rPr>
                <w:sz w:val="17"/>
                <w:rFonts w:eastAsia="宋体" w:ascii="Times New Roman" w:hAnsi="Times New Roman"/>
              </w:rPr>
              <w:t>A7</w:t>
            </w:r>
          </w:p>
        </w:tc>
        <w:tc>
          <w:tcPr>
            <w:tcW w:type="dxa" w:w="2268"/>
          </w:tcPr>
          <w:p>
            <w:pPr>
              <w:spacing w:after="20"/>
            </w:pPr>
            <w:r/>
            <w:r>
              <w:rPr>
                <w:sz w:val="17"/>
                <w:rFonts w:eastAsia="宋体" w:ascii="Times New Roman" w:hAnsi="Times New Roman"/>
              </w:rPr>
              <w:t>心电图（立即）</w:t>
            </w:r>
          </w:p>
        </w:tc>
        <w:tc>
          <w:tcPr>
            <w:tcW w:type="dxa" w:w="3175"/>
          </w:tcPr>
          <w:p>
            <w:pPr>
              <w:spacing w:after="20"/>
            </w:pPr>
            <w:r/>
            <w:r>
              <w:rPr>
                <w:sz w:val="17"/>
                <w:rFonts w:eastAsia="宋体" w:ascii="Times New Roman" w:hAnsi="Times New Roman"/>
              </w:rPr>
              <w:t>识别高钾/低钾心电图改变、缺血与心律失常；酮症酸中毒与电解质紊乱均可致致死性心律失常</w:t>
            </w:r>
          </w:p>
        </w:tc>
        <w:tc>
          <w:tcPr>
            <w:tcW w:type="dxa" w:w="3402"/>
          </w:tcPr>
          <w:p>
            <w:pPr>
              <w:spacing w:after="20"/>
            </w:pPr>
            <w:r/>
            <w:r>
              <w:rPr>
                <w:sz w:val="17"/>
                <w:rFonts w:eastAsia="宋体" w:ascii="Times New Roman" w:hAnsi="Times New Roman"/>
              </w:rPr>
              <w:t>入院即刻，床旁；与 A1 同批</w:t>
            </w:r>
          </w:p>
        </w:tc>
      </w:tr>
      <w:tr>
        <w:tc>
          <w:tcPr>
            <w:tcW w:type="dxa" w:w="567"/>
          </w:tcPr>
          <w:p>
            <w:pPr>
              <w:spacing w:after="20"/>
            </w:pPr>
            <w:r/>
            <w:r>
              <w:rPr>
                <w:sz w:val="17"/>
                <w:rFonts w:eastAsia="宋体" w:ascii="Times New Roman" w:hAnsi="Times New Roman"/>
              </w:rPr>
              <w:t>A8</w:t>
            </w:r>
          </w:p>
        </w:tc>
        <w:tc>
          <w:tcPr>
            <w:tcW w:type="dxa" w:w="2268"/>
          </w:tcPr>
          <w:p>
            <w:pPr>
              <w:spacing w:after="20"/>
            </w:pPr>
            <w:r/>
            <w:r>
              <w:rPr>
                <w:sz w:val="17"/>
                <w:rFonts w:eastAsia="宋体" w:ascii="Times New Roman" w:hAnsi="Times New Roman"/>
              </w:rPr>
              <w:t>尿常规 + 尿酮 + 尿比重（本次入院当前样本，非外院转录）</w:t>
            </w:r>
          </w:p>
        </w:tc>
        <w:tc>
          <w:tcPr>
            <w:tcW w:type="dxa" w:w="3175"/>
          </w:tcPr>
          <w:p>
            <w:pPr>
              <w:spacing w:after="20"/>
            </w:pPr>
            <w:r/>
            <w:r>
              <w:rPr>
                <w:sz w:val="17"/>
                <w:rFonts w:eastAsia="宋体" w:ascii="Times New Roman" w:hAnsi="Times New Roman"/>
              </w:rPr>
              <w:t>与血酮互为补充；尿比重/尿渗透压为脱水与后续多尿鉴别提供基线</w:t>
            </w:r>
          </w:p>
        </w:tc>
        <w:tc>
          <w:tcPr>
            <w:tcW w:type="dxa" w:w="3402"/>
          </w:tcPr>
          <w:p>
            <w:pPr>
              <w:spacing w:after="20"/>
            </w:pPr>
            <w:r/>
            <w:r>
              <w:rPr>
                <w:sz w:val="17"/>
                <w:rFonts w:eastAsia="宋体" w:ascii="Times New Roman" w:hAnsi="Times New Roman"/>
              </w:rPr>
              <w:t>入院即刻；需明确记录为本院当前样本，与外院“尿酮 +”严格区分</w:t>
            </w:r>
          </w:p>
        </w:tc>
      </w:tr>
      <w:tr>
        <w:tc>
          <w:tcPr>
            <w:tcW w:type="dxa" w:w="567"/>
          </w:tcPr>
          <w:p>
            <w:pPr>
              <w:spacing w:after="20"/>
            </w:pPr>
            <w:r/>
            <w:r>
              <w:rPr>
                <w:sz w:val="17"/>
                <w:rFonts w:eastAsia="宋体" w:ascii="Times New Roman" w:hAnsi="Times New Roman"/>
              </w:rPr>
              <w:t>A9</w:t>
            </w:r>
          </w:p>
        </w:tc>
        <w:tc>
          <w:tcPr>
            <w:tcW w:type="dxa" w:w="2268"/>
          </w:tcPr>
          <w:p>
            <w:pPr>
              <w:spacing w:after="20"/>
            </w:pPr>
            <w:r/>
            <w:r>
              <w:rPr>
                <w:sz w:val="17"/>
                <w:rFonts w:eastAsia="宋体" w:ascii="Times New Roman" w:hAnsi="Times New Roman"/>
              </w:rPr>
              <w:t>血淀粉酶/脂肪酶（按临床怀疑）</w:t>
            </w:r>
          </w:p>
        </w:tc>
        <w:tc>
          <w:tcPr>
            <w:tcW w:type="dxa" w:w="3175"/>
          </w:tcPr>
          <w:p>
            <w:pPr>
              <w:spacing w:after="20"/>
            </w:pPr>
            <w:r/>
            <w:r>
              <w:rPr>
                <w:sz w:val="17"/>
                <w:rFonts w:eastAsia="宋体" w:ascii="Times New Roman" w:hAnsi="Times New Roman"/>
              </w:rPr>
              <w:t>鉴别腹痛型酮症酸中毒与急性胰腺炎（后者亦可为诱因）</w:t>
            </w:r>
          </w:p>
        </w:tc>
        <w:tc>
          <w:tcPr>
            <w:tcW w:type="dxa" w:w="3402"/>
          </w:tcPr>
          <w:p>
            <w:pPr>
              <w:spacing w:after="20"/>
            </w:pPr>
            <w:r/>
            <w:r>
              <w:rPr>
                <w:sz w:val="17"/>
                <w:rFonts w:eastAsia="宋体" w:ascii="Times New Roman" w:hAnsi="Times New Roman"/>
              </w:rPr>
              <w:t>仅在腹痛、呕吐或血酮显著升高伴上腹症状时加做；本例病史记录无腹痛，按症状触发</w:t>
            </w:r>
          </w:p>
        </w:tc>
      </w:tr>
    </w:tbl>
    <w:p>
      <w:pPr>
        <w:spacing w:after="40"/>
      </w:pPr>
    </w:p>
    <w:p>
      <w:pPr>
        <w:pStyle w:val="Heading2"/>
        <w:spacing w:before="160" w:after="100"/>
      </w:pPr>
      <w:r>
        <w:rPr>
          <w:rFonts w:eastAsia="宋体" w:ascii="Times New Roman" w:hAnsi="Times New Roman"/>
        </w:rPr>
        <w:t>1.2 第二批：第一批结果回报后 1–2 小时内，按触发条件加做</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381"/>
            <w:shd w:val="clear" w:color="auto" w:fill="DCE6F1"/>
          </w:tcPr>
          <w:p>
            <w:pPr>
              <w:spacing w:after="20"/>
            </w:pPr>
            <w:r/>
            <w:r>
              <w:rPr>
                <w:b/>
                <w:sz w:val="17"/>
                <w:rFonts w:eastAsia="宋体" w:ascii="Times New Roman" w:hAnsi="Times New Roman"/>
              </w:rPr>
              <w:t>检查项目</w:t>
            </w:r>
          </w:p>
        </w:tc>
        <w:tc>
          <w:tcPr>
            <w:tcW w:type="dxa" w:w="3061"/>
            <w:shd w:val="clear" w:color="auto" w:fill="DCE6F1"/>
          </w:tcPr>
          <w:p>
            <w:pPr>
              <w:spacing w:after="20"/>
            </w:pPr>
            <w:r/>
            <w:r>
              <w:rPr>
                <w:b/>
                <w:sz w:val="17"/>
                <w:rFonts w:eastAsia="宋体" w:ascii="Times New Roman" w:hAnsi="Times New Roman"/>
              </w:rPr>
              <w:t>触发条件</w:t>
            </w:r>
          </w:p>
        </w:tc>
        <w:tc>
          <w:tcPr>
            <w:tcW w:type="dxa" w:w="3969"/>
            <w:shd w:val="clear" w:color="auto" w:fill="DCE6F1"/>
          </w:tcPr>
          <w:p>
            <w:pPr>
              <w:spacing w:after="20"/>
            </w:pPr>
            <w:r/>
            <w:r>
              <w:rPr>
                <w:b/>
                <w:sz w:val="17"/>
                <w:rFonts w:eastAsia="宋体" w:ascii="Times New Roman" w:hAnsi="Times New Roman"/>
              </w:rPr>
              <w:t>目的与结论边界</w:t>
            </w:r>
          </w:p>
        </w:tc>
      </w:tr>
      <w:tr>
        <w:tc>
          <w:tcPr>
            <w:tcW w:type="dxa" w:w="2381"/>
          </w:tcPr>
          <w:p>
            <w:pPr>
              <w:spacing w:after="20"/>
            </w:pPr>
            <w:r/>
            <w:r>
              <w:rPr>
                <w:sz w:val="17"/>
                <w:rFonts w:eastAsia="宋体" w:ascii="Times New Roman" w:hAnsi="Times New Roman"/>
              </w:rPr>
              <w:t>重复血气、血酮、电解质、血糖</w:t>
            </w:r>
          </w:p>
        </w:tc>
        <w:tc>
          <w:tcPr>
            <w:tcW w:type="dxa" w:w="3061"/>
          </w:tcPr>
          <w:p>
            <w:pPr>
              <w:spacing w:after="20"/>
            </w:pPr>
            <w:r/>
            <w:r>
              <w:rPr>
                <w:sz w:val="17"/>
                <w:rFonts w:eastAsia="宋体" w:ascii="Times New Roman" w:hAnsi="Times New Roman"/>
              </w:rPr>
              <w:t>A2 提示酸中毒，或 A3 血酮升高，或 A5 提示高渗</w:t>
            </w:r>
          </w:p>
        </w:tc>
        <w:tc>
          <w:tcPr>
            <w:tcW w:type="dxa" w:w="3969"/>
          </w:tcPr>
          <w:p>
            <w:pPr>
              <w:spacing w:after="20"/>
            </w:pPr>
            <w:r/>
            <w:r>
              <w:rPr>
                <w:sz w:val="17"/>
                <w:rFonts w:eastAsia="宋体" w:ascii="Times New Roman" w:hAnsi="Times New Roman"/>
              </w:rPr>
              <w:t>判断趋势与治疗反应；单次结果不足以定义“已纠正”</w:t>
            </w:r>
          </w:p>
        </w:tc>
      </w:tr>
      <w:tr>
        <w:tc>
          <w:tcPr>
            <w:tcW w:type="dxa" w:w="2381"/>
          </w:tcPr>
          <w:p>
            <w:pPr>
              <w:spacing w:after="20"/>
            </w:pPr>
            <w:r/>
            <w:r>
              <w:rPr>
                <w:sz w:val="17"/>
                <w:rFonts w:eastAsia="宋体" w:ascii="Times New Roman" w:hAnsi="Times New Roman"/>
              </w:rPr>
              <w:t>血培养 / 尿培养（用抗菌药物前）</w:t>
            </w:r>
          </w:p>
        </w:tc>
        <w:tc>
          <w:tcPr>
            <w:tcW w:type="dxa" w:w="3061"/>
          </w:tcPr>
          <w:p>
            <w:pPr>
              <w:spacing w:after="20"/>
            </w:pPr>
            <w:r/>
            <w:r>
              <w:rPr>
                <w:sz w:val="17"/>
                <w:rFonts w:eastAsia="宋体" w:ascii="Times New Roman" w:hAnsi="Times New Roman"/>
              </w:rPr>
              <w:t>体温异常、CRP/PCT 升高、白细胞升高不能以应激解释，或有尿路症状</w:t>
            </w:r>
          </w:p>
        </w:tc>
        <w:tc>
          <w:tcPr>
            <w:tcW w:type="dxa" w:w="3969"/>
          </w:tcPr>
          <w:p>
            <w:pPr>
              <w:spacing w:after="20"/>
            </w:pPr>
            <w:r/>
            <w:r>
              <w:rPr>
                <w:sz w:val="17"/>
                <w:rFonts w:eastAsia="宋体" w:ascii="Times New Roman" w:hAnsi="Times New Roman"/>
              </w:rPr>
              <w:t>确认感染诱因；培养阴性不能排除感染</w:t>
            </w:r>
          </w:p>
        </w:tc>
      </w:tr>
      <w:tr>
        <w:tc>
          <w:tcPr>
            <w:tcW w:type="dxa" w:w="2381"/>
          </w:tcPr>
          <w:p>
            <w:pPr>
              <w:spacing w:after="20"/>
            </w:pPr>
            <w:r/>
            <w:r>
              <w:rPr>
                <w:sz w:val="17"/>
                <w:rFonts w:eastAsia="宋体" w:ascii="Times New Roman" w:hAnsi="Times New Roman"/>
              </w:rPr>
              <w:t>胸部影像（X 线；必要时 CT）</w:t>
            </w:r>
          </w:p>
        </w:tc>
        <w:tc>
          <w:tcPr>
            <w:tcW w:type="dxa" w:w="3061"/>
          </w:tcPr>
          <w:p>
            <w:pPr>
              <w:spacing w:after="20"/>
            </w:pPr>
            <w:r/>
            <w:r>
              <w:rPr>
                <w:sz w:val="17"/>
                <w:rFonts w:eastAsia="宋体" w:ascii="Times New Roman" w:hAnsi="Times New Roman"/>
              </w:rPr>
              <w:t>低氧、呼吸道症状、胸痛或感染证据</w:t>
            </w:r>
          </w:p>
        </w:tc>
        <w:tc>
          <w:tcPr>
            <w:tcW w:type="dxa" w:w="3969"/>
          </w:tcPr>
          <w:p>
            <w:pPr>
              <w:spacing w:after="20"/>
            </w:pPr>
            <w:r/>
            <w:r>
              <w:rPr>
                <w:sz w:val="17"/>
                <w:rFonts w:eastAsia="宋体" w:ascii="Times New Roman" w:hAnsi="Times New Roman"/>
              </w:rPr>
              <w:t>寻找肺部诱因；CT 属电离辐射检查，须先完成妊娠核实（见 4.4）</w:t>
            </w:r>
          </w:p>
        </w:tc>
      </w:tr>
      <w:tr>
        <w:tc>
          <w:tcPr>
            <w:tcW w:type="dxa" w:w="2381"/>
          </w:tcPr>
          <w:p>
            <w:pPr>
              <w:spacing w:after="20"/>
            </w:pPr>
            <w:r/>
            <w:r>
              <w:rPr>
                <w:sz w:val="17"/>
                <w:rFonts w:eastAsia="宋体" w:ascii="Times New Roman" w:hAnsi="Times New Roman"/>
              </w:rPr>
              <w:t>心肌损伤标志物（hs-cTn）+ BNP</w:t>
            </w:r>
          </w:p>
        </w:tc>
        <w:tc>
          <w:tcPr>
            <w:tcW w:type="dxa" w:w="3061"/>
          </w:tcPr>
          <w:p>
            <w:pPr>
              <w:spacing w:after="20"/>
            </w:pPr>
            <w:r/>
            <w:r>
              <w:rPr>
                <w:sz w:val="17"/>
                <w:rFonts w:eastAsia="宋体" w:ascii="Times New Roman" w:hAnsi="Times New Roman"/>
              </w:rPr>
              <w:t>胸痛、心电图缺血改变、血流动力学不稳或高龄/高危背景</w:t>
            </w:r>
          </w:p>
        </w:tc>
        <w:tc>
          <w:tcPr>
            <w:tcW w:type="dxa" w:w="3969"/>
          </w:tcPr>
          <w:p>
            <w:pPr>
              <w:spacing w:after="20"/>
            </w:pPr>
            <w:r/>
            <w:r>
              <w:rPr>
                <w:sz w:val="17"/>
                <w:rFonts w:eastAsia="宋体" w:ascii="Times New Roman" w:hAnsi="Times New Roman"/>
              </w:rPr>
              <w:t>评估应激性心肌损伤；无触发条件时不作为常规</w:t>
            </w:r>
          </w:p>
        </w:tc>
      </w:tr>
      <w:tr>
        <w:tc>
          <w:tcPr>
            <w:tcW w:type="dxa" w:w="2381"/>
          </w:tcPr>
          <w:p>
            <w:pPr>
              <w:spacing w:after="20"/>
            </w:pPr>
            <w:r/>
            <w:r>
              <w:rPr>
                <w:sz w:val="17"/>
                <w:rFonts w:eastAsia="宋体" w:ascii="Times New Roman" w:hAnsi="Times New Roman"/>
              </w:rPr>
              <w:t>凝血功能、D-二聚体</w:t>
            </w:r>
          </w:p>
        </w:tc>
        <w:tc>
          <w:tcPr>
            <w:tcW w:type="dxa" w:w="3061"/>
          </w:tcPr>
          <w:p>
            <w:pPr>
              <w:spacing w:after="20"/>
            </w:pPr>
            <w:r/>
            <w:r>
              <w:rPr>
                <w:sz w:val="17"/>
                <w:rFonts w:eastAsia="宋体" w:ascii="Times New Roman" w:hAnsi="Times New Roman"/>
              </w:rPr>
              <w:t>休克、疑似血栓、严重脱水或 DIC 表现</w:t>
            </w:r>
          </w:p>
        </w:tc>
        <w:tc>
          <w:tcPr>
            <w:tcW w:type="dxa" w:w="3969"/>
          </w:tcPr>
          <w:p>
            <w:pPr>
              <w:spacing w:after="20"/>
            </w:pPr>
            <w:r/>
            <w:r>
              <w:rPr>
                <w:sz w:val="17"/>
                <w:rFonts w:eastAsia="宋体" w:ascii="Times New Roman" w:hAnsi="Times New Roman"/>
              </w:rPr>
              <w:t>DKA/HHS 属高凝状态；仅在临床触发时检查</w:t>
            </w:r>
          </w:p>
        </w:tc>
      </w:tr>
      <w:tr>
        <w:tc>
          <w:tcPr>
            <w:tcW w:type="dxa" w:w="2381"/>
          </w:tcPr>
          <w:p>
            <w:pPr>
              <w:spacing w:after="20"/>
            </w:pPr>
            <w:r/>
            <w:r>
              <w:rPr>
                <w:sz w:val="17"/>
                <w:rFonts w:eastAsia="宋体" w:ascii="Times New Roman" w:hAnsi="Times New Roman"/>
              </w:rPr>
              <w:t>血皮质醇（随机）+ ACTH（同步留取）</w:t>
            </w:r>
          </w:p>
        </w:tc>
        <w:tc>
          <w:tcPr>
            <w:tcW w:type="dxa" w:w="3061"/>
          </w:tcPr>
          <w:p>
            <w:pPr>
              <w:spacing w:after="20"/>
            </w:pPr>
            <w:r/>
            <w:r>
              <w:rPr>
                <w:sz w:val="17"/>
                <w:rFonts w:eastAsia="宋体" w:ascii="Times New Roman" w:hAnsi="Times New Roman"/>
              </w:rPr>
              <w:t>危象纠正后血糖仍难以控制、低血压不能以脱水解释、低钠或色素沉着等</w:t>
            </w:r>
          </w:p>
        </w:tc>
        <w:tc>
          <w:tcPr>
            <w:tcW w:type="dxa" w:w="3969"/>
          </w:tcPr>
          <w:p>
            <w:pPr>
              <w:spacing w:after="20"/>
            </w:pPr>
            <w:r/>
            <w:r>
              <w:rPr>
                <w:sz w:val="17"/>
                <w:rFonts w:eastAsia="宋体" w:ascii="Times New Roman" w:hAnsi="Times New Roman"/>
              </w:rPr>
              <w:t>排查应激/原发肾上腺功能不全；急性期随机值判读受限，须在稳定期复核</w:t>
            </w:r>
          </w:p>
        </w:tc>
      </w:tr>
      <w:tr>
        <w:tc>
          <w:tcPr>
            <w:tcW w:type="dxa" w:w="2381"/>
          </w:tcPr>
          <w:p>
            <w:pPr>
              <w:spacing w:after="20"/>
            </w:pPr>
            <w:r/>
            <w:r>
              <w:rPr>
                <w:sz w:val="17"/>
                <w:rFonts w:eastAsia="宋体" w:ascii="Times New Roman" w:hAnsi="Times New Roman"/>
              </w:rPr>
              <w:t>甲状腺功能（TSH、FT4）</w:t>
            </w:r>
          </w:p>
        </w:tc>
        <w:tc>
          <w:tcPr>
            <w:tcW w:type="dxa" w:w="3061"/>
          </w:tcPr>
          <w:p>
            <w:pPr>
              <w:spacing w:after="20"/>
            </w:pPr>
            <w:r/>
            <w:r>
              <w:rPr>
                <w:sz w:val="17"/>
                <w:rFonts w:eastAsia="宋体" w:ascii="Times New Roman" w:hAnsi="Times New Roman"/>
              </w:rPr>
              <w:t>心率持续增快、房颤、体温异常或既往桥本甲状腺炎/亚临床甲减背景</w:t>
            </w:r>
          </w:p>
        </w:tc>
        <w:tc>
          <w:tcPr>
            <w:tcW w:type="dxa" w:w="3969"/>
          </w:tcPr>
          <w:p>
            <w:pPr>
              <w:spacing w:after="20"/>
            </w:pPr>
            <w:r/>
            <w:r>
              <w:rPr>
                <w:sz w:val="17"/>
                <w:rFonts w:eastAsia="宋体" w:ascii="Times New Roman" w:hAnsi="Times New Roman"/>
              </w:rPr>
              <w:t>本例既往有亚临床甲减 5 年，属高优先触发；急性期 T3/T4 可受非甲状腺疾病影响，需稳定期复核</w:t>
            </w:r>
          </w:p>
        </w:tc>
      </w:tr>
      <w:tr>
        <w:tc>
          <w:tcPr>
            <w:tcW w:type="dxa" w:w="2381"/>
          </w:tcPr>
          <w:p>
            <w:pPr>
              <w:spacing w:after="20"/>
            </w:pPr>
            <w:r/>
            <w:r>
              <w:rPr>
                <w:sz w:val="17"/>
                <w:rFonts w:eastAsia="宋体" w:ascii="Times New Roman" w:hAnsi="Times New Roman"/>
              </w:rPr>
              <w:t>妊娠试验（血 β-hCG 或尿 hCG）</w:t>
            </w:r>
          </w:p>
        </w:tc>
        <w:tc>
          <w:tcPr>
            <w:tcW w:type="dxa" w:w="3061"/>
          </w:tcPr>
          <w:p>
            <w:pPr>
              <w:spacing w:after="20"/>
            </w:pPr>
            <w:r/>
            <w:r>
              <w:rPr>
                <w:sz w:val="17"/>
                <w:rFonts w:eastAsia="宋体" w:ascii="Times New Roman" w:hAnsi="Times New Roman"/>
              </w:rPr>
              <w:t>见 4.4；本例为育龄女性且末次月经 2022-09-25、月经不规律，入院即应作为常规项完成</w:t>
            </w:r>
          </w:p>
        </w:tc>
        <w:tc>
          <w:tcPr>
            <w:tcW w:type="dxa" w:w="3969"/>
          </w:tcPr>
          <w:p>
            <w:pPr>
              <w:spacing w:after="20"/>
            </w:pPr>
            <w:r/>
            <w:r>
              <w:rPr>
                <w:sz w:val="17"/>
                <w:rFonts w:eastAsia="宋体" w:ascii="Times New Roman" w:hAnsi="Times New Roman"/>
              </w:rPr>
              <w:t>非电离辐射、床旁可及，无禁忌；结果决定后续辐射检查与降糖方案（胰岛素为妊娠期首选）</w:t>
            </w:r>
          </w:p>
        </w:tc>
      </w:tr>
    </w:tbl>
    <w:p>
      <w:pPr>
        <w:spacing w:after="40"/>
      </w:pPr>
    </w:p>
    <w:p>
      <w:pPr>
        <w:pStyle w:val="Heading2"/>
        <w:spacing w:before="160" w:after="100"/>
      </w:pPr>
      <w:r>
        <w:rPr>
          <w:rFonts w:eastAsia="宋体" w:ascii="Times New Roman" w:hAnsi="Times New Roman"/>
        </w:rPr>
        <w:t>1.3 结果未回报期间：可下达的诊断层级（不得越级）</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474"/>
            <w:shd w:val="clear" w:color="auto" w:fill="DCE6F1"/>
          </w:tcPr>
          <w:p>
            <w:pPr>
              <w:spacing w:after="20"/>
            </w:pPr>
            <w:r/>
            <w:r>
              <w:rPr>
                <w:b/>
                <w:sz w:val="17"/>
                <w:rFonts w:eastAsia="宋体" w:ascii="Times New Roman" w:hAnsi="Times New Roman"/>
              </w:rPr>
              <w:t>层级</w:t>
            </w:r>
          </w:p>
        </w:tc>
        <w:tc>
          <w:tcPr>
            <w:tcW w:type="dxa" w:w="3515"/>
            <w:shd w:val="clear" w:color="auto" w:fill="DCE6F1"/>
          </w:tcPr>
          <w:p>
            <w:pPr>
              <w:spacing w:after="20"/>
            </w:pPr>
            <w:r/>
            <w:r>
              <w:rPr>
                <w:b/>
                <w:sz w:val="17"/>
                <w:rFonts w:eastAsia="宋体" w:ascii="Times New Roman" w:hAnsi="Times New Roman"/>
              </w:rPr>
              <w:t>当前可写出的表述</w:t>
            </w:r>
          </w:p>
        </w:tc>
        <w:tc>
          <w:tcPr>
            <w:tcW w:type="dxa" w:w="2494"/>
            <w:shd w:val="clear" w:color="auto" w:fill="DCE6F1"/>
          </w:tcPr>
          <w:p>
            <w:pPr>
              <w:spacing w:after="20"/>
            </w:pPr>
            <w:r/>
            <w:r>
              <w:rPr>
                <w:b/>
                <w:sz w:val="17"/>
                <w:rFonts w:eastAsia="宋体" w:ascii="Times New Roman" w:hAnsi="Times New Roman"/>
              </w:rPr>
              <w:t>依据</w:t>
            </w:r>
          </w:p>
        </w:tc>
        <w:tc>
          <w:tcPr>
            <w:tcW w:type="dxa" w:w="1928"/>
            <w:shd w:val="clear" w:color="auto" w:fill="DCE6F1"/>
          </w:tcPr>
          <w:p>
            <w:pPr>
              <w:spacing w:after="20"/>
            </w:pPr>
            <w:r/>
            <w:r>
              <w:rPr>
                <w:b/>
                <w:sz w:val="17"/>
                <w:rFonts w:eastAsia="宋体" w:ascii="Times New Roman" w:hAnsi="Times New Roman"/>
              </w:rPr>
              <w:t>不可写出的表述</w:t>
            </w:r>
          </w:p>
        </w:tc>
      </w:tr>
      <w:tr>
        <w:tc>
          <w:tcPr>
            <w:tcW w:type="dxa" w:w="1474"/>
          </w:tcPr>
          <w:p>
            <w:pPr>
              <w:spacing w:after="20"/>
            </w:pPr>
            <w:r/>
            <w:r>
              <w:rPr>
                <w:sz w:val="17"/>
                <w:rFonts w:eastAsia="宋体" w:ascii="Times New Roman" w:hAnsi="Times New Roman"/>
              </w:rPr>
              <w:t>L0 可确立</w:t>
            </w:r>
          </w:p>
        </w:tc>
        <w:tc>
          <w:tcPr>
            <w:tcW w:type="dxa" w:w="3515"/>
          </w:tcPr>
          <w:p>
            <w:pPr>
              <w:spacing w:after="20"/>
            </w:pPr>
            <w:r/>
            <w:r>
              <w:rPr>
                <w:sz w:val="17"/>
                <w:rFonts w:eastAsia="宋体" w:ascii="Times New Roman" w:hAnsi="Times New Roman"/>
              </w:rPr>
              <w:t>① 显著高血糖状态（依据：三日前门诊记录与既往转录，本次指血血糖待查确认）；② 糖尿病（依据：三日前外院门诊诊断记录）；③ 多饮多尿 3 年余，未定量（依据：入院病史）；④ 体重 1 月内下降 5 kg；⑤ 晶状体脱位（既往 1 年）与马凡样体征（拇指征、腕征阳性，臂展/身高 1.030，下部量&gt;上部量，脊柱可疑侧弯，拇外翻）</w:t>
            </w:r>
          </w:p>
        </w:tc>
        <w:tc>
          <w:tcPr>
            <w:tcW w:type="dxa" w:w="2494"/>
          </w:tcPr>
          <w:p>
            <w:pPr>
              <w:spacing w:after="20"/>
            </w:pPr>
            <w:r/>
            <w:r>
              <w:rPr>
                <w:sz w:val="17"/>
                <w:rFonts w:eastAsia="宋体" w:ascii="Times New Roman" w:hAnsi="Times New Roman"/>
              </w:rPr>
              <w:t>入院病史与查体 + 外院转录病程</w:t>
            </w:r>
          </w:p>
        </w:tc>
        <w:tc>
          <w:tcPr>
            <w:tcW w:type="dxa" w:w="1928"/>
          </w:tcPr>
          <w:p>
            <w:pPr>
              <w:spacing w:after="20"/>
            </w:pPr>
            <w:r/>
            <w:r>
              <w:rPr>
                <w:sz w:val="17"/>
                <w:rFonts w:eastAsia="宋体" w:ascii="Times New Roman" w:hAnsi="Times New Roman"/>
              </w:rPr>
              <w:t>不得写“糖尿病酮症酸中毒”“高渗高血糖状态”“已分型糖尿病”</w:t>
            </w:r>
          </w:p>
        </w:tc>
      </w:tr>
      <w:tr>
        <w:tc>
          <w:tcPr>
            <w:tcW w:type="dxa" w:w="1474"/>
          </w:tcPr>
          <w:p>
            <w:pPr>
              <w:spacing w:after="20"/>
            </w:pPr>
            <w:r/>
            <w:r>
              <w:rPr>
                <w:sz w:val="17"/>
                <w:rFonts w:eastAsia="宋体" w:ascii="Times New Roman" w:hAnsi="Times New Roman"/>
              </w:rPr>
              <w:t>L1 高度疑似（待第一批结果确认）</w:t>
            </w:r>
          </w:p>
        </w:tc>
        <w:tc>
          <w:tcPr>
            <w:tcW w:type="dxa" w:w="3515"/>
          </w:tcPr>
          <w:p>
            <w:pPr>
              <w:spacing w:after="20"/>
            </w:pPr>
            <w:r/>
            <w:r>
              <w:rPr>
                <w:sz w:val="17"/>
                <w:rFonts w:eastAsia="宋体" w:ascii="Times New Roman" w:hAnsi="Times New Roman"/>
              </w:rPr>
              <w:t>“疑似急性高血糖危象（DKA 和/或 HHS），待血气、血 β-羟丁酸、血渗透压回报确认”</w:t>
            </w:r>
          </w:p>
        </w:tc>
        <w:tc>
          <w:tcPr>
            <w:tcW w:type="dxa" w:w="2494"/>
          </w:tcPr>
          <w:p>
            <w:pPr>
              <w:spacing w:after="20"/>
            </w:pPr>
            <w:r/>
            <w:r>
              <w:rPr>
                <w:sz w:val="17"/>
                <w:rFonts w:eastAsia="宋体" w:ascii="Times New Roman" w:hAnsi="Times New Roman"/>
              </w:rPr>
              <w:t>既往转录 HbA1c 14.6%、空腹血糖 21.7 mmol/L、尿酮 +，加上本次症状；但无本次样本</w:t>
            </w:r>
          </w:p>
        </w:tc>
        <w:tc>
          <w:tcPr>
            <w:tcW w:type="dxa" w:w="1928"/>
          </w:tcPr>
          <w:p>
            <w:pPr>
              <w:spacing w:after="20"/>
            </w:pPr>
            <w:r/>
            <w:r>
              <w:rPr>
                <w:sz w:val="17"/>
                <w:rFonts w:eastAsia="宋体" w:ascii="Times New Roman" w:hAnsi="Times New Roman"/>
              </w:rPr>
              <w:t>不得写成确诊危象，不得写入具体分型数值</w:t>
            </w:r>
          </w:p>
        </w:tc>
      </w:tr>
      <w:tr>
        <w:tc>
          <w:tcPr>
            <w:tcW w:type="dxa" w:w="1474"/>
          </w:tcPr>
          <w:p>
            <w:pPr>
              <w:spacing w:after="20"/>
            </w:pPr>
            <w:r/>
            <w:r>
              <w:rPr>
                <w:sz w:val="17"/>
                <w:rFonts w:eastAsia="宋体" w:ascii="Times New Roman" w:hAnsi="Times New Roman"/>
              </w:rPr>
              <w:t>L2 待分型</w:t>
            </w:r>
          </w:p>
        </w:tc>
        <w:tc>
          <w:tcPr>
            <w:tcW w:type="dxa" w:w="3515"/>
          </w:tcPr>
          <w:p>
            <w:pPr>
              <w:spacing w:after="20"/>
            </w:pPr>
            <w:r/>
            <w:r>
              <w:rPr>
                <w:sz w:val="17"/>
                <w:rFonts w:eastAsia="宋体" w:ascii="Times New Roman" w:hAnsi="Times New Roman"/>
              </w:rPr>
              <w:t>“糖尿病，分型待定（1 型 / 2 型 / 胰源性 / 特殊类型）”；“多饮多尿，病因待查（渗透性利尿 vs 尿崩症 vs 原发性烦渴）”</w:t>
            </w:r>
          </w:p>
        </w:tc>
        <w:tc>
          <w:tcPr>
            <w:tcW w:type="dxa" w:w="2494"/>
          </w:tcPr>
          <w:p>
            <w:pPr>
              <w:spacing w:after="20"/>
            </w:pPr>
            <w:r/>
            <w:r>
              <w:rPr>
                <w:sz w:val="17"/>
                <w:rFonts w:eastAsia="宋体" w:ascii="Times New Roman" w:hAnsi="Times New Roman"/>
              </w:rPr>
              <w:t>分型与多尿病因检查均须在急性代谢紊乱纠正后实施（规则 2.1、2.2）</w:t>
            </w:r>
          </w:p>
        </w:tc>
        <w:tc>
          <w:tcPr>
            <w:tcW w:type="dxa" w:w="1928"/>
          </w:tcPr>
          <w:p>
            <w:pPr>
              <w:spacing w:after="20"/>
            </w:pPr>
            <w:r/>
            <w:r>
              <w:rPr>
                <w:sz w:val="17"/>
                <w:rFonts w:eastAsia="宋体" w:ascii="Times New Roman" w:hAnsi="Times New Roman"/>
              </w:rPr>
              <w:t>不得仅凭交班摘要或年龄/体型推定分型</w:t>
            </w:r>
          </w:p>
        </w:tc>
      </w:tr>
      <w:tr>
        <w:tc>
          <w:tcPr>
            <w:tcW w:type="dxa" w:w="1474"/>
          </w:tcPr>
          <w:p>
            <w:pPr>
              <w:spacing w:after="20"/>
            </w:pPr>
            <w:r/>
            <w:r>
              <w:rPr>
                <w:sz w:val="17"/>
                <w:rFonts w:eastAsia="宋体" w:ascii="Times New Roman" w:hAnsi="Times New Roman"/>
              </w:rPr>
              <w:t>L3 待排除</w:t>
            </w:r>
          </w:p>
        </w:tc>
        <w:tc>
          <w:tcPr>
            <w:tcW w:type="dxa" w:w="3515"/>
          </w:tcPr>
          <w:p>
            <w:pPr>
              <w:spacing w:after="20"/>
            </w:pPr>
            <w:r/>
            <w:r>
              <w:rPr>
                <w:sz w:val="17"/>
                <w:rFonts w:eastAsia="宋体" w:ascii="Times New Roman" w:hAnsi="Times New Roman"/>
              </w:rPr>
              <w:t>“需排除：DKA、HHS、混合型危象、感染诱因、肾上腺功能不全、甲状腺功能异常、妊娠相关高血糖、MODY/单基因糖尿病、马凡综合征与 Loeys-Dietz 等遗传性主动脉病”</w:t>
            </w:r>
          </w:p>
        </w:tc>
        <w:tc>
          <w:tcPr>
            <w:tcW w:type="dxa" w:w="2494"/>
          </w:tcPr>
          <w:p>
            <w:pPr>
              <w:spacing w:after="20"/>
            </w:pPr>
            <w:r/>
            <w:r>
              <w:rPr>
                <w:sz w:val="17"/>
                <w:rFonts w:eastAsia="宋体" w:ascii="Times New Roman" w:hAnsi="Times New Roman"/>
              </w:rPr>
              <w:t>均未获得本次样本或专科检查支持</w:t>
            </w:r>
          </w:p>
        </w:tc>
        <w:tc>
          <w:tcPr>
            <w:tcW w:type="dxa" w:w="1928"/>
          </w:tcPr>
          <w:p>
            <w:pPr>
              <w:spacing w:after="20"/>
            </w:pPr>
            <w:r/>
            <w:r>
              <w:rPr>
                <w:sz w:val="17"/>
                <w:rFonts w:eastAsia="宋体" w:ascii="Times New Roman" w:hAnsi="Times New Roman"/>
              </w:rPr>
              <w:t>“需要排除”不等于确诊，也不得据此直接启动针对性治疗</w:t>
            </w:r>
          </w:p>
        </w:tc>
      </w:tr>
    </w:tbl>
    <w:p>
      <w:pPr>
        <w:spacing w:after="40"/>
      </w:pPr>
    </w:p>
    <w:p>
      <w:pPr>
        <w:spacing w:after="80"/>
      </w:pPr>
      <w:r>
        <w:rPr>
          <w:b w:val="0"/>
          <w:i/>
          <w:sz w:val="19"/>
          <w:rFonts w:eastAsia="宋体" w:ascii="Times New Roman" w:hAnsi="Times New Roman"/>
        </w:rPr>
        <w:t>结论边界：本阶段所有诊断均为“状态性/描述性”表述；危象诊断、糖尿病分型、多尿病因与遗传性结缔组织病诊断，一律推迟至相应证据回报后，并在正式报告中同步更新。</w:t>
      </w:r>
    </w:p>
    <w:p>
      <w:r>
        <w:br w:type="page"/>
      </w:r>
    </w:p>
    <w:p>
      <w:pPr>
        <w:pStyle w:val="Heading1"/>
        <w:spacing w:before="200" w:after="100"/>
      </w:pPr>
      <w:r>
        <w:rPr>
          <w:rFonts w:eastAsia="宋体" w:ascii="Times New Roman" w:hAnsi="Times New Roman"/>
        </w:rPr>
        <w:t>第二部分　病情稳定后（急性代谢紊乱纠正后 24–72 小时起）</w:t>
      </w:r>
    </w:p>
    <w:p>
      <w:pPr>
        <w:spacing w:after="80"/>
      </w:pPr>
      <w:r>
        <w:rPr>
          <w:b w:val="0"/>
          <w:i w:val="0"/>
          <w:sz w:val="20"/>
          <w:rFonts w:eastAsia="宋体" w:ascii="Times New Roman" w:hAnsi="Times New Roman"/>
        </w:rPr>
        <w:t>进入本阶段的前置条件（须同时满足）：① 血糖、血酮、酸碱与电解质已纠正并稳定；② 已脱离静脉胰岛素/危象监护路径；③ 可正常进食饮水；④ 妊娠状态已核实。未满足前置条件时，本阶段项目一律仅列为“计划”，不得执行。</w:t>
      </w:r>
    </w:p>
    <w:p>
      <w:pPr>
        <w:pStyle w:val="Heading2"/>
        <w:spacing w:before="160" w:after="100"/>
      </w:pPr>
      <w:r>
        <w:rPr>
          <w:rFonts w:eastAsia="宋体" w:ascii="Times New Roman" w:hAnsi="Times New Roman"/>
        </w:rPr>
        <w:t>2.1 糖尿病分型（按序推进，先床旁/无创，后有创或需适应证）</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567"/>
            <w:shd w:val="clear" w:color="auto" w:fill="DCE6F1"/>
          </w:tcPr>
          <w:p>
            <w:pPr>
              <w:spacing w:after="20"/>
            </w:pPr>
            <w:r/>
            <w:r>
              <w:rPr>
                <w:b/>
                <w:sz w:val="17"/>
                <w:rFonts w:eastAsia="宋体" w:ascii="Times New Roman" w:hAnsi="Times New Roman"/>
              </w:rPr>
              <w:t>序</w:t>
            </w:r>
          </w:p>
        </w:tc>
        <w:tc>
          <w:tcPr>
            <w:tcW w:type="dxa" w:w="2381"/>
            <w:shd w:val="clear" w:color="auto" w:fill="DCE6F1"/>
          </w:tcPr>
          <w:p>
            <w:pPr>
              <w:spacing w:after="20"/>
            </w:pPr>
            <w:r/>
            <w:r>
              <w:rPr>
                <w:b/>
                <w:sz w:val="17"/>
                <w:rFonts w:eastAsia="宋体" w:ascii="Times New Roman" w:hAnsi="Times New Roman"/>
              </w:rPr>
              <w:t>检查项目</w:t>
            </w:r>
          </w:p>
        </w:tc>
        <w:tc>
          <w:tcPr>
            <w:tcW w:type="dxa" w:w="2041"/>
            <w:shd w:val="clear" w:color="auto" w:fill="DCE6F1"/>
          </w:tcPr>
          <w:p>
            <w:pPr>
              <w:spacing w:after="20"/>
            </w:pPr>
            <w:r/>
            <w:r>
              <w:rPr>
                <w:b/>
                <w:sz w:val="17"/>
                <w:rFonts w:eastAsia="宋体" w:ascii="Times New Roman" w:hAnsi="Times New Roman"/>
              </w:rPr>
              <w:t>目的</w:t>
            </w:r>
          </w:p>
        </w:tc>
        <w:tc>
          <w:tcPr>
            <w:tcW w:type="dxa" w:w="1474"/>
            <w:shd w:val="clear" w:color="auto" w:fill="DCE6F1"/>
          </w:tcPr>
          <w:p>
            <w:pPr>
              <w:spacing w:after="20"/>
            </w:pPr>
            <w:r/>
            <w:r>
              <w:rPr>
                <w:b/>
                <w:sz w:val="17"/>
                <w:rFonts w:eastAsia="宋体" w:ascii="Times New Roman" w:hAnsi="Times New Roman"/>
              </w:rPr>
              <w:t>类别</w:t>
            </w:r>
          </w:p>
        </w:tc>
        <w:tc>
          <w:tcPr>
            <w:tcW w:type="dxa" w:w="3515"/>
            <w:shd w:val="clear" w:color="auto" w:fill="DCE6F1"/>
          </w:tcPr>
          <w:p>
            <w:pPr>
              <w:spacing w:after="20"/>
            </w:pPr>
            <w:r/>
            <w:r>
              <w:rPr>
                <w:b/>
                <w:sz w:val="17"/>
                <w:rFonts w:eastAsia="宋体" w:ascii="Times New Roman" w:hAnsi="Times New Roman"/>
              </w:rPr>
              <w:t>触发条件与结论边界</w:t>
            </w:r>
          </w:p>
        </w:tc>
      </w:tr>
      <w:tr>
        <w:tc>
          <w:tcPr>
            <w:tcW w:type="dxa" w:w="567"/>
          </w:tcPr>
          <w:p>
            <w:pPr>
              <w:spacing w:after="20"/>
            </w:pPr>
            <w:r/>
            <w:r>
              <w:rPr>
                <w:sz w:val="17"/>
                <w:rFonts w:eastAsia="宋体" w:ascii="Times New Roman" w:hAnsi="Times New Roman"/>
              </w:rPr>
              <w:t>B1</w:t>
            </w:r>
          </w:p>
        </w:tc>
        <w:tc>
          <w:tcPr>
            <w:tcW w:type="dxa" w:w="2381"/>
          </w:tcPr>
          <w:p>
            <w:pPr>
              <w:spacing w:after="20"/>
            </w:pPr>
            <w:r/>
            <w:r>
              <w:rPr>
                <w:sz w:val="17"/>
                <w:rFonts w:eastAsia="宋体" w:ascii="Times New Roman" w:hAnsi="Times New Roman"/>
              </w:rPr>
              <w:t>空腹 + 餐后 2 小时血糖谱、连续血糖监测（CGM，如可及）</w:t>
            </w:r>
          </w:p>
        </w:tc>
        <w:tc>
          <w:tcPr>
            <w:tcW w:type="dxa" w:w="2041"/>
          </w:tcPr>
          <w:p>
            <w:pPr>
              <w:spacing w:after="20"/>
            </w:pPr>
            <w:r/>
            <w:r>
              <w:rPr>
                <w:sz w:val="17"/>
                <w:rFonts w:eastAsia="宋体" w:ascii="Times New Roman" w:hAnsi="Times New Roman"/>
              </w:rPr>
              <w:t>刻画血糖波动与胰岛素需求量；区分空腹主导型与餐后主导型</w:t>
            </w:r>
          </w:p>
        </w:tc>
        <w:tc>
          <w:tcPr>
            <w:tcW w:type="dxa" w:w="1474"/>
          </w:tcPr>
          <w:p>
            <w:pPr>
              <w:spacing w:after="20"/>
            </w:pPr>
            <w:r/>
            <w:r>
              <w:rPr>
                <w:sz w:val="17"/>
                <w:rFonts w:eastAsia="宋体" w:ascii="Times New Roman" w:hAnsi="Times New Roman"/>
              </w:rPr>
              <w:t>常规床旁</w:t>
            </w:r>
          </w:p>
        </w:tc>
        <w:tc>
          <w:tcPr>
            <w:tcW w:type="dxa" w:w="3515"/>
          </w:tcPr>
          <w:p>
            <w:pPr>
              <w:spacing w:after="20"/>
            </w:pPr>
            <w:r/>
            <w:r>
              <w:rPr>
                <w:sz w:val="17"/>
                <w:rFonts w:eastAsia="宋体" w:ascii="Times New Roman" w:hAnsi="Times New Roman"/>
              </w:rPr>
              <w:t>稳定后即做；CGM 结果不用于分型，仅用于方案调整</w:t>
            </w:r>
          </w:p>
        </w:tc>
      </w:tr>
      <w:tr>
        <w:tc>
          <w:tcPr>
            <w:tcW w:type="dxa" w:w="567"/>
          </w:tcPr>
          <w:p>
            <w:pPr>
              <w:spacing w:after="20"/>
            </w:pPr>
            <w:r/>
            <w:r>
              <w:rPr>
                <w:sz w:val="17"/>
                <w:rFonts w:eastAsia="宋体" w:ascii="Times New Roman" w:hAnsi="Times New Roman"/>
              </w:rPr>
              <w:t>B2</w:t>
            </w:r>
          </w:p>
        </w:tc>
        <w:tc>
          <w:tcPr>
            <w:tcW w:type="dxa" w:w="2381"/>
          </w:tcPr>
          <w:p>
            <w:pPr>
              <w:spacing w:after="20"/>
            </w:pPr>
            <w:r/>
            <w:r>
              <w:rPr>
                <w:sz w:val="17"/>
                <w:rFonts w:eastAsia="宋体" w:ascii="Times New Roman" w:hAnsi="Times New Roman"/>
              </w:rPr>
              <w:t>HbA1c（本院，当前样本）+ 果糖胺（可选）</w:t>
            </w:r>
          </w:p>
        </w:tc>
        <w:tc>
          <w:tcPr>
            <w:tcW w:type="dxa" w:w="2041"/>
          </w:tcPr>
          <w:p>
            <w:pPr>
              <w:spacing w:after="20"/>
            </w:pPr>
            <w:r/>
            <w:r>
              <w:rPr>
                <w:sz w:val="17"/>
                <w:rFonts w:eastAsia="宋体" w:ascii="Times New Roman" w:hAnsi="Times New Roman"/>
              </w:rPr>
              <w:t>确定近 2–3 个月平均血糖；与既往转录 14.6% 对比评估病程</w:t>
            </w:r>
          </w:p>
        </w:tc>
        <w:tc>
          <w:tcPr>
            <w:tcW w:type="dxa" w:w="1474"/>
          </w:tcPr>
          <w:p>
            <w:pPr>
              <w:spacing w:after="20"/>
            </w:pPr>
            <w:r/>
            <w:r>
              <w:rPr>
                <w:sz w:val="17"/>
                <w:rFonts w:eastAsia="宋体" w:ascii="Times New Roman" w:hAnsi="Times New Roman"/>
              </w:rPr>
              <w:t>常规床旁</w:t>
            </w:r>
          </w:p>
        </w:tc>
        <w:tc>
          <w:tcPr>
            <w:tcW w:type="dxa" w:w="3515"/>
          </w:tcPr>
          <w:p>
            <w:pPr>
              <w:spacing w:after="20"/>
            </w:pPr>
            <w:r/>
            <w:r>
              <w:rPr>
                <w:sz w:val="17"/>
                <w:rFonts w:eastAsia="宋体" w:ascii="Times New Roman" w:hAnsi="Times New Roman"/>
              </w:rPr>
              <w:t>注意贫血、血红蛋白病可使 HbA1c 失真；不得以 HbA1c 单独分型</w:t>
            </w:r>
          </w:p>
        </w:tc>
      </w:tr>
      <w:tr>
        <w:tc>
          <w:tcPr>
            <w:tcW w:type="dxa" w:w="567"/>
          </w:tcPr>
          <w:p>
            <w:pPr>
              <w:spacing w:after="20"/>
            </w:pPr>
            <w:r/>
            <w:r>
              <w:rPr>
                <w:sz w:val="17"/>
                <w:rFonts w:eastAsia="宋体" w:ascii="Times New Roman" w:hAnsi="Times New Roman"/>
              </w:rPr>
              <w:t>B3</w:t>
            </w:r>
          </w:p>
        </w:tc>
        <w:tc>
          <w:tcPr>
            <w:tcW w:type="dxa" w:w="2381"/>
          </w:tcPr>
          <w:p>
            <w:pPr>
              <w:spacing w:after="20"/>
            </w:pPr>
            <w:r/>
            <w:r>
              <w:rPr>
                <w:sz w:val="17"/>
                <w:rFonts w:eastAsia="宋体" w:ascii="Times New Roman" w:hAnsi="Times New Roman"/>
              </w:rPr>
              <w:t>空腹 C 肽 + 同步血糖；必要时行混合餐/标准餐刺激后 C 肽</w:t>
            </w:r>
          </w:p>
        </w:tc>
        <w:tc>
          <w:tcPr>
            <w:tcW w:type="dxa" w:w="2041"/>
          </w:tcPr>
          <w:p>
            <w:pPr>
              <w:spacing w:after="20"/>
            </w:pPr>
            <w:r/>
            <w:r>
              <w:rPr>
                <w:sz w:val="17"/>
                <w:rFonts w:eastAsia="宋体" w:ascii="Times New Roman" w:hAnsi="Times New Roman"/>
              </w:rPr>
              <w:t>评估内源性胰岛 β 细胞功能储备，是分型的核心依据</w:t>
            </w:r>
          </w:p>
        </w:tc>
        <w:tc>
          <w:tcPr>
            <w:tcW w:type="dxa" w:w="1474"/>
          </w:tcPr>
          <w:p>
            <w:pPr>
              <w:spacing w:after="20"/>
            </w:pPr>
            <w:r/>
            <w:r>
              <w:rPr>
                <w:sz w:val="17"/>
                <w:rFonts w:eastAsia="宋体" w:ascii="Times New Roman" w:hAnsi="Times New Roman"/>
              </w:rPr>
              <w:t>常规（有条件即做）</w:t>
            </w:r>
          </w:p>
        </w:tc>
        <w:tc>
          <w:tcPr>
            <w:tcW w:type="dxa" w:w="3515"/>
          </w:tcPr>
          <w:p>
            <w:pPr>
              <w:spacing w:after="20"/>
            </w:pPr>
            <w:r/>
            <w:r>
              <w:rPr>
                <w:sz w:val="17"/>
                <w:rFonts w:eastAsia="宋体" w:ascii="Times New Roman" w:hAnsi="Times New Roman"/>
              </w:rPr>
              <w:t>须在血糖相对稳定、无严重应激时采血；急性期 C 肽受应激与糖毒性抑制，不可用于分型</w:t>
            </w:r>
          </w:p>
        </w:tc>
      </w:tr>
      <w:tr>
        <w:tc>
          <w:tcPr>
            <w:tcW w:type="dxa" w:w="567"/>
          </w:tcPr>
          <w:p>
            <w:pPr>
              <w:spacing w:after="20"/>
            </w:pPr>
            <w:r/>
            <w:r>
              <w:rPr>
                <w:sz w:val="17"/>
                <w:rFonts w:eastAsia="宋体" w:ascii="Times New Roman" w:hAnsi="Times New Roman"/>
              </w:rPr>
              <w:t>B4</w:t>
            </w:r>
          </w:p>
        </w:tc>
        <w:tc>
          <w:tcPr>
            <w:tcW w:type="dxa" w:w="2381"/>
          </w:tcPr>
          <w:p>
            <w:pPr>
              <w:spacing w:after="20"/>
            </w:pPr>
            <w:r/>
            <w:r>
              <w:rPr>
                <w:sz w:val="17"/>
                <w:rFonts w:eastAsia="宋体" w:ascii="Times New Roman" w:hAnsi="Times New Roman"/>
              </w:rPr>
              <w:t>糖尿病自身抗体组合：GAD65、IA-2、ZnT8、胰岛素自身抗体（IAA）、胰岛细胞抗体（ICA）</w:t>
            </w:r>
          </w:p>
        </w:tc>
        <w:tc>
          <w:tcPr>
            <w:tcW w:type="dxa" w:w="2041"/>
          </w:tcPr>
          <w:p>
            <w:pPr>
              <w:spacing w:after="20"/>
            </w:pPr>
            <w:r/>
            <w:r>
              <w:rPr>
                <w:sz w:val="17"/>
                <w:rFonts w:eastAsia="宋体" w:ascii="Times New Roman" w:hAnsi="Times New Roman"/>
              </w:rPr>
              <w:t>确认自身免疫性（1 型）糖尿病；成人隐匿性自身免疫糖尿病（LADA）</w:t>
            </w:r>
          </w:p>
        </w:tc>
        <w:tc>
          <w:tcPr>
            <w:tcW w:type="dxa" w:w="1474"/>
          </w:tcPr>
          <w:p>
            <w:pPr>
              <w:spacing w:after="20"/>
            </w:pPr>
            <w:r/>
            <w:r>
              <w:rPr>
                <w:sz w:val="17"/>
                <w:rFonts w:eastAsia="宋体" w:ascii="Times New Roman" w:hAnsi="Times New Roman"/>
              </w:rPr>
              <w:t>有适应证才做</w:t>
            </w:r>
          </w:p>
        </w:tc>
        <w:tc>
          <w:tcPr>
            <w:tcW w:type="dxa" w:w="3515"/>
          </w:tcPr>
          <w:p>
            <w:pPr>
              <w:spacing w:after="20"/>
            </w:pPr>
            <w:r/>
            <w:r>
              <w:rPr>
                <w:sz w:val="17"/>
                <w:rFonts w:eastAsia="宋体" w:ascii="Times New Roman" w:hAnsi="Times New Roman"/>
              </w:rPr>
              <w:t>适应证：C 肽偏低/进行性下降、非肥胖体型、起病急、酮症倾向（本次已有尿酮 +）、自身免疫病背景（桥本甲状腺炎）；抗体阴性不排除 1 型，阳性亦可见于少数 2 型</w:t>
            </w:r>
          </w:p>
        </w:tc>
      </w:tr>
      <w:tr>
        <w:tc>
          <w:tcPr>
            <w:tcW w:type="dxa" w:w="567"/>
          </w:tcPr>
          <w:p>
            <w:pPr>
              <w:spacing w:after="20"/>
            </w:pPr>
            <w:r/>
            <w:r>
              <w:rPr>
                <w:sz w:val="17"/>
                <w:rFonts w:eastAsia="宋体" w:ascii="Times New Roman" w:hAnsi="Times New Roman"/>
              </w:rPr>
              <w:t>B5</w:t>
            </w:r>
          </w:p>
        </w:tc>
        <w:tc>
          <w:tcPr>
            <w:tcW w:type="dxa" w:w="2381"/>
          </w:tcPr>
          <w:p>
            <w:pPr>
              <w:spacing w:after="20"/>
            </w:pPr>
            <w:r/>
            <w:r>
              <w:rPr>
                <w:sz w:val="17"/>
                <w:rFonts w:eastAsia="宋体" w:ascii="Times New Roman" w:hAnsi="Times New Roman"/>
              </w:rPr>
              <w:t>甲状腺自身抗体（TPOAb、TgAb）+ 甲状腺功能</w:t>
            </w:r>
          </w:p>
        </w:tc>
        <w:tc>
          <w:tcPr>
            <w:tcW w:type="dxa" w:w="2041"/>
          </w:tcPr>
          <w:p>
            <w:pPr>
              <w:spacing w:after="20"/>
            </w:pPr>
            <w:r/>
            <w:r>
              <w:rPr>
                <w:sz w:val="17"/>
                <w:rFonts w:eastAsia="宋体" w:ascii="Times New Roman" w:hAnsi="Times New Roman"/>
              </w:rPr>
              <w:t>桥本甲状腺炎与自身免疫多腺体综合征背景；与 B4 互为线索</w:t>
            </w:r>
          </w:p>
        </w:tc>
        <w:tc>
          <w:tcPr>
            <w:tcW w:type="dxa" w:w="1474"/>
          </w:tcPr>
          <w:p>
            <w:pPr>
              <w:spacing w:after="20"/>
            </w:pPr>
            <w:r/>
            <w:r>
              <w:rPr>
                <w:sz w:val="17"/>
                <w:rFonts w:eastAsia="宋体" w:ascii="Times New Roman" w:hAnsi="Times New Roman"/>
              </w:rPr>
              <w:t>有适应证才做（本例有桥本史，属高优先）</w:t>
            </w:r>
          </w:p>
        </w:tc>
        <w:tc>
          <w:tcPr>
            <w:tcW w:type="dxa" w:w="3515"/>
          </w:tcPr>
          <w:p>
            <w:pPr>
              <w:spacing w:after="20"/>
            </w:pPr>
            <w:r/>
            <w:r>
              <w:rPr>
                <w:sz w:val="17"/>
                <w:rFonts w:eastAsia="宋体" w:ascii="Times New Roman" w:hAnsi="Times New Roman"/>
              </w:rPr>
              <w:t>与 2.3 合并完成，避免重复采血</w:t>
            </w:r>
          </w:p>
        </w:tc>
      </w:tr>
      <w:tr>
        <w:tc>
          <w:tcPr>
            <w:tcW w:type="dxa" w:w="567"/>
          </w:tcPr>
          <w:p>
            <w:pPr>
              <w:spacing w:after="20"/>
            </w:pPr>
            <w:r/>
            <w:r>
              <w:rPr>
                <w:sz w:val="17"/>
                <w:rFonts w:eastAsia="宋体" w:ascii="Times New Roman" w:hAnsi="Times New Roman"/>
              </w:rPr>
              <w:t>B6</w:t>
            </w:r>
          </w:p>
        </w:tc>
        <w:tc>
          <w:tcPr>
            <w:tcW w:type="dxa" w:w="2381"/>
          </w:tcPr>
          <w:p>
            <w:pPr>
              <w:spacing w:after="20"/>
            </w:pPr>
            <w:r/>
            <w:r>
              <w:rPr>
                <w:sz w:val="17"/>
                <w:rFonts w:eastAsia="宋体" w:ascii="Times New Roman" w:hAnsi="Times New Roman"/>
              </w:rPr>
              <w:t>胰腺影像（腹部超声为首选；必要时 MRI/MRCP）</w:t>
            </w:r>
          </w:p>
        </w:tc>
        <w:tc>
          <w:tcPr>
            <w:tcW w:type="dxa" w:w="2041"/>
          </w:tcPr>
          <w:p>
            <w:pPr>
              <w:spacing w:after="20"/>
            </w:pPr>
            <w:r/>
            <w:r>
              <w:rPr>
                <w:sz w:val="17"/>
                <w:rFonts w:eastAsia="宋体" w:ascii="Times New Roman" w:hAnsi="Times New Roman"/>
              </w:rPr>
              <w:t>排查胰源性糖尿病（慢性胰腺炎、胰腺肿瘤、血色病）</w:t>
            </w:r>
          </w:p>
        </w:tc>
        <w:tc>
          <w:tcPr>
            <w:tcW w:type="dxa" w:w="1474"/>
          </w:tcPr>
          <w:p>
            <w:pPr>
              <w:spacing w:after="20"/>
            </w:pPr>
            <w:r/>
            <w:r>
              <w:rPr>
                <w:sz w:val="17"/>
                <w:rFonts w:eastAsia="宋体" w:ascii="Times New Roman" w:hAnsi="Times New Roman"/>
              </w:rPr>
              <w:t>有适应证才做</w:t>
            </w:r>
          </w:p>
        </w:tc>
        <w:tc>
          <w:tcPr>
            <w:tcW w:type="dxa" w:w="3515"/>
          </w:tcPr>
          <w:p>
            <w:pPr>
              <w:spacing w:after="20"/>
            </w:pPr>
            <w:r/>
            <w:r>
              <w:rPr>
                <w:sz w:val="17"/>
                <w:rFonts w:eastAsia="宋体" w:ascii="Times New Roman" w:hAnsi="Times New Roman"/>
              </w:rPr>
              <w:t>适应证：无典型 1/2 型特征、有饮酒/胆胰病史、影像学或消化症状提示；CT 属电离辐射，须先妊娠核实</w:t>
            </w:r>
          </w:p>
        </w:tc>
      </w:tr>
      <w:tr>
        <w:tc>
          <w:tcPr>
            <w:tcW w:type="dxa" w:w="567"/>
          </w:tcPr>
          <w:p>
            <w:pPr>
              <w:spacing w:after="20"/>
            </w:pPr>
            <w:r/>
            <w:r>
              <w:rPr>
                <w:sz w:val="17"/>
                <w:rFonts w:eastAsia="宋体" w:ascii="Times New Roman" w:hAnsi="Times New Roman"/>
              </w:rPr>
              <w:t>B7</w:t>
            </w:r>
          </w:p>
        </w:tc>
        <w:tc>
          <w:tcPr>
            <w:tcW w:type="dxa" w:w="2381"/>
          </w:tcPr>
          <w:p>
            <w:pPr>
              <w:spacing w:after="20"/>
            </w:pPr>
            <w:r/>
            <w:r>
              <w:rPr>
                <w:sz w:val="17"/>
                <w:rFonts w:eastAsia="宋体" w:ascii="Times New Roman" w:hAnsi="Times New Roman"/>
              </w:rPr>
              <w:t>单基因糖尿病/MODY 基因检测（panel）</w:t>
            </w:r>
          </w:p>
        </w:tc>
        <w:tc>
          <w:tcPr>
            <w:tcW w:type="dxa" w:w="2041"/>
          </w:tcPr>
          <w:p>
            <w:pPr>
              <w:spacing w:after="20"/>
            </w:pPr>
            <w:r/>
            <w:r>
              <w:rPr>
                <w:sz w:val="17"/>
                <w:rFonts w:eastAsia="宋体" w:ascii="Times New Roman" w:hAnsi="Times New Roman"/>
              </w:rPr>
              <w:t>排查 MODY、新生儿糖尿病、线粒体糖尿病、综合征型糖尿病</w:t>
            </w:r>
          </w:p>
        </w:tc>
        <w:tc>
          <w:tcPr>
            <w:tcW w:type="dxa" w:w="1474"/>
          </w:tcPr>
          <w:p>
            <w:pPr>
              <w:spacing w:after="20"/>
            </w:pPr>
            <w:r/>
            <w:r>
              <w:rPr>
                <w:sz w:val="17"/>
                <w:rFonts w:eastAsia="宋体" w:ascii="Times New Roman" w:hAnsi="Times New Roman"/>
              </w:rPr>
              <w:t>有适应证才做</w:t>
            </w:r>
          </w:p>
        </w:tc>
        <w:tc>
          <w:tcPr>
            <w:tcW w:type="dxa" w:w="3515"/>
          </w:tcPr>
          <w:p>
            <w:pPr>
              <w:spacing w:after="20"/>
            </w:pPr>
            <w:r/>
            <w:r>
              <w:rPr>
                <w:sz w:val="17"/>
                <w:rFonts w:eastAsia="宋体" w:ascii="Times New Roman" w:hAnsi="Times New Roman"/>
              </w:rPr>
              <w:t>适应证：家族多代常染色体显性遗传模式、抗体阴性且 C 肽保留、非肥胖、25 岁前起病或伴肾囊肿/听力损失/视神经萎缩等综合征表现；本例家族史仅“姥姥、姥爷患糖尿病”，不足以单独构成适应证</w:t>
            </w:r>
          </w:p>
        </w:tc>
      </w:tr>
      <w:tr>
        <w:tc>
          <w:tcPr>
            <w:tcW w:type="dxa" w:w="567"/>
          </w:tcPr>
          <w:p>
            <w:pPr>
              <w:spacing w:after="20"/>
            </w:pPr>
            <w:r/>
            <w:r>
              <w:rPr>
                <w:sz w:val="17"/>
                <w:rFonts w:eastAsia="宋体" w:ascii="Times New Roman" w:hAnsi="Times New Roman"/>
              </w:rPr>
              <w:t>B8</w:t>
            </w:r>
          </w:p>
        </w:tc>
        <w:tc>
          <w:tcPr>
            <w:tcW w:type="dxa" w:w="2381"/>
          </w:tcPr>
          <w:p>
            <w:pPr>
              <w:spacing w:after="20"/>
            </w:pPr>
            <w:r/>
            <w:r>
              <w:rPr>
                <w:sz w:val="17"/>
                <w:rFonts w:eastAsia="宋体" w:ascii="Times New Roman" w:hAnsi="Times New Roman"/>
              </w:rPr>
              <w:t>血乳酸、血氨基酸/酰基肉碱谱、尿有机酸（按线索）</w:t>
            </w:r>
          </w:p>
        </w:tc>
        <w:tc>
          <w:tcPr>
            <w:tcW w:type="dxa" w:w="2041"/>
          </w:tcPr>
          <w:p>
            <w:pPr>
              <w:spacing w:after="20"/>
            </w:pPr>
            <w:r/>
            <w:r>
              <w:rPr>
                <w:sz w:val="17"/>
                <w:rFonts w:eastAsia="宋体" w:ascii="Times New Roman" w:hAnsi="Times New Roman"/>
              </w:rPr>
              <w:t>排查代谢性/线粒体疾病相关糖尿病</w:t>
            </w:r>
          </w:p>
        </w:tc>
        <w:tc>
          <w:tcPr>
            <w:tcW w:type="dxa" w:w="1474"/>
          </w:tcPr>
          <w:p>
            <w:pPr>
              <w:spacing w:after="20"/>
            </w:pPr>
            <w:r/>
            <w:r>
              <w:rPr>
                <w:sz w:val="17"/>
                <w:rFonts w:eastAsia="宋体" w:ascii="Times New Roman" w:hAnsi="Times New Roman"/>
              </w:rPr>
              <w:t>有适应证才做</w:t>
            </w:r>
          </w:p>
        </w:tc>
        <w:tc>
          <w:tcPr>
            <w:tcW w:type="dxa" w:w="3515"/>
          </w:tcPr>
          <w:p>
            <w:pPr>
              <w:spacing w:after="20"/>
            </w:pPr>
            <w:r/>
            <w:r>
              <w:rPr>
                <w:sz w:val="17"/>
                <w:rFonts w:eastAsia="宋体" w:ascii="Times New Roman" w:hAnsi="Times New Roman"/>
              </w:rPr>
              <w:t>仅在 B7 提示或存在神经系统/肌病表现时</w:t>
            </w:r>
          </w:p>
        </w:tc>
      </w:tr>
    </w:tbl>
    <w:p>
      <w:pPr>
        <w:spacing w:after="40"/>
      </w:pPr>
    </w:p>
    <w:p>
      <w:pPr>
        <w:spacing w:after="80"/>
      </w:pPr>
      <w:r>
        <w:rPr>
          <w:b w:val="0"/>
          <w:i/>
          <w:sz w:val="19"/>
          <w:rFonts w:eastAsia="宋体" w:ascii="Times New Roman" w:hAnsi="Times New Roman"/>
        </w:rPr>
        <w:t>分型结论边界：在 B3、B4 回报前，仅写“糖尿病，分型待定”。即使抗体阳性或 C 肽低，也需结合临床表型与病程综合判断；不得以单一指标定型。</w:t>
      </w:r>
    </w:p>
    <w:p>
      <w:pPr>
        <w:pStyle w:val="Heading2"/>
        <w:spacing w:before="160" w:after="100"/>
      </w:pPr>
      <w:r>
        <w:rPr>
          <w:rFonts w:eastAsia="宋体" w:ascii="Times New Roman" w:hAnsi="Times New Roman"/>
        </w:rPr>
        <w:t>2.2 糖尿病慢性并发症评估（区分常规床旁筛查与有适应证才做）</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361"/>
            <w:shd w:val="clear" w:color="auto" w:fill="DCE6F1"/>
          </w:tcPr>
          <w:p>
            <w:pPr>
              <w:spacing w:after="20"/>
            </w:pPr>
            <w:r/>
            <w:r>
              <w:rPr>
                <w:b/>
                <w:sz w:val="17"/>
                <w:rFonts w:eastAsia="宋体" w:ascii="Times New Roman" w:hAnsi="Times New Roman"/>
              </w:rPr>
              <w:t>系统</w:t>
            </w:r>
          </w:p>
        </w:tc>
        <w:tc>
          <w:tcPr>
            <w:tcW w:type="dxa" w:w="2948"/>
            <w:shd w:val="clear" w:color="auto" w:fill="DCE6F1"/>
          </w:tcPr>
          <w:p>
            <w:pPr>
              <w:spacing w:after="20"/>
            </w:pPr>
            <w:r/>
            <w:r>
              <w:rPr>
                <w:b/>
                <w:sz w:val="17"/>
                <w:rFonts w:eastAsia="宋体" w:ascii="Times New Roman" w:hAnsi="Times New Roman"/>
              </w:rPr>
              <w:t>检查项目</w:t>
            </w:r>
          </w:p>
        </w:tc>
        <w:tc>
          <w:tcPr>
            <w:tcW w:type="dxa" w:w="1928"/>
            <w:shd w:val="clear" w:color="auto" w:fill="DCE6F1"/>
          </w:tcPr>
          <w:p>
            <w:pPr>
              <w:spacing w:after="20"/>
            </w:pPr>
            <w:r/>
            <w:r>
              <w:rPr>
                <w:b/>
                <w:sz w:val="17"/>
                <w:rFonts w:eastAsia="宋体" w:ascii="Times New Roman" w:hAnsi="Times New Roman"/>
              </w:rPr>
              <w:t>类别</w:t>
            </w:r>
          </w:p>
        </w:tc>
        <w:tc>
          <w:tcPr>
            <w:tcW w:type="dxa" w:w="3742"/>
            <w:shd w:val="clear" w:color="auto" w:fill="DCE6F1"/>
          </w:tcPr>
          <w:p>
            <w:pPr>
              <w:spacing w:after="20"/>
            </w:pPr>
            <w:r/>
            <w:r>
              <w:rPr>
                <w:b/>
                <w:sz w:val="17"/>
                <w:rFonts w:eastAsia="宋体" w:ascii="Times New Roman" w:hAnsi="Times New Roman"/>
              </w:rPr>
              <w:t>时序与触发条件</w:t>
            </w:r>
          </w:p>
        </w:tc>
      </w:tr>
      <w:tr>
        <w:tc>
          <w:tcPr>
            <w:tcW w:type="dxa" w:w="1361"/>
          </w:tcPr>
          <w:p>
            <w:pPr>
              <w:spacing w:after="20"/>
            </w:pPr>
            <w:r/>
            <w:r>
              <w:rPr>
                <w:sz w:val="17"/>
                <w:rFonts w:eastAsia="宋体" w:ascii="Times New Roman" w:hAnsi="Times New Roman"/>
              </w:rPr>
              <w:t>微血管—眼</w:t>
            </w:r>
          </w:p>
        </w:tc>
        <w:tc>
          <w:tcPr>
            <w:tcW w:type="dxa" w:w="2948"/>
          </w:tcPr>
          <w:p>
            <w:pPr>
              <w:spacing w:after="20"/>
            </w:pPr>
            <w:r/>
            <w:r>
              <w:rPr>
                <w:sz w:val="17"/>
                <w:rFonts w:eastAsia="宋体" w:ascii="Times New Roman" w:hAnsi="Times New Roman"/>
              </w:rPr>
              <w:t>散瞳眼底检查或免散瞳眼底照相；必要时 OCT、荧光血管造影</w:t>
            </w:r>
          </w:p>
        </w:tc>
        <w:tc>
          <w:tcPr>
            <w:tcW w:type="dxa" w:w="1928"/>
          </w:tcPr>
          <w:p>
            <w:pPr>
              <w:spacing w:after="20"/>
            </w:pPr>
            <w:r/>
            <w:r>
              <w:rPr>
                <w:sz w:val="17"/>
                <w:rFonts w:eastAsia="宋体" w:ascii="Times New Roman" w:hAnsi="Times New Roman"/>
              </w:rPr>
              <w:t>常规（稳定后尽早，因既往有晶状体脱位，眼科评估优先级提高）</w:t>
            </w:r>
          </w:p>
        </w:tc>
        <w:tc>
          <w:tcPr>
            <w:tcW w:type="dxa" w:w="3742"/>
          </w:tcPr>
          <w:p>
            <w:pPr>
              <w:spacing w:after="20"/>
            </w:pPr>
            <w:r/>
            <w:r>
              <w:rPr>
                <w:sz w:val="17"/>
                <w:rFonts w:eastAsia="宋体" w:ascii="Times New Roman" w:hAnsi="Times New Roman"/>
              </w:rPr>
              <w:t>晶状体脱位需与高血糖所致屈光改变、糖尿病视网膜病变、以及遗传性结缔组织病相关眼部表现鉴别；荧光血管造影为有创且有适应证才做</w:t>
            </w:r>
          </w:p>
        </w:tc>
      </w:tr>
      <w:tr>
        <w:tc>
          <w:tcPr>
            <w:tcW w:type="dxa" w:w="1361"/>
          </w:tcPr>
          <w:p>
            <w:pPr>
              <w:spacing w:after="20"/>
            </w:pPr>
            <w:r/>
            <w:r>
              <w:rPr>
                <w:sz w:val="17"/>
                <w:rFonts w:eastAsia="宋体" w:ascii="Times New Roman" w:hAnsi="Times New Roman"/>
              </w:rPr>
              <w:t>微血管—肾</w:t>
            </w:r>
          </w:p>
        </w:tc>
        <w:tc>
          <w:tcPr>
            <w:tcW w:type="dxa" w:w="2948"/>
          </w:tcPr>
          <w:p>
            <w:pPr>
              <w:spacing w:after="20"/>
            </w:pPr>
            <w:r/>
            <w:r>
              <w:rPr>
                <w:sz w:val="17"/>
                <w:rFonts w:eastAsia="宋体" w:ascii="Times New Roman" w:hAnsi="Times New Roman"/>
              </w:rPr>
              <w:t>尿白蛋白/肌酐比值（ACR，晨尿）、eGFR、尿沉渣</w:t>
            </w:r>
          </w:p>
        </w:tc>
        <w:tc>
          <w:tcPr>
            <w:tcW w:type="dxa" w:w="1928"/>
          </w:tcPr>
          <w:p>
            <w:pPr>
              <w:spacing w:after="20"/>
            </w:pPr>
            <w:r/>
            <w:r>
              <w:rPr>
                <w:sz w:val="17"/>
                <w:rFonts w:eastAsia="宋体" w:ascii="Times New Roman" w:hAnsi="Times New Roman"/>
              </w:rPr>
              <w:t>常规床旁</w:t>
            </w:r>
          </w:p>
        </w:tc>
        <w:tc>
          <w:tcPr>
            <w:tcW w:type="dxa" w:w="3742"/>
          </w:tcPr>
          <w:p>
            <w:pPr>
              <w:spacing w:after="20"/>
            </w:pPr>
            <w:r/>
            <w:r>
              <w:rPr>
                <w:sz w:val="17"/>
                <w:rFonts w:eastAsia="宋体" w:ascii="Times New Roman" w:hAnsi="Times New Roman"/>
              </w:rPr>
              <w:t>稳定后即做；需排除感染、剧烈运动、月经期、急性高血糖本身对尿白蛋白的一过性影响，异常者 3–6 个月后复查确认</w:t>
            </w:r>
          </w:p>
        </w:tc>
      </w:tr>
      <w:tr>
        <w:tc>
          <w:tcPr>
            <w:tcW w:type="dxa" w:w="1361"/>
          </w:tcPr>
          <w:p>
            <w:pPr>
              <w:spacing w:after="20"/>
            </w:pPr>
            <w:r/>
            <w:r>
              <w:rPr>
                <w:sz w:val="17"/>
                <w:rFonts w:eastAsia="宋体" w:ascii="Times New Roman" w:hAnsi="Times New Roman"/>
              </w:rPr>
              <w:t>微血管—神经</w:t>
            </w:r>
          </w:p>
        </w:tc>
        <w:tc>
          <w:tcPr>
            <w:tcW w:type="dxa" w:w="2948"/>
          </w:tcPr>
          <w:p>
            <w:pPr>
              <w:spacing w:after="20"/>
            </w:pPr>
            <w:r/>
            <w:r>
              <w:rPr>
                <w:sz w:val="17"/>
                <w:rFonts w:eastAsia="宋体" w:ascii="Times New Roman" w:hAnsi="Times New Roman"/>
              </w:rPr>
              <w:t>10 g 尼龙丝、128 Hz 音叉、振动阈值、踝反射、温度觉；必要时神经传导速度（NCV）</w:t>
            </w:r>
          </w:p>
        </w:tc>
        <w:tc>
          <w:tcPr>
            <w:tcW w:type="dxa" w:w="1928"/>
          </w:tcPr>
          <w:p>
            <w:pPr>
              <w:spacing w:after="20"/>
            </w:pPr>
            <w:r/>
            <w:r>
              <w:rPr>
                <w:sz w:val="17"/>
                <w:rFonts w:eastAsia="宋体" w:ascii="Times New Roman" w:hAnsi="Times New Roman"/>
              </w:rPr>
              <w:t>床旁筛查为常规；NCV 为有适应证才做</w:t>
            </w:r>
          </w:p>
        </w:tc>
        <w:tc>
          <w:tcPr>
            <w:tcW w:type="dxa" w:w="3742"/>
          </w:tcPr>
          <w:p>
            <w:pPr>
              <w:spacing w:after="20"/>
            </w:pPr>
            <w:r/>
            <w:r>
              <w:rPr>
                <w:sz w:val="17"/>
                <w:rFonts w:eastAsia="宋体" w:ascii="Times New Roman" w:hAnsi="Times New Roman"/>
              </w:rPr>
              <w:t>适应证：筛查异常、症状不典型需鉴别其他神经病；本例病史无肢端麻木，按筛查结果决定</w:t>
            </w:r>
          </w:p>
        </w:tc>
      </w:tr>
      <w:tr>
        <w:tc>
          <w:tcPr>
            <w:tcW w:type="dxa" w:w="1361"/>
          </w:tcPr>
          <w:p>
            <w:pPr>
              <w:spacing w:after="20"/>
            </w:pPr>
            <w:r/>
            <w:r>
              <w:rPr>
                <w:sz w:val="17"/>
                <w:rFonts w:eastAsia="宋体" w:ascii="Times New Roman" w:hAnsi="Times New Roman"/>
              </w:rPr>
              <w:t>大血管—心</w:t>
            </w:r>
          </w:p>
        </w:tc>
        <w:tc>
          <w:tcPr>
            <w:tcW w:type="dxa" w:w="2948"/>
          </w:tcPr>
          <w:p>
            <w:pPr>
              <w:spacing w:after="20"/>
            </w:pPr>
            <w:r/>
            <w:r>
              <w:rPr>
                <w:sz w:val="17"/>
                <w:rFonts w:eastAsia="宋体" w:ascii="Times New Roman" w:hAnsi="Times New Roman"/>
              </w:rPr>
              <w:t>静息 12 导联心电图（常规）；有适应证时行运动负荷试验、动态心电图、心脏超声</w:t>
            </w:r>
          </w:p>
        </w:tc>
        <w:tc>
          <w:tcPr>
            <w:tcW w:type="dxa" w:w="1928"/>
          </w:tcPr>
          <w:p>
            <w:pPr>
              <w:spacing w:after="20"/>
            </w:pPr>
            <w:r/>
            <w:r>
              <w:rPr>
                <w:sz w:val="17"/>
                <w:rFonts w:eastAsia="宋体" w:ascii="Times New Roman" w:hAnsi="Times New Roman"/>
              </w:rPr>
              <w:t>心电图常规；负荷试验有适应证才做</w:t>
            </w:r>
          </w:p>
        </w:tc>
        <w:tc>
          <w:tcPr>
            <w:tcW w:type="dxa" w:w="3742"/>
          </w:tcPr>
          <w:p>
            <w:pPr>
              <w:spacing w:after="20"/>
            </w:pPr>
            <w:r/>
            <w:r>
              <w:rPr>
                <w:sz w:val="17"/>
                <w:rFonts w:eastAsia="宋体" w:ascii="Times New Roman" w:hAnsi="Times New Roman"/>
              </w:rPr>
              <w:t>适应证：胸痛、心电图异常、高龄、多重危险因素或拟行运动计划；马凡样体征者心脏超声为必需项（见 4.2）</w:t>
            </w:r>
          </w:p>
        </w:tc>
      </w:tr>
      <w:tr>
        <w:tc>
          <w:tcPr>
            <w:tcW w:type="dxa" w:w="1361"/>
          </w:tcPr>
          <w:p>
            <w:pPr>
              <w:spacing w:after="20"/>
            </w:pPr>
            <w:r/>
            <w:r>
              <w:rPr>
                <w:sz w:val="17"/>
                <w:rFonts w:eastAsia="宋体" w:ascii="Times New Roman" w:hAnsi="Times New Roman"/>
              </w:rPr>
              <w:t>大血管—脑/外周</w:t>
            </w:r>
          </w:p>
        </w:tc>
        <w:tc>
          <w:tcPr>
            <w:tcW w:type="dxa" w:w="2948"/>
          </w:tcPr>
          <w:p>
            <w:pPr>
              <w:spacing w:after="20"/>
            </w:pPr>
            <w:r/>
            <w:r>
              <w:rPr>
                <w:sz w:val="17"/>
                <w:rFonts w:eastAsia="宋体" w:ascii="Times New Roman" w:hAnsi="Times New Roman"/>
              </w:rPr>
              <w:t>颈动脉超声、踝肱指数（ABI）</w:t>
            </w:r>
          </w:p>
        </w:tc>
        <w:tc>
          <w:tcPr>
            <w:tcW w:type="dxa" w:w="1928"/>
          </w:tcPr>
          <w:p>
            <w:pPr>
              <w:spacing w:after="20"/>
            </w:pPr>
            <w:r/>
            <w:r>
              <w:rPr>
                <w:sz w:val="17"/>
                <w:rFonts w:eastAsia="宋体" w:ascii="Times New Roman" w:hAnsi="Times New Roman"/>
              </w:rPr>
              <w:t>有适应证才做</w:t>
            </w:r>
          </w:p>
        </w:tc>
        <w:tc>
          <w:tcPr>
            <w:tcW w:type="dxa" w:w="3742"/>
          </w:tcPr>
          <w:p>
            <w:pPr>
              <w:spacing w:after="20"/>
            </w:pPr>
            <w:r/>
            <w:r>
              <w:rPr>
                <w:sz w:val="17"/>
                <w:rFonts w:eastAsia="宋体" w:ascii="Times New Roman" w:hAnsi="Times New Roman"/>
              </w:rPr>
              <w:t>适应证：血管杂音、间歇性跛行、既往心脑血管事件、多重危险因素；不作为全部糖尿病患者的常规</w:t>
            </w:r>
          </w:p>
        </w:tc>
      </w:tr>
      <w:tr>
        <w:tc>
          <w:tcPr>
            <w:tcW w:type="dxa" w:w="1361"/>
          </w:tcPr>
          <w:p>
            <w:pPr>
              <w:spacing w:after="20"/>
            </w:pPr>
            <w:r/>
            <w:r>
              <w:rPr>
                <w:sz w:val="17"/>
                <w:rFonts w:eastAsia="宋体" w:ascii="Times New Roman" w:hAnsi="Times New Roman"/>
              </w:rPr>
              <w:t>足</w:t>
            </w:r>
          </w:p>
        </w:tc>
        <w:tc>
          <w:tcPr>
            <w:tcW w:type="dxa" w:w="2948"/>
          </w:tcPr>
          <w:p>
            <w:pPr>
              <w:spacing w:after="20"/>
            </w:pPr>
            <w:r/>
            <w:r>
              <w:rPr>
                <w:sz w:val="17"/>
                <w:rFonts w:eastAsia="宋体" w:ascii="Times New Roman" w:hAnsi="Times New Roman"/>
              </w:rPr>
              <w:t>足部视诊、触诊、血管搏动、皮温、趾甲与鞋具评估</w:t>
            </w:r>
          </w:p>
        </w:tc>
        <w:tc>
          <w:tcPr>
            <w:tcW w:type="dxa" w:w="1928"/>
          </w:tcPr>
          <w:p>
            <w:pPr>
              <w:spacing w:after="20"/>
            </w:pPr>
            <w:r/>
            <w:r>
              <w:rPr>
                <w:sz w:val="17"/>
                <w:rFonts w:eastAsia="宋体" w:ascii="Times New Roman" w:hAnsi="Times New Roman"/>
              </w:rPr>
              <w:t>常规床旁</w:t>
            </w:r>
          </w:p>
        </w:tc>
        <w:tc>
          <w:tcPr>
            <w:tcW w:type="dxa" w:w="3742"/>
          </w:tcPr>
          <w:p>
            <w:pPr>
              <w:spacing w:after="20"/>
            </w:pPr>
            <w:r/>
            <w:r>
              <w:rPr>
                <w:sz w:val="17"/>
                <w:rFonts w:eastAsia="宋体" w:ascii="Times New Roman" w:hAnsi="Times New Roman"/>
              </w:rPr>
              <w:t>稳定后即做；结合神经与血管筛查结果分级</w:t>
            </w:r>
          </w:p>
        </w:tc>
      </w:tr>
      <w:tr>
        <w:tc>
          <w:tcPr>
            <w:tcW w:type="dxa" w:w="1361"/>
          </w:tcPr>
          <w:p>
            <w:pPr>
              <w:spacing w:after="20"/>
            </w:pPr>
            <w:r/>
            <w:r>
              <w:rPr>
                <w:sz w:val="17"/>
                <w:rFonts w:eastAsia="宋体" w:ascii="Times New Roman" w:hAnsi="Times New Roman"/>
              </w:rPr>
              <w:t>其他</w:t>
            </w:r>
          </w:p>
        </w:tc>
        <w:tc>
          <w:tcPr>
            <w:tcW w:type="dxa" w:w="2948"/>
          </w:tcPr>
          <w:p>
            <w:pPr>
              <w:spacing w:after="20"/>
            </w:pPr>
            <w:r/>
            <w:r>
              <w:rPr>
                <w:sz w:val="17"/>
                <w:rFonts w:eastAsia="宋体" w:ascii="Times New Roman" w:hAnsi="Times New Roman"/>
              </w:rPr>
              <w:t>血脂谱、肝酶与腹部超声（脂肪肝 2 年）、维生素 B12（长期用药者）</w:t>
            </w:r>
          </w:p>
        </w:tc>
        <w:tc>
          <w:tcPr>
            <w:tcW w:type="dxa" w:w="1928"/>
          </w:tcPr>
          <w:p>
            <w:pPr>
              <w:spacing w:after="20"/>
            </w:pPr>
            <w:r/>
            <w:r>
              <w:rPr>
                <w:sz w:val="17"/>
                <w:rFonts w:eastAsia="宋体" w:ascii="Times New Roman" w:hAnsi="Times New Roman"/>
              </w:rPr>
              <w:t>常规床旁（血脂、肝酶）；腹部超声按适应证</w:t>
            </w:r>
          </w:p>
        </w:tc>
        <w:tc>
          <w:tcPr>
            <w:tcW w:type="dxa" w:w="3742"/>
          </w:tcPr>
          <w:p>
            <w:pPr>
              <w:spacing w:after="20"/>
            </w:pPr>
            <w:r/>
            <w:r>
              <w:rPr>
                <w:sz w:val="17"/>
                <w:rFonts w:eastAsia="宋体" w:ascii="Times New Roman" w:hAnsi="Times New Roman"/>
              </w:rPr>
              <w:t>脂肪肝为既往诊断，需评估是否为代谢相关脂肪性肝病并与胰源性糖尿病线索联合判读</w:t>
            </w:r>
          </w:p>
        </w:tc>
      </w:tr>
    </w:tbl>
    <w:p>
      <w:pPr>
        <w:spacing w:after="40"/>
      </w:pPr>
    </w:p>
    <w:p>
      <w:pPr>
        <w:pStyle w:val="Heading2"/>
        <w:spacing w:before="160" w:after="100"/>
      </w:pPr>
      <w:r>
        <w:rPr>
          <w:rFonts w:eastAsia="宋体" w:ascii="Times New Roman" w:hAnsi="Times New Roman"/>
        </w:rPr>
        <w:t>2.3 甲状腺评估（本例既往史明确，优先级高于一般人群）</w:t>
      </w:r>
    </w:p>
    <w:p>
      <w:pPr>
        <w:pStyle w:val="ListBullet"/>
        <w:spacing w:after="40"/>
        <w:ind w:left="340"/>
      </w:pPr>
      <w:r>
        <w:rPr>
          <w:sz w:val="21"/>
          <w:rFonts w:eastAsia="宋体" w:ascii="Times New Roman" w:hAnsi="Times New Roman"/>
        </w:rPr>
        <w:t>既往：甲状腺结节、亚临床甲减、桥本甲状腺炎 5 年。一年前亚临床甲减检查时空腹血糖 5.7 mmol/L、餐后 2 小时血糖 7.8 mmol/L、HbA1c 6.3%（外院人工转录，仅说明病程）。</w:t>
      </w:r>
    </w:p>
    <w:p>
      <w:pPr>
        <w:pStyle w:val="ListBullet"/>
        <w:spacing w:after="40"/>
        <w:ind w:left="340"/>
      </w:pPr>
      <w:r>
        <w:rPr>
          <w:sz w:val="21"/>
          <w:rFonts w:eastAsia="宋体" w:ascii="Times New Roman" w:hAnsi="Times New Roman"/>
        </w:rPr>
        <w:t>常规床旁/无创：TSH、FT4、FT3、TPOAb、TgAb；甲状腺超声（评估既往结节的大小、形态与恶性风险分层）。</w:t>
      </w:r>
    </w:p>
    <w:p>
      <w:pPr>
        <w:pStyle w:val="ListBullet"/>
        <w:spacing w:after="40"/>
        <w:ind w:left="340"/>
      </w:pPr>
      <w:r>
        <w:rPr>
          <w:sz w:val="21"/>
          <w:rFonts w:eastAsia="宋体" w:ascii="Times New Roman" w:hAnsi="Times New Roman"/>
        </w:rPr>
        <w:t>有适应证才做：细针穿刺细胞学（FNA）——适应证为超声高危特征或结节增大；甲状腺核素扫描——有适应证才做且涉及放射性核素，须先完成妊娠核实。</w:t>
      </w:r>
    </w:p>
    <w:p>
      <w:pPr>
        <w:pStyle w:val="ListBullet"/>
        <w:spacing w:after="40"/>
        <w:ind w:left="340"/>
      </w:pPr>
      <w:r>
        <w:rPr>
          <w:sz w:val="21"/>
          <w:rFonts w:eastAsia="宋体" w:ascii="Times New Roman" w:hAnsi="Times New Roman"/>
        </w:rPr>
        <w:t>时序注意：急性高血糖危象期间可出现“非甲状腺疾病综合征”（T3 降低、rT3 升高、TSH 波动），此期甲功结果不可用于确诊甲减或调整剂量，须在稳定期复核。</w:t>
      </w:r>
    </w:p>
    <w:p>
      <w:pPr>
        <w:pStyle w:val="ListBullet"/>
        <w:spacing w:after="40"/>
        <w:ind w:left="340"/>
      </w:pPr>
      <w:r>
        <w:rPr>
          <w:sz w:val="21"/>
          <w:rFonts w:eastAsia="宋体" w:ascii="Times New Roman" w:hAnsi="Times New Roman"/>
        </w:rPr>
        <w:t>关联判断：桥本甲状腺炎与其他自身免疫病（1 型糖尿病、自身免疫多腺体综合征）共存概率升高，是 B4 抗体检测的适应证之一，但抗体阴性/阳性均不足以单独定型。</w:t>
      </w:r>
    </w:p>
    <w:p>
      <w:pPr>
        <w:pStyle w:val="Heading2"/>
        <w:spacing w:before="160" w:after="100"/>
      </w:pPr>
      <w:r>
        <w:rPr>
          <w:rFonts w:eastAsia="宋体" w:ascii="Times New Roman" w:hAnsi="Times New Roman"/>
        </w:rPr>
        <w:t>2.4 生殖与代谢评估（育龄女性专项）</w:t>
      </w:r>
    </w:p>
    <w:p>
      <w:pPr>
        <w:pStyle w:val="ListBullet"/>
        <w:spacing w:after="40"/>
        <w:ind w:left="340"/>
      </w:pPr>
      <w:r>
        <w:rPr>
          <w:sz w:val="21"/>
          <w:rFonts w:eastAsia="宋体" w:ascii="Times New Roman" w:hAnsi="Times New Roman"/>
        </w:rPr>
        <w:t>妊娠核实与避孕咨询：妊娠试验为入院即做的常规项（见 4.4）；血糖控制达标前应提供有效避孕建议，并在计划妊娠时转为孕前管理（叶酸、停用潜在致畸药物、HbA1c 目标个体化）。</w:t>
      </w:r>
    </w:p>
    <w:p>
      <w:pPr>
        <w:pStyle w:val="ListBullet"/>
        <w:spacing w:after="40"/>
        <w:ind w:left="340"/>
      </w:pPr>
      <w:r>
        <w:rPr>
          <w:sz w:val="21"/>
          <w:rFonts w:eastAsia="宋体" w:ascii="Times New Roman" w:hAnsi="Times New Roman"/>
        </w:rPr>
        <w:t>月经与排卵评估：病史为 12 岁初潮、月经不规律、周期约 1–2 月、经期 7 天，末次月经 2022-09-25。需记录该末次月经的实际年份并核实是否已停经/闭经，此项直接决定妊娠核实的时间窗判断。</w:t>
      </w:r>
    </w:p>
    <w:p>
      <w:pPr>
        <w:pStyle w:val="ListBullet"/>
        <w:spacing w:after="40"/>
        <w:ind w:left="340"/>
      </w:pPr>
      <w:r>
        <w:rPr>
          <w:sz w:val="21"/>
          <w:rFonts w:eastAsia="宋体" w:ascii="Times New Roman" w:hAnsi="Times New Roman"/>
        </w:rPr>
        <w:t>常规床旁：性激素六项（FSH、LH、雌二醇、孕酮、睾酮、泌乳素）、妇科超声（既往“卵巢囊肿半月”需复查并描述性质）。</w:t>
      </w:r>
    </w:p>
    <w:p>
      <w:pPr>
        <w:pStyle w:val="ListBullet"/>
        <w:spacing w:after="40"/>
        <w:ind w:left="340"/>
      </w:pPr>
      <w:r>
        <w:rPr>
          <w:sz w:val="21"/>
          <w:rFonts w:eastAsia="宋体" w:ascii="Times New Roman" w:hAnsi="Times New Roman"/>
        </w:rPr>
        <w:t>有适应证才做：多囊卵巢综合征（PCOS）相关代谢评估——口服葡萄糖耐量试验（OGTT）在急性期后于稳定期完成，用以区分糖代谢异常与 PCOS 本身；若拟诊 PCOS，需先排除其他高雄激素病因（先天性肾上腺皮质增生、库欣综合征、泌乳素瘤、甲状腺功能异常）。</w:t>
      </w:r>
    </w:p>
    <w:p>
      <w:pPr>
        <w:pStyle w:val="ListBullet"/>
        <w:spacing w:after="40"/>
        <w:ind w:left="340"/>
      </w:pPr>
      <w:r>
        <w:rPr>
          <w:sz w:val="21"/>
          <w:rFonts w:eastAsia="宋体" w:ascii="Times New Roman" w:hAnsi="Times New Roman"/>
        </w:rPr>
        <w:t>代谢综合征组分：腰围 106 cm、BMI 27.8 kg/m²、脂肪肝——即使本次分型为 1 型，亦须独立评估心血管代谢风险，不得因分型结论而省略。</w:t>
      </w:r>
    </w:p>
    <w:p>
      <w:r>
        <w:br w:type="page"/>
      </w:r>
    </w:p>
    <w:p>
      <w:pPr>
        <w:pStyle w:val="Heading1"/>
        <w:spacing w:before="200" w:after="100"/>
      </w:pPr>
      <w:r>
        <w:rPr>
          <w:rFonts w:eastAsia="宋体" w:ascii="Times New Roman" w:hAnsi="Times New Roman"/>
        </w:rPr>
        <w:t>第三部分　多年多饮多尿的分阶段鉴别（先排除渗透性利尿，再进入低渗多尿路径）</w:t>
      </w:r>
    </w:p>
    <w:p>
      <w:pPr>
        <w:spacing w:after="80"/>
      </w:pPr>
      <w:r>
        <w:rPr>
          <w:b w:val="0"/>
          <w:i w:val="0"/>
          <w:sz w:val="20"/>
          <w:rFonts w:eastAsia="宋体" w:ascii="Times New Roman" w:hAnsi="Times New Roman"/>
        </w:rPr>
        <w:t>核心原则：在急性高血糖未纠正前，多饮多尿最可能的机制是渗透性利尿（高血糖所致），此时任何限水/禁水/高渗刺激试验都不得执行——既无诊断价值（结果被高血糖混杂），也存在安全风险（规则 2.2）。</w:t>
      </w:r>
    </w:p>
    <w:p>
      <w:pPr>
        <w:pStyle w:val="Heading2"/>
        <w:spacing w:before="160" w:after="100"/>
      </w:pPr>
      <w:r>
        <w:rPr>
          <w:rFonts w:eastAsia="宋体" w:ascii="Times New Roman" w:hAnsi="Times New Roman"/>
        </w:rPr>
        <w:t>3.1 阶段划分与触发条件</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247"/>
            <w:shd w:val="clear" w:color="auto" w:fill="DCE6F1"/>
          </w:tcPr>
          <w:p>
            <w:pPr>
              <w:spacing w:after="20"/>
            </w:pPr>
            <w:r/>
            <w:r>
              <w:rPr>
                <w:b/>
                <w:sz w:val="17"/>
                <w:rFonts w:eastAsia="宋体" w:ascii="Times New Roman" w:hAnsi="Times New Roman"/>
              </w:rPr>
              <w:t>阶段</w:t>
            </w:r>
          </w:p>
        </w:tc>
        <w:tc>
          <w:tcPr>
            <w:tcW w:type="dxa" w:w="1928"/>
            <w:shd w:val="clear" w:color="auto" w:fill="DCE6F1"/>
          </w:tcPr>
          <w:p>
            <w:pPr>
              <w:spacing w:after="20"/>
            </w:pPr>
            <w:r/>
            <w:r>
              <w:rPr>
                <w:b/>
                <w:sz w:val="17"/>
                <w:rFonts w:eastAsia="宋体" w:ascii="Times New Roman" w:hAnsi="Times New Roman"/>
              </w:rPr>
              <w:t>时点 / 前提</w:t>
            </w:r>
          </w:p>
        </w:tc>
        <w:tc>
          <w:tcPr>
            <w:tcW w:type="dxa" w:w="3288"/>
            <w:shd w:val="clear" w:color="auto" w:fill="DCE6F1"/>
          </w:tcPr>
          <w:p>
            <w:pPr>
              <w:spacing w:after="20"/>
            </w:pPr>
            <w:r/>
            <w:r>
              <w:rPr>
                <w:b/>
                <w:sz w:val="17"/>
                <w:rFonts w:eastAsia="宋体" w:ascii="Times New Roman" w:hAnsi="Times New Roman"/>
              </w:rPr>
              <w:t>检查内容</w:t>
            </w:r>
          </w:p>
        </w:tc>
        <w:tc>
          <w:tcPr>
            <w:tcW w:type="dxa" w:w="3628"/>
            <w:shd w:val="clear" w:color="auto" w:fill="DCE6F1"/>
          </w:tcPr>
          <w:p>
            <w:pPr>
              <w:spacing w:after="20"/>
            </w:pPr>
            <w:r/>
            <w:r>
              <w:rPr>
                <w:b/>
                <w:sz w:val="17"/>
                <w:rFonts w:eastAsia="宋体" w:ascii="Times New Roman" w:hAnsi="Times New Roman"/>
              </w:rPr>
              <w:t>判读与进入下一阶段的触发条件</w:t>
            </w:r>
          </w:p>
        </w:tc>
      </w:tr>
      <w:tr>
        <w:tc>
          <w:tcPr>
            <w:tcW w:type="dxa" w:w="1247"/>
          </w:tcPr>
          <w:p>
            <w:pPr>
              <w:spacing w:after="20"/>
            </w:pPr>
            <w:r/>
            <w:r>
              <w:rPr>
                <w:sz w:val="17"/>
                <w:rFonts w:eastAsia="宋体" w:ascii="Times New Roman" w:hAnsi="Times New Roman"/>
              </w:rPr>
              <w:t>阶段 0</w:t>
              <w:br/>
              <w:t>记录基线</w:t>
            </w:r>
          </w:p>
        </w:tc>
        <w:tc>
          <w:tcPr>
            <w:tcW w:type="dxa" w:w="1928"/>
          </w:tcPr>
          <w:p>
            <w:pPr>
              <w:spacing w:after="20"/>
            </w:pPr>
            <w:r/>
            <w:r>
              <w:rPr>
                <w:sz w:val="17"/>
                <w:rFonts w:eastAsia="宋体" w:ascii="Times New Roman" w:hAnsi="Times New Roman"/>
              </w:rPr>
              <w:t>入院即刻起，与急症采集同步</w:t>
            </w:r>
          </w:p>
        </w:tc>
        <w:tc>
          <w:tcPr>
            <w:tcW w:type="dxa" w:w="3288"/>
          </w:tcPr>
          <w:p>
            <w:pPr>
              <w:spacing w:after="20"/>
            </w:pPr>
            <w:r/>
            <w:r>
              <w:rPr>
                <w:sz w:val="17"/>
                <w:rFonts w:eastAsia="宋体" w:ascii="Times New Roman" w:hAnsi="Times New Roman"/>
              </w:rPr>
              <w:t>① 本次入院当前样本尿常规、尿比重；② 尿渗透压（待查）；③ 24 小时尿量定量（必须开始记录，不得仅凭“约 10 次/日”“约 4000–5000 mL/日”等自述）；④ 同步记录每日入量与出量、体重</w:t>
            </w:r>
          </w:p>
        </w:tc>
        <w:tc>
          <w:tcPr>
            <w:tcW w:type="dxa" w:w="3628"/>
          </w:tcPr>
          <w:p>
            <w:pPr>
              <w:spacing w:after="20"/>
            </w:pPr>
            <w:r/>
            <w:r>
              <w:rPr>
                <w:sz w:val="17"/>
                <w:rFonts w:eastAsia="宋体" w:ascii="Times New Roman" w:hAnsi="Times New Roman"/>
              </w:rPr>
              <w:t>得到定量尿量与尿渗透压基线。若同时存在显著高血糖，则先归因于渗透性利尿，按第一阶段处理，不进入试验路径</w:t>
            </w:r>
          </w:p>
        </w:tc>
      </w:tr>
      <w:tr>
        <w:tc>
          <w:tcPr>
            <w:tcW w:type="dxa" w:w="1247"/>
          </w:tcPr>
          <w:p>
            <w:pPr>
              <w:spacing w:after="20"/>
            </w:pPr>
            <w:r/>
            <w:r>
              <w:rPr>
                <w:sz w:val="17"/>
                <w:rFonts w:eastAsia="宋体" w:ascii="Times New Roman" w:hAnsi="Times New Roman"/>
              </w:rPr>
              <w:t>阶段 1</w:t>
              <w:br/>
              <w:t>渗透性利尿优先</w:t>
            </w:r>
          </w:p>
        </w:tc>
        <w:tc>
          <w:tcPr>
            <w:tcW w:type="dxa" w:w="1928"/>
          </w:tcPr>
          <w:p>
            <w:pPr>
              <w:spacing w:after="20"/>
            </w:pPr>
            <w:r/>
            <w:r>
              <w:rPr>
                <w:sz w:val="17"/>
                <w:rFonts w:eastAsia="宋体" w:ascii="Times New Roman" w:hAnsi="Times New Roman"/>
              </w:rPr>
              <w:t>急性高血糖期（血糖未达标期间）</w:t>
            </w:r>
          </w:p>
        </w:tc>
        <w:tc>
          <w:tcPr>
            <w:tcW w:type="dxa" w:w="3288"/>
          </w:tcPr>
          <w:p>
            <w:pPr>
              <w:spacing w:after="20"/>
            </w:pPr>
            <w:r/>
            <w:r>
              <w:rPr>
                <w:sz w:val="17"/>
                <w:rFonts w:eastAsia="宋体" w:ascii="Times New Roman" w:hAnsi="Times New Roman"/>
              </w:rPr>
              <w:t>降糖治疗 + 出入量/体重监测；重复血糖、电解质、血渗透压</w:t>
            </w:r>
          </w:p>
        </w:tc>
        <w:tc>
          <w:tcPr>
            <w:tcW w:type="dxa" w:w="3628"/>
          </w:tcPr>
          <w:p>
            <w:pPr>
              <w:spacing w:after="20"/>
            </w:pPr>
            <w:r/>
            <w:r>
              <w:rPr>
                <w:sz w:val="17"/>
                <w:rFonts w:eastAsia="宋体" w:ascii="Times New Roman" w:hAnsi="Times New Roman"/>
              </w:rPr>
              <w:t>触发条件：血糖控制达标且稳定后，多饮多尿仍持续 → 进入阶段 2。若血糖达标后多饮多尿消失 → 结论为“高血糖所致渗透性利尿”，不需进一步动态试验</w:t>
            </w:r>
          </w:p>
        </w:tc>
      </w:tr>
      <w:tr>
        <w:tc>
          <w:tcPr>
            <w:tcW w:type="dxa" w:w="1247"/>
          </w:tcPr>
          <w:p>
            <w:pPr>
              <w:spacing w:after="20"/>
            </w:pPr>
            <w:r/>
            <w:r>
              <w:rPr>
                <w:sz w:val="17"/>
                <w:rFonts w:eastAsia="宋体" w:ascii="Times New Roman" w:hAnsi="Times New Roman"/>
              </w:rPr>
              <w:t>阶段 2</w:t>
              <w:br/>
              <w:t>确认低渗性多尿</w:t>
            </w:r>
          </w:p>
        </w:tc>
        <w:tc>
          <w:tcPr>
            <w:tcW w:type="dxa" w:w="1928"/>
          </w:tcPr>
          <w:p>
            <w:pPr>
              <w:spacing w:after="20"/>
            </w:pPr>
            <w:r/>
            <w:r>
              <w:rPr>
                <w:sz w:val="17"/>
                <w:rFonts w:eastAsia="宋体" w:ascii="Times New Roman" w:hAnsi="Times New Roman"/>
              </w:rPr>
              <w:t>血糖达标且稳定、无高血糖混杂</w:t>
            </w:r>
          </w:p>
        </w:tc>
        <w:tc>
          <w:tcPr>
            <w:tcW w:type="dxa" w:w="3288"/>
          </w:tcPr>
          <w:p>
            <w:pPr>
              <w:spacing w:after="20"/>
            </w:pPr>
            <w:r/>
            <w:r>
              <w:rPr>
                <w:sz w:val="17"/>
                <w:rFonts w:eastAsia="宋体" w:ascii="Times New Roman" w:hAnsi="Times New Roman"/>
              </w:rPr>
              <w:t>24 小时尿量定量 + 尿渗透压 + 血渗透压 + 同步血钠；记录随机（非限水）尿渗透压</w:t>
            </w:r>
          </w:p>
        </w:tc>
        <w:tc>
          <w:tcPr>
            <w:tcW w:type="dxa" w:w="3628"/>
          </w:tcPr>
          <w:p>
            <w:pPr>
              <w:spacing w:after="20"/>
            </w:pPr>
            <w:r/>
            <w:r>
              <w:rPr>
                <w:sz w:val="17"/>
                <w:rFonts w:eastAsia="宋体" w:ascii="Times New Roman" w:hAnsi="Times New Roman"/>
              </w:rPr>
              <w:t>满足“低渗性多尿”定义方进入阶段 3：24 小时尿量 &gt; 3 L（或 &gt; 40–50 mL/kg/日）且随机尿渗透压 &lt; 300 mOsm/kg（典型者 &lt; 150 mOsm/kg）且血渗透压正常或偏高。不满足者：考虑渗透性利尿、精神性饮水以外的其他原因或记录不准确</w:t>
            </w:r>
          </w:p>
        </w:tc>
      </w:tr>
      <w:tr>
        <w:tc>
          <w:tcPr>
            <w:tcW w:type="dxa" w:w="1247"/>
          </w:tcPr>
          <w:p>
            <w:pPr>
              <w:spacing w:after="20"/>
            </w:pPr>
            <w:r/>
            <w:r>
              <w:rPr>
                <w:sz w:val="17"/>
                <w:rFonts w:eastAsia="宋体" w:ascii="Times New Roman" w:hAnsi="Times New Roman"/>
              </w:rPr>
              <w:t>阶段 3</w:t>
              <w:br/>
              <w:t>病因分型</w:t>
            </w:r>
          </w:p>
        </w:tc>
        <w:tc>
          <w:tcPr>
            <w:tcW w:type="dxa" w:w="1928"/>
          </w:tcPr>
          <w:p>
            <w:pPr>
              <w:spacing w:after="20"/>
            </w:pPr>
            <w:r/>
            <w:r>
              <w:rPr>
                <w:sz w:val="17"/>
                <w:rFonts w:eastAsia="宋体" w:ascii="Times New Roman" w:hAnsi="Times New Roman"/>
              </w:rPr>
              <w:t>低渗性多尿已确认，且满足 3.4 全部安全前提</w:t>
            </w:r>
          </w:p>
        </w:tc>
        <w:tc>
          <w:tcPr>
            <w:tcW w:type="dxa" w:w="3288"/>
          </w:tcPr>
          <w:p>
            <w:pPr>
              <w:spacing w:after="20"/>
            </w:pPr>
            <w:r/>
            <w:r>
              <w:rPr>
                <w:sz w:val="17"/>
                <w:rFonts w:eastAsia="宋体" w:ascii="Times New Roman" w:hAnsi="Times New Roman"/>
              </w:rPr>
              <w:t>① 禁水试验（限水试验）；② 必要时高渗盐水刺激试验（测 Copeptin）；③ 去氨加压素（DDAVP）试验；④ 肾脏 MRI（垂体后叶高信号）等</w:t>
            </w:r>
          </w:p>
        </w:tc>
        <w:tc>
          <w:tcPr>
            <w:tcW w:type="dxa" w:w="3628"/>
          </w:tcPr>
          <w:p>
            <w:pPr>
              <w:spacing w:after="20"/>
            </w:pPr>
            <w:r/>
            <w:r>
              <w:rPr>
                <w:sz w:val="17"/>
                <w:rFonts w:eastAsia="宋体" w:ascii="Times New Roman" w:hAnsi="Times New Roman"/>
              </w:rPr>
              <w:t>按 3.3 路径判读。三项动态试验均有明确禁忌与终止标准，须由内分泌专科监护执行</w:t>
            </w:r>
          </w:p>
        </w:tc>
      </w:tr>
    </w:tbl>
    <w:p>
      <w:pPr>
        <w:spacing w:after="40"/>
      </w:pPr>
    </w:p>
    <w:p>
      <w:pPr>
        <w:pStyle w:val="Heading2"/>
        <w:spacing w:before="160" w:after="100"/>
      </w:pPr>
      <w:r>
        <w:rPr>
          <w:rFonts w:eastAsia="宋体" w:ascii="Times New Roman" w:hAnsi="Times New Roman"/>
        </w:rPr>
        <w:t>3.2 渗透性利尿与低渗性多尿的判别要点</w:t>
      </w:r>
    </w:p>
    <w:p>
      <w:pPr>
        <w:pStyle w:val="ListBullet"/>
        <w:spacing w:after="40"/>
        <w:ind w:left="340"/>
      </w:pPr>
      <w:r>
        <w:rPr>
          <w:sz w:val="21"/>
          <w:rFonts w:eastAsia="宋体" w:ascii="Times New Roman" w:hAnsi="Times New Roman"/>
        </w:rPr>
        <w:t>渗透性利尿：尿渗透压通常接近等渗或偏高（&gt; 300 mOsm/kg），尿糖阳性，血糖显著升高；随血糖纠正而缓解。本例“一月余前尿糖 4+”为外院转录，支持既往存在渗透性利尿，但本次当前样本待查。</w:t>
      </w:r>
    </w:p>
    <w:p>
      <w:pPr>
        <w:pStyle w:val="ListBullet"/>
        <w:spacing w:after="40"/>
        <w:ind w:left="340"/>
      </w:pPr>
      <w:r>
        <w:rPr>
          <w:sz w:val="21"/>
          <w:rFonts w:eastAsia="宋体" w:ascii="Times New Roman" w:hAnsi="Times New Roman"/>
        </w:rPr>
        <w:t>低渗性多尿：尿渗透压低（&lt; 300，常 &lt; 150 mOsm/kg）、尿糖阴性、血糖正常，尿量持续 &gt; 3 L/日。</w:t>
      </w:r>
    </w:p>
    <w:p>
      <w:pPr>
        <w:pStyle w:val="ListBullet"/>
        <w:spacing w:after="40"/>
        <w:ind w:left="340"/>
      </w:pPr>
      <w:r>
        <w:rPr>
          <w:sz w:val="21"/>
          <w:rFonts w:eastAsia="宋体" w:ascii="Times New Roman" w:hAnsi="Times New Roman"/>
        </w:rPr>
        <w:t>关键时序判断：本例多饮多尿始于 3 年余前（口服复方甲氧那明后），而明确高血糖仅见于 1 月余前；三年间“饮水约 4000→5000 mL/日”始终未定量。因此“多年多尿是否一直由渗透性利尿解释”目前不能成立也不能排除，必须靠阶段 1 的“血糖达标后是否缓解”来回答，不能仅凭交班摘要跳至尿崩症试验。</w:t>
      </w:r>
    </w:p>
    <w:p>
      <w:pPr>
        <w:pStyle w:val="Heading2"/>
        <w:spacing w:before="160" w:after="100"/>
      </w:pPr>
      <w:r>
        <w:rPr>
          <w:rFonts w:eastAsia="宋体" w:ascii="Times New Roman" w:hAnsi="Times New Roman"/>
        </w:rPr>
        <w:t>3.3 阶段 3 的病因分型路径（低渗性多尿确认后）</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814"/>
            <w:shd w:val="clear" w:color="auto" w:fill="DCE6F1"/>
          </w:tcPr>
          <w:p>
            <w:pPr>
              <w:spacing w:after="20"/>
            </w:pPr>
            <w:r/>
            <w:r>
              <w:rPr>
                <w:b/>
                <w:sz w:val="17"/>
                <w:rFonts w:eastAsia="宋体" w:ascii="Times New Roman" w:hAnsi="Times New Roman"/>
              </w:rPr>
              <w:t>路径</w:t>
            </w:r>
          </w:p>
        </w:tc>
        <w:tc>
          <w:tcPr>
            <w:tcW w:type="dxa" w:w="2835"/>
            <w:shd w:val="clear" w:color="auto" w:fill="DCE6F1"/>
          </w:tcPr>
          <w:p>
            <w:pPr>
              <w:spacing w:after="20"/>
            </w:pPr>
            <w:r/>
            <w:r>
              <w:rPr>
                <w:b/>
                <w:sz w:val="17"/>
                <w:rFonts w:eastAsia="宋体" w:ascii="Times New Roman" w:hAnsi="Times New Roman"/>
              </w:rPr>
              <w:t>试验反应</w:t>
            </w:r>
          </w:p>
        </w:tc>
        <w:tc>
          <w:tcPr>
            <w:tcW w:type="dxa" w:w="2381"/>
            <w:shd w:val="clear" w:color="auto" w:fill="DCE6F1"/>
          </w:tcPr>
          <w:p>
            <w:pPr>
              <w:spacing w:after="20"/>
            </w:pPr>
            <w:r/>
            <w:r>
              <w:rPr>
                <w:b/>
                <w:sz w:val="17"/>
                <w:rFonts w:eastAsia="宋体" w:ascii="Times New Roman" w:hAnsi="Times New Roman"/>
              </w:rPr>
              <w:t>支持诊断</w:t>
            </w:r>
          </w:p>
        </w:tc>
        <w:tc>
          <w:tcPr>
            <w:tcW w:type="dxa" w:w="3061"/>
            <w:shd w:val="clear" w:color="auto" w:fill="DCE6F1"/>
          </w:tcPr>
          <w:p>
            <w:pPr>
              <w:spacing w:after="20"/>
            </w:pPr>
            <w:r/>
            <w:r>
              <w:rPr>
                <w:b/>
                <w:sz w:val="17"/>
                <w:rFonts w:eastAsia="宋体" w:ascii="Times New Roman" w:hAnsi="Times New Roman"/>
              </w:rPr>
              <w:t>鉴别要点与限制</w:t>
            </w:r>
          </w:p>
        </w:tc>
      </w:tr>
      <w:tr>
        <w:tc>
          <w:tcPr>
            <w:tcW w:type="dxa" w:w="1814"/>
          </w:tcPr>
          <w:p>
            <w:pPr>
              <w:spacing w:after="20"/>
            </w:pPr>
            <w:r/>
            <w:r>
              <w:rPr>
                <w:sz w:val="17"/>
                <w:rFonts w:eastAsia="宋体" w:ascii="Times New Roman" w:hAnsi="Times New Roman"/>
              </w:rPr>
              <w:t>中枢性（AVP 缺乏）尿崩症</w:t>
            </w:r>
          </w:p>
        </w:tc>
        <w:tc>
          <w:tcPr>
            <w:tcW w:type="dxa" w:w="2835"/>
          </w:tcPr>
          <w:p>
            <w:pPr>
              <w:spacing w:after="20"/>
            </w:pPr>
            <w:r/>
            <w:r>
              <w:rPr>
                <w:sz w:val="17"/>
                <w:rFonts w:eastAsia="宋体" w:ascii="Times New Roman" w:hAnsi="Times New Roman"/>
              </w:rPr>
              <w:t>禁水后尿渗透压不升、尿量不减；给予去氨加压素后尿渗透压显著升高（&gt; 50%）且尿量减少</w:t>
            </w:r>
          </w:p>
        </w:tc>
        <w:tc>
          <w:tcPr>
            <w:tcW w:type="dxa" w:w="2381"/>
          </w:tcPr>
          <w:p>
            <w:pPr>
              <w:spacing w:after="20"/>
            </w:pPr>
            <w:r/>
            <w:r>
              <w:rPr>
                <w:sz w:val="17"/>
                <w:rFonts w:eastAsia="宋体" w:ascii="Times New Roman" w:hAnsi="Times New Roman"/>
              </w:rPr>
              <w:t>AVP 合成/释放不足（垂体柄或垂体后叶病变、外伤、浸润、遗传性）</w:t>
            </w:r>
          </w:p>
        </w:tc>
        <w:tc>
          <w:tcPr>
            <w:tcW w:type="dxa" w:w="3061"/>
          </w:tcPr>
          <w:p>
            <w:pPr>
              <w:spacing w:after="20"/>
            </w:pPr>
            <w:r/>
            <w:r>
              <w:rPr>
                <w:sz w:val="17"/>
                <w:rFonts w:eastAsia="宋体" w:ascii="Times New Roman" w:hAnsi="Times New Roman"/>
              </w:rPr>
              <w:t>需影像评估垂体-垂体柄；本例有晶状体脱位与马凡样体征，若同时存在垂体异常，应考虑综合征性病因（见 4.3）</w:t>
            </w:r>
          </w:p>
        </w:tc>
      </w:tr>
      <w:tr>
        <w:tc>
          <w:tcPr>
            <w:tcW w:type="dxa" w:w="1814"/>
          </w:tcPr>
          <w:p>
            <w:pPr>
              <w:spacing w:after="20"/>
            </w:pPr>
            <w:r/>
            <w:r>
              <w:rPr>
                <w:sz w:val="17"/>
                <w:rFonts w:eastAsia="宋体" w:ascii="Times New Roman" w:hAnsi="Times New Roman"/>
              </w:rPr>
              <w:t>肾性尿崩症</w:t>
            </w:r>
          </w:p>
        </w:tc>
        <w:tc>
          <w:tcPr>
            <w:tcW w:type="dxa" w:w="2835"/>
          </w:tcPr>
          <w:p>
            <w:pPr>
              <w:spacing w:after="20"/>
            </w:pPr>
            <w:r/>
            <w:r>
              <w:rPr>
                <w:sz w:val="17"/>
                <w:rFonts w:eastAsia="宋体" w:ascii="Times New Roman" w:hAnsi="Times New Roman"/>
              </w:rPr>
              <w:t>禁水后尿渗透压不升；给予去氨加压素后尿渗透压无显著升高（&lt; 10%）</w:t>
            </w:r>
          </w:p>
        </w:tc>
        <w:tc>
          <w:tcPr>
            <w:tcW w:type="dxa" w:w="2381"/>
          </w:tcPr>
          <w:p>
            <w:pPr>
              <w:spacing w:after="20"/>
            </w:pPr>
            <w:r/>
            <w:r>
              <w:rPr>
                <w:sz w:val="17"/>
                <w:rFonts w:eastAsia="宋体" w:ascii="Times New Roman" w:hAnsi="Times New Roman"/>
              </w:rPr>
              <w:t>肾集合管对 AVP 反应缺陷（药物如锂盐、电解质紊乱、遗传性）</w:t>
            </w:r>
          </w:p>
        </w:tc>
        <w:tc>
          <w:tcPr>
            <w:tcW w:type="dxa" w:w="3061"/>
          </w:tcPr>
          <w:p>
            <w:pPr>
              <w:spacing w:after="20"/>
            </w:pPr>
            <w:r/>
            <w:r>
              <w:rPr>
                <w:sz w:val="17"/>
                <w:rFonts w:eastAsia="宋体" w:ascii="Times New Roman" w:hAnsi="Times New Roman"/>
              </w:rPr>
              <w:t>需追问锂盐、两性霉素 B、地美环素等用药史；长期低钾/高钙亦可致肾性多尿，须先纠正电解质</w:t>
            </w:r>
          </w:p>
        </w:tc>
      </w:tr>
      <w:tr>
        <w:tc>
          <w:tcPr>
            <w:tcW w:type="dxa" w:w="1814"/>
          </w:tcPr>
          <w:p>
            <w:pPr>
              <w:spacing w:after="20"/>
            </w:pPr>
            <w:r/>
            <w:r>
              <w:rPr>
                <w:sz w:val="17"/>
                <w:rFonts w:eastAsia="宋体" w:ascii="Times New Roman" w:hAnsi="Times New Roman"/>
              </w:rPr>
              <w:t>原发性烦渴（精神性多饮）</w:t>
            </w:r>
          </w:p>
        </w:tc>
        <w:tc>
          <w:tcPr>
            <w:tcW w:type="dxa" w:w="2835"/>
          </w:tcPr>
          <w:p>
            <w:pPr>
              <w:spacing w:after="20"/>
            </w:pPr>
            <w:r/>
            <w:r>
              <w:rPr>
                <w:sz w:val="17"/>
                <w:rFonts w:eastAsia="宋体" w:ascii="Times New Roman" w:hAnsi="Times New Roman"/>
              </w:rPr>
              <w:t>禁水后尿渗透压可上升至正常范围，尿量随之减少；血钠倾向偏低或正常低值</w:t>
            </w:r>
          </w:p>
        </w:tc>
        <w:tc>
          <w:tcPr>
            <w:tcW w:type="dxa" w:w="2381"/>
          </w:tcPr>
          <w:p>
            <w:pPr>
              <w:spacing w:after="20"/>
            </w:pPr>
            <w:r/>
            <w:r>
              <w:rPr>
                <w:sz w:val="17"/>
                <w:rFonts w:eastAsia="宋体" w:ascii="Times New Roman" w:hAnsi="Times New Roman"/>
              </w:rPr>
              <w:t>饮水行为驱动，AVP 轴功能正常</w:t>
            </w:r>
          </w:p>
        </w:tc>
        <w:tc>
          <w:tcPr>
            <w:tcW w:type="dxa" w:w="3061"/>
          </w:tcPr>
          <w:p>
            <w:pPr>
              <w:spacing w:after="20"/>
            </w:pPr>
            <w:r/>
            <w:r>
              <w:rPr>
                <w:sz w:val="17"/>
                <w:rFonts w:eastAsia="宋体" w:ascii="Times New Roman" w:hAnsi="Times New Roman"/>
              </w:rPr>
              <w:t>禁水试验中存在继续饮水行为风险，需严格监护；须与下丘脑病变所致烦渴鉴别，必要时行头颅影像</w:t>
            </w:r>
          </w:p>
        </w:tc>
      </w:tr>
    </w:tbl>
    <w:p>
      <w:pPr>
        <w:spacing w:after="40"/>
      </w:pPr>
    </w:p>
    <w:p>
      <w:pPr>
        <w:pStyle w:val="Heading2"/>
        <w:spacing w:before="160" w:after="100"/>
      </w:pPr>
      <w:r>
        <w:rPr>
          <w:rFonts w:eastAsia="宋体" w:ascii="Times New Roman" w:hAnsi="Times New Roman"/>
        </w:rPr>
        <w:t>3.4 动态试验的安全前提（禁水试验 / 高渗刺激试验）——全部满足方可执行</w:t>
      </w:r>
    </w:p>
    <w:p>
      <w:pPr>
        <w:spacing w:after="80"/>
      </w:pPr>
      <w:r>
        <w:rPr>
          <w:b/>
          <w:i w:val="0"/>
          <w:sz w:val="19"/>
          <w:rFonts w:eastAsia="宋体" w:ascii="Times New Roman" w:hAnsi="Times New Roman"/>
        </w:rPr>
        <w:t>以下为执行前必须逐项核对并记录的前提；任一项不满足，试验不得启动。</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701"/>
            <w:shd w:val="clear" w:color="auto" w:fill="DCE6F1"/>
          </w:tcPr>
          <w:p>
            <w:pPr>
              <w:spacing w:after="20"/>
            </w:pPr>
            <w:r/>
            <w:r>
              <w:rPr>
                <w:b/>
                <w:sz w:val="17"/>
                <w:rFonts w:eastAsia="宋体" w:ascii="Times New Roman" w:hAnsi="Times New Roman"/>
              </w:rPr>
              <w:t>类别</w:t>
            </w:r>
          </w:p>
        </w:tc>
        <w:tc>
          <w:tcPr>
            <w:tcW w:type="dxa" w:w="4649"/>
            <w:shd w:val="clear" w:color="auto" w:fill="DCE6F1"/>
          </w:tcPr>
          <w:p>
            <w:pPr>
              <w:spacing w:after="20"/>
            </w:pPr>
            <w:r/>
            <w:r>
              <w:rPr>
                <w:b/>
                <w:sz w:val="17"/>
                <w:rFonts w:eastAsia="宋体" w:ascii="Times New Roman" w:hAnsi="Times New Roman"/>
              </w:rPr>
              <w:t>前提条件</w:t>
            </w:r>
          </w:p>
        </w:tc>
        <w:tc>
          <w:tcPr>
            <w:tcW w:type="dxa" w:w="3742"/>
            <w:shd w:val="clear" w:color="auto" w:fill="DCE6F1"/>
          </w:tcPr>
          <w:p>
            <w:pPr>
              <w:spacing w:after="20"/>
            </w:pPr>
            <w:r/>
            <w:r>
              <w:rPr>
                <w:b/>
                <w:sz w:val="17"/>
                <w:rFonts w:eastAsia="宋体" w:ascii="Times New Roman" w:hAnsi="Times New Roman"/>
              </w:rPr>
              <w:t>不满足时的处置</w:t>
            </w:r>
          </w:p>
        </w:tc>
      </w:tr>
      <w:tr>
        <w:tc>
          <w:tcPr>
            <w:tcW w:type="dxa" w:w="1701"/>
          </w:tcPr>
          <w:p>
            <w:pPr>
              <w:spacing w:after="20"/>
            </w:pPr>
            <w:r/>
            <w:r>
              <w:rPr>
                <w:sz w:val="17"/>
                <w:rFonts w:eastAsia="宋体" w:ascii="Times New Roman" w:hAnsi="Times New Roman"/>
              </w:rPr>
              <w:t>时序前提（规则 2.2）</w:t>
            </w:r>
          </w:p>
        </w:tc>
        <w:tc>
          <w:tcPr>
            <w:tcW w:type="dxa" w:w="4649"/>
          </w:tcPr>
          <w:p>
            <w:pPr>
              <w:spacing w:after="20"/>
            </w:pPr>
            <w:r/>
            <w:r>
              <w:rPr>
                <w:sz w:val="17"/>
                <w:rFonts w:eastAsia="宋体" w:ascii="Times New Roman" w:hAnsi="Times New Roman"/>
              </w:rPr>
              <w:t>急性代谢紊乱（高血糖危象、酮症、酸碱失衡、电解质紊乱、脱水）已完全纠正；已脱离急症监护路径；由内分泌专科医师评估并全程监护</w:t>
            </w:r>
          </w:p>
        </w:tc>
        <w:tc>
          <w:tcPr>
            <w:tcW w:type="dxa" w:w="3742"/>
          </w:tcPr>
          <w:p>
            <w:pPr>
              <w:spacing w:after="20"/>
            </w:pPr>
            <w:r/>
            <w:r>
              <w:rPr>
                <w:sz w:val="17"/>
                <w:rFonts w:eastAsia="宋体" w:ascii="Times New Roman" w:hAnsi="Times New Roman"/>
              </w:rPr>
              <w:t>推迟试验，继续降糖与纠正代谢紊乱，仅做阶段 0/1 的定量记录</w:t>
            </w:r>
          </w:p>
        </w:tc>
      </w:tr>
      <w:tr>
        <w:tc>
          <w:tcPr>
            <w:tcW w:type="dxa" w:w="1701"/>
          </w:tcPr>
          <w:p>
            <w:pPr>
              <w:spacing w:after="20"/>
            </w:pPr>
            <w:r/>
            <w:r>
              <w:rPr>
                <w:sz w:val="17"/>
                <w:rFonts w:eastAsia="宋体" w:ascii="Times New Roman" w:hAnsi="Times New Roman"/>
              </w:rPr>
              <w:t>血糖前提</w:t>
            </w:r>
          </w:p>
        </w:tc>
        <w:tc>
          <w:tcPr>
            <w:tcW w:type="dxa" w:w="4649"/>
          </w:tcPr>
          <w:p>
            <w:pPr>
              <w:spacing w:after="20"/>
            </w:pPr>
            <w:r/>
            <w:r>
              <w:rPr>
                <w:sz w:val="17"/>
                <w:rFonts w:eastAsia="宋体" w:ascii="Times New Roman" w:hAnsi="Times New Roman"/>
              </w:rPr>
              <w:t>血糖已达标且稳定，无渗透性利尿混杂</w:t>
            </w:r>
          </w:p>
        </w:tc>
        <w:tc>
          <w:tcPr>
            <w:tcW w:type="dxa" w:w="3742"/>
          </w:tcPr>
          <w:p>
            <w:pPr>
              <w:spacing w:after="20"/>
            </w:pPr>
            <w:r/>
            <w:r>
              <w:rPr>
                <w:sz w:val="17"/>
                <w:rFonts w:eastAsia="宋体" w:ascii="Times New Roman" w:hAnsi="Times New Roman"/>
              </w:rPr>
              <w:t>先降糖；高血糖状态下试验结果不可判读</w:t>
            </w:r>
          </w:p>
        </w:tc>
      </w:tr>
      <w:tr>
        <w:tc>
          <w:tcPr>
            <w:tcW w:type="dxa" w:w="1701"/>
          </w:tcPr>
          <w:p>
            <w:pPr>
              <w:spacing w:after="20"/>
            </w:pPr>
            <w:r/>
            <w:r>
              <w:rPr>
                <w:sz w:val="17"/>
                <w:rFonts w:eastAsia="宋体" w:ascii="Times New Roman" w:hAnsi="Times New Roman"/>
              </w:rPr>
              <w:t>电解质前提</w:t>
            </w:r>
          </w:p>
        </w:tc>
        <w:tc>
          <w:tcPr>
            <w:tcW w:type="dxa" w:w="4649"/>
          </w:tcPr>
          <w:p>
            <w:pPr>
              <w:spacing w:after="20"/>
            </w:pPr>
            <w:r/>
            <w:r>
              <w:rPr>
                <w:sz w:val="17"/>
                <w:rFonts w:eastAsia="宋体" w:ascii="Times New Roman" w:hAnsi="Times New Roman"/>
              </w:rPr>
              <w:t>血钠、血钾、血钙、血镁在正常范围；无严重低钾或高钙（二者本身可致肾性多尿，并增加心律失常风险）</w:t>
            </w:r>
          </w:p>
        </w:tc>
        <w:tc>
          <w:tcPr>
            <w:tcW w:type="dxa" w:w="3742"/>
          </w:tcPr>
          <w:p>
            <w:pPr>
              <w:spacing w:after="20"/>
            </w:pPr>
            <w:r/>
            <w:r>
              <w:rPr>
                <w:sz w:val="17"/>
                <w:rFonts w:eastAsia="宋体" w:ascii="Times New Roman" w:hAnsi="Times New Roman"/>
              </w:rPr>
              <w:t>先纠正电解质，再重新评估是否仍有低渗性多尿</w:t>
            </w:r>
          </w:p>
        </w:tc>
      </w:tr>
      <w:tr>
        <w:tc>
          <w:tcPr>
            <w:tcW w:type="dxa" w:w="1701"/>
          </w:tcPr>
          <w:p>
            <w:pPr>
              <w:spacing w:after="20"/>
            </w:pPr>
            <w:r/>
            <w:r>
              <w:rPr>
                <w:sz w:val="17"/>
                <w:rFonts w:eastAsia="宋体" w:ascii="Times New Roman" w:hAnsi="Times New Roman"/>
              </w:rPr>
              <w:t>容量与血流动力学</w:t>
            </w:r>
          </w:p>
        </w:tc>
        <w:tc>
          <w:tcPr>
            <w:tcW w:type="dxa" w:w="4649"/>
          </w:tcPr>
          <w:p>
            <w:pPr>
              <w:spacing w:after="20"/>
            </w:pPr>
            <w:r/>
            <w:r>
              <w:rPr>
                <w:sz w:val="17"/>
                <w:rFonts w:eastAsia="宋体" w:ascii="Times New Roman" w:hAnsi="Times New Roman"/>
              </w:rPr>
              <w:t>血压稳定、无体位性低血压、无活动性出血或感染；已建立静脉通路（试验中可能需要补液或终止）</w:t>
            </w:r>
          </w:p>
        </w:tc>
        <w:tc>
          <w:tcPr>
            <w:tcW w:type="dxa" w:w="3742"/>
          </w:tcPr>
          <w:p>
            <w:pPr>
              <w:spacing w:after="20"/>
            </w:pPr>
            <w:r/>
            <w:r>
              <w:rPr>
                <w:sz w:val="17"/>
                <w:rFonts w:eastAsia="宋体" w:ascii="Times New Roman" w:hAnsi="Times New Roman"/>
              </w:rPr>
              <w:t>推迟试验</w:t>
            </w:r>
          </w:p>
        </w:tc>
      </w:tr>
      <w:tr>
        <w:tc>
          <w:tcPr>
            <w:tcW w:type="dxa" w:w="1701"/>
          </w:tcPr>
          <w:p>
            <w:pPr>
              <w:spacing w:after="20"/>
            </w:pPr>
            <w:r/>
            <w:r>
              <w:rPr>
                <w:sz w:val="17"/>
                <w:rFonts w:eastAsia="宋体" w:ascii="Times New Roman" w:hAnsi="Times New Roman"/>
              </w:rPr>
              <w:t>肾功能</w:t>
            </w:r>
          </w:p>
        </w:tc>
        <w:tc>
          <w:tcPr>
            <w:tcW w:type="dxa" w:w="4649"/>
          </w:tcPr>
          <w:p>
            <w:pPr>
              <w:spacing w:after="20"/>
            </w:pPr>
            <w:r/>
            <w:r>
              <w:rPr>
                <w:sz w:val="17"/>
                <w:rFonts w:eastAsia="宋体" w:ascii="Times New Roman" w:hAnsi="Times New Roman"/>
              </w:rPr>
              <w:t>肌酐/eGFR 稳定，无急性肾损伤</w:t>
            </w:r>
          </w:p>
        </w:tc>
        <w:tc>
          <w:tcPr>
            <w:tcW w:type="dxa" w:w="3742"/>
          </w:tcPr>
          <w:p>
            <w:pPr>
              <w:spacing w:after="20"/>
            </w:pPr>
            <w:r/>
            <w:r>
              <w:rPr>
                <w:sz w:val="17"/>
                <w:rFonts w:eastAsia="宋体" w:ascii="Times New Roman" w:hAnsi="Times New Roman"/>
              </w:rPr>
              <w:t>推迟试验并先明确肾功能状态</w:t>
            </w:r>
          </w:p>
        </w:tc>
      </w:tr>
      <w:tr>
        <w:tc>
          <w:tcPr>
            <w:tcW w:type="dxa" w:w="1701"/>
          </w:tcPr>
          <w:p>
            <w:pPr>
              <w:spacing w:after="20"/>
            </w:pPr>
            <w:r/>
            <w:r>
              <w:rPr>
                <w:sz w:val="17"/>
                <w:rFonts w:eastAsia="宋体" w:ascii="Times New Roman" w:hAnsi="Times New Roman"/>
              </w:rPr>
              <w:t>知情同意与可监护性</w:t>
            </w:r>
          </w:p>
        </w:tc>
        <w:tc>
          <w:tcPr>
            <w:tcW w:type="dxa" w:w="4649"/>
          </w:tcPr>
          <w:p>
            <w:pPr>
              <w:spacing w:after="20"/>
            </w:pPr>
            <w:r/>
            <w:r>
              <w:rPr>
                <w:sz w:val="17"/>
                <w:rFonts w:eastAsia="宋体" w:ascii="Times New Roman" w:hAnsi="Times New Roman"/>
              </w:rPr>
              <w:t>患者及家属知情同意；试验期间可连续监护，有明确的终止标准与抢救预案；记录人员与设备到位</w:t>
            </w:r>
          </w:p>
        </w:tc>
        <w:tc>
          <w:tcPr>
            <w:tcW w:type="dxa" w:w="3742"/>
          </w:tcPr>
          <w:p>
            <w:pPr>
              <w:spacing w:after="20"/>
            </w:pPr>
            <w:r/>
            <w:r>
              <w:rPr>
                <w:sz w:val="17"/>
                <w:rFonts w:eastAsia="宋体" w:ascii="Times New Roman" w:hAnsi="Times New Roman"/>
              </w:rPr>
              <w:t>不得在无法监护或无人监护的条件下执行</w:t>
            </w:r>
          </w:p>
        </w:tc>
      </w:tr>
      <w:tr>
        <w:tc>
          <w:tcPr>
            <w:tcW w:type="dxa" w:w="1701"/>
          </w:tcPr>
          <w:p>
            <w:pPr>
              <w:spacing w:after="20"/>
            </w:pPr>
            <w:r/>
            <w:r>
              <w:rPr>
                <w:sz w:val="17"/>
                <w:rFonts w:eastAsia="宋体" w:ascii="Times New Roman" w:hAnsi="Times New Roman"/>
              </w:rPr>
              <w:t>禁水试验特定风险</w:t>
            </w:r>
          </w:p>
        </w:tc>
        <w:tc>
          <w:tcPr>
            <w:tcW w:type="dxa" w:w="4649"/>
          </w:tcPr>
          <w:p>
            <w:pPr>
              <w:spacing w:after="20"/>
            </w:pPr>
            <w:r/>
            <w:r>
              <w:rPr>
                <w:sz w:val="17"/>
                <w:rFonts w:eastAsia="宋体" w:ascii="Times New Roman" w:hAnsi="Times New Roman"/>
              </w:rPr>
              <w:t>禁水期间必须严密监测：体重下降 &gt; 3–5%、血钠 &gt; 145–150 mmol/L、出现难以耐受的口渴、血压下降、心率增快或神经系统症状 → 立即终止并给予水/DDAVP</w:t>
            </w:r>
          </w:p>
        </w:tc>
        <w:tc>
          <w:tcPr>
            <w:tcW w:type="dxa" w:w="3742"/>
          </w:tcPr>
          <w:p>
            <w:pPr>
              <w:spacing w:after="20"/>
            </w:pPr>
            <w:r/>
            <w:r>
              <w:rPr>
                <w:sz w:val="17"/>
                <w:rFonts w:eastAsia="宋体" w:ascii="Times New Roman" w:hAnsi="Times New Roman"/>
              </w:rPr>
              <w:t>终止即为试验结束，按已获得的数据判读，不得为“完成方案”而延长</w:t>
            </w:r>
          </w:p>
        </w:tc>
      </w:tr>
      <w:tr>
        <w:tc>
          <w:tcPr>
            <w:tcW w:type="dxa" w:w="1701"/>
          </w:tcPr>
          <w:p>
            <w:pPr>
              <w:spacing w:after="20"/>
            </w:pPr>
            <w:r/>
            <w:r>
              <w:rPr>
                <w:sz w:val="17"/>
                <w:rFonts w:eastAsia="宋体" w:ascii="Times New Roman" w:hAnsi="Times New Roman"/>
              </w:rPr>
              <w:t>高渗盐水刺激试验特定风险</w:t>
            </w:r>
          </w:p>
        </w:tc>
        <w:tc>
          <w:tcPr>
            <w:tcW w:type="dxa" w:w="4649"/>
          </w:tcPr>
          <w:p>
            <w:pPr>
              <w:spacing w:after="20"/>
            </w:pPr>
            <w:r/>
            <w:r>
              <w:rPr>
                <w:sz w:val="17"/>
                <w:rFonts w:eastAsia="宋体" w:ascii="Times New Roman" w:hAnsi="Times New Roman"/>
              </w:rPr>
              <w:t>需在可监护环境进行，监测血钠上升速度与渗透压；有心功能不全、严重高血压或脑血管病者慎用/禁用；Copeptin 检测的可及性决定该路径是否可行</w:t>
            </w:r>
          </w:p>
        </w:tc>
        <w:tc>
          <w:tcPr>
            <w:tcW w:type="dxa" w:w="3742"/>
          </w:tcPr>
          <w:p>
            <w:pPr>
              <w:spacing w:after="20"/>
            </w:pPr>
            <w:r/>
            <w:r>
              <w:rPr>
                <w:sz w:val="17"/>
                <w:rFonts w:eastAsia="宋体" w:ascii="Times New Roman" w:hAnsi="Times New Roman"/>
              </w:rPr>
              <w:t>不可及时改用禁水+DDAVP 联合判读路径</w:t>
            </w:r>
          </w:p>
        </w:tc>
      </w:tr>
      <w:tr>
        <w:tc>
          <w:tcPr>
            <w:tcW w:type="dxa" w:w="1701"/>
          </w:tcPr>
          <w:p>
            <w:pPr>
              <w:spacing w:after="20"/>
            </w:pPr>
            <w:r/>
            <w:r>
              <w:rPr>
                <w:sz w:val="17"/>
                <w:rFonts w:eastAsia="宋体" w:ascii="Times New Roman" w:hAnsi="Times New Roman"/>
              </w:rPr>
              <w:t>禁止事项</w:t>
            </w:r>
          </w:p>
        </w:tc>
        <w:tc>
          <w:tcPr>
            <w:tcW w:type="dxa" w:w="4649"/>
          </w:tcPr>
          <w:p>
            <w:pPr>
              <w:spacing w:after="20"/>
            </w:pPr>
            <w:r/>
            <w:r>
              <w:rPr>
                <w:sz w:val="17"/>
                <w:rFonts w:eastAsia="宋体" w:ascii="Times New Roman" w:hAnsi="Times New Roman"/>
              </w:rPr>
              <w:t>不得仅凭床旁交班摘要直接启动动态多尿试验；不得在外院人工转录结果基础上启动试验；不得在本次入院当前样本结果未回报前启动试验</w:t>
            </w:r>
          </w:p>
        </w:tc>
        <w:tc>
          <w:tcPr>
            <w:tcW w:type="dxa" w:w="3742"/>
          </w:tcPr>
          <w:p>
            <w:pPr>
              <w:spacing w:after="20"/>
            </w:pPr>
            <w:r/>
            <w:r>
              <w:rPr>
                <w:sz w:val="17"/>
                <w:rFonts w:eastAsia="宋体" w:ascii="Times New Roman" w:hAnsi="Times New Roman"/>
              </w:rPr>
              <w:t>以本次入院当前样本结果与主治医师审核意见为启动依据</w:t>
            </w:r>
          </w:p>
        </w:tc>
      </w:tr>
    </w:tbl>
    <w:p>
      <w:pPr>
        <w:spacing w:after="40"/>
      </w:pPr>
    </w:p>
    <w:p>
      <w:pPr>
        <w:spacing w:after="80"/>
      </w:pPr>
      <w:r>
        <w:rPr>
          <w:b w:val="0"/>
          <w:i/>
          <w:sz w:val="19"/>
          <w:rFonts w:eastAsia="宋体" w:ascii="Times New Roman" w:hAnsi="Times New Roman"/>
        </w:rPr>
        <w:t>结论边界：多尿病因诊断在阶段 3 完成前一律写“多饮多尿，病因待查”。即使禁水试验结果阳性，也须结合 DDAVP 反应与影像综合定型，不得单凭一项试验定论。</w:t>
      </w:r>
    </w:p>
    <w:p>
      <w:r>
        <w:br w:type="page"/>
      </w:r>
    </w:p>
    <w:p>
      <w:pPr>
        <w:pStyle w:val="Heading1"/>
        <w:spacing w:before="200" w:after="100"/>
      </w:pPr>
      <w:r>
        <w:rPr>
          <w:rFonts w:eastAsia="宋体" w:ascii="Times New Roman" w:hAnsi="Times New Roman"/>
        </w:rPr>
        <w:t>第四部分　马凡综合征 / 马凡样综合征评估与育龄患者辐射前妊娠核实</w:t>
      </w:r>
    </w:p>
    <w:p>
      <w:pPr>
        <w:pStyle w:val="Heading2"/>
        <w:spacing w:before="160" w:after="100"/>
      </w:pPr>
      <w:r>
        <w:rPr>
          <w:rFonts w:eastAsia="宋体" w:ascii="Times New Roman" w:hAnsi="Times New Roman"/>
        </w:rPr>
        <w:t>4.1 本例已有的马凡样线索（来自本次入院查体）</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587"/>
            <w:shd w:val="clear" w:color="auto" w:fill="DCE6F1"/>
          </w:tcPr>
          <w:p>
            <w:pPr>
              <w:spacing w:after="20"/>
            </w:pPr>
            <w:r/>
            <w:r>
              <w:rPr>
                <w:b/>
                <w:sz w:val="17"/>
                <w:rFonts w:eastAsia="宋体" w:ascii="Times New Roman" w:hAnsi="Times New Roman"/>
              </w:rPr>
              <w:t>线索</w:t>
            </w:r>
          </w:p>
        </w:tc>
        <w:tc>
          <w:tcPr>
            <w:tcW w:type="dxa" w:w="2835"/>
            <w:shd w:val="clear" w:color="auto" w:fill="DCE6F1"/>
          </w:tcPr>
          <w:p>
            <w:pPr>
              <w:spacing w:after="20"/>
            </w:pPr>
            <w:r/>
            <w:r>
              <w:rPr>
                <w:b/>
                <w:sz w:val="17"/>
                <w:rFonts w:eastAsia="宋体" w:ascii="Times New Roman" w:hAnsi="Times New Roman"/>
              </w:rPr>
              <w:t>本例数值/描述</w:t>
            </w:r>
          </w:p>
        </w:tc>
        <w:tc>
          <w:tcPr>
            <w:tcW w:type="dxa" w:w="1134"/>
            <w:shd w:val="clear" w:color="auto" w:fill="DCE6F1"/>
          </w:tcPr>
          <w:p>
            <w:pPr>
              <w:spacing w:after="20"/>
            </w:pPr>
            <w:r/>
            <w:r>
              <w:rPr>
                <w:b/>
                <w:sz w:val="17"/>
                <w:rFonts w:eastAsia="宋体" w:ascii="Times New Roman" w:hAnsi="Times New Roman"/>
              </w:rPr>
              <w:t>系统归属</w:t>
            </w:r>
          </w:p>
        </w:tc>
        <w:tc>
          <w:tcPr>
            <w:tcW w:type="dxa" w:w="4535"/>
            <w:shd w:val="clear" w:color="auto" w:fill="DCE6F1"/>
          </w:tcPr>
          <w:p>
            <w:pPr>
              <w:spacing w:after="20"/>
            </w:pPr>
            <w:r/>
            <w:r>
              <w:rPr>
                <w:b/>
                <w:sz w:val="17"/>
                <w:rFonts w:eastAsia="宋体" w:ascii="Times New Roman" w:hAnsi="Times New Roman"/>
              </w:rPr>
              <w:t>说明</w:t>
            </w:r>
          </w:p>
        </w:tc>
      </w:tr>
      <w:tr>
        <w:tc>
          <w:tcPr>
            <w:tcW w:type="dxa" w:w="1587"/>
          </w:tcPr>
          <w:p>
            <w:pPr>
              <w:spacing w:after="20"/>
            </w:pPr>
            <w:r/>
            <w:r>
              <w:rPr>
                <w:sz w:val="17"/>
                <w:rFonts w:eastAsia="宋体" w:ascii="Times New Roman" w:hAnsi="Times New Roman"/>
              </w:rPr>
              <w:t>臂展/身高比</w:t>
            </w:r>
          </w:p>
        </w:tc>
        <w:tc>
          <w:tcPr>
            <w:tcW w:type="dxa" w:w="2835"/>
          </w:tcPr>
          <w:p>
            <w:pPr>
              <w:spacing w:after="20"/>
            </w:pPr>
            <w:r/>
            <w:r>
              <w:rPr>
                <w:sz w:val="17"/>
                <w:rFonts w:eastAsia="宋体" w:ascii="Times New Roman" w:hAnsi="Times New Roman"/>
              </w:rPr>
              <w:t>臂展 171 cm / 身高 166 cm = 1.030</w:t>
            </w:r>
          </w:p>
        </w:tc>
        <w:tc>
          <w:tcPr>
            <w:tcW w:type="dxa" w:w="1134"/>
          </w:tcPr>
          <w:p>
            <w:pPr>
              <w:spacing w:after="20"/>
            </w:pPr>
            <w:r/>
            <w:r>
              <w:rPr>
                <w:sz w:val="17"/>
                <w:rFonts w:eastAsia="宋体" w:ascii="Times New Roman" w:hAnsi="Times New Roman"/>
              </w:rPr>
              <w:t>骨骼</w:t>
            </w:r>
          </w:p>
        </w:tc>
        <w:tc>
          <w:tcPr>
            <w:tcW w:type="dxa" w:w="4535"/>
          </w:tcPr>
          <w:p>
            <w:pPr>
              <w:spacing w:after="20"/>
            </w:pPr>
            <w:r/>
            <w:r>
              <w:rPr>
                <w:sz w:val="17"/>
                <w:rFonts w:eastAsia="宋体" w:ascii="Times New Roman" w:hAnsi="Times New Roman"/>
              </w:rPr>
              <w:t>通常以 &gt; 1.05 为阳性阈值；本例未达该阈值，属边缘性线索</w:t>
            </w:r>
          </w:p>
        </w:tc>
      </w:tr>
      <w:tr>
        <w:tc>
          <w:tcPr>
            <w:tcW w:type="dxa" w:w="1587"/>
          </w:tcPr>
          <w:p>
            <w:pPr>
              <w:spacing w:after="20"/>
            </w:pPr>
            <w:r/>
            <w:r>
              <w:rPr>
                <w:sz w:val="17"/>
                <w:rFonts w:eastAsia="宋体" w:ascii="Times New Roman" w:hAnsi="Times New Roman"/>
              </w:rPr>
              <w:t>上部量/下部量</w:t>
            </w:r>
          </w:p>
        </w:tc>
        <w:tc>
          <w:tcPr>
            <w:tcW w:type="dxa" w:w="2835"/>
          </w:tcPr>
          <w:p>
            <w:pPr>
              <w:spacing w:after="20"/>
            </w:pPr>
            <w:r/>
            <w:r>
              <w:rPr>
                <w:sz w:val="17"/>
                <w:rFonts w:eastAsia="宋体" w:ascii="Times New Roman" w:hAnsi="Times New Roman"/>
              </w:rPr>
              <w:t>上部量 80 cm，下部量 86 cm（下部量 &gt; 上部量）</w:t>
            </w:r>
          </w:p>
        </w:tc>
        <w:tc>
          <w:tcPr>
            <w:tcW w:type="dxa" w:w="1134"/>
          </w:tcPr>
          <w:p>
            <w:pPr>
              <w:spacing w:after="20"/>
            </w:pPr>
            <w:r/>
            <w:r>
              <w:rPr>
                <w:sz w:val="17"/>
                <w:rFonts w:eastAsia="宋体" w:ascii="Times New Roman" w:hAnsi="Times New Roman"/>
              </w:rPr>
              <w:t>骨骼</w:t>
            </w:r>
          </w:p>
        </w:tc>
        <w:tc>
          <w:tcPr>
            <w:tcW w:type="dxa" w:w="4535"/>
          </w:tcPr>
          <w:p>
            <w:pPr>
              <w:spacing w:after="20"/>
            </w:pPr>
            <w:r/>
            <w:r>
              <w:rPr>
                <w:sz w:val="17"/>
                <w:rFonts w:eastAsia="宋体" w:ascii="Times New Roman" w:hAnsi="Times New Roman"/>
              </w:rPr>
              <w:t>成人下部量&gt;上部量提示肢体相对过长；需与年龄、性别参照及既往生长记录结合</w:t>
            </w:r>
          </w:p>
        </w:tc>
      </w:tr>
      <w:tr>
        <w:tc>
          <w:tcPr>
            <w:tcW w:type="dxa" w:w="1587"/>
          </w:tcPr>
          <w:p>
            <w:pPr>
              <w:spacing w:after="20"/>
            </w:pPr>
            <w:r/>
            <w:r>
              <w:rPr>
                <w:sz w:val="17"/>
                <w:rFonts w:eastAsia="宋体" w:ascii="Times New Roman" w:hAnsi="Times New Roman"/>
              </w:rPr>
              <w:t>拇指征 / 腕征</w:t>
            </w:r>
          </w:p>
        </w:tc>
        <w:tc>
          <w:tcPr>
            <w:tcW w:type="dxa" w:w="2835"/>
          </w:tcPr>
          <w:p>
            <w:pPr>
              <w:spacing w:after="20"/>
            </w:pPr>
            <w:r/>
            <w:r>
              <w:rPr>
                <w:sz w:val="17"/>
                <w:rFonts w:eastAsia="宋体" w:ascii="Times New Roman" w:hAnsi="Times New Roman"/>
              </w:rPr>
              <w:t>均阳性</w:t>
            </w:r>
          </w:p>
        </w:tc>
        <w:tc>
          <w:tcPr>
            <w:tcW w:type="dxa" w:w="1134"/>
          </w:tcPr>
          <w:p>
            <w:pPr>
              <w:spacing w:after="20"/>
            </w:pPr>
            <w:r/>
            <w:r>
              <w:rPr>
                <w:sz w:val="17"/>
                <w:rFonts w:eastAsia="宋体" w:ascii="Times New Roman" w:hAnsi="Times New Roman"/>
              </w:rPr>
              <w:t>骨骼</w:t>
            </w:r>
          </w:p>
        </w:tc>
        <w:tc>
          <w:tcPr>
            <w:tcW w:type="dxa" w:w="4535"/>
          </w:tcPr>
          <w:p>
            <w:pPr>
              <w:spacing w:after="20"/>
            </w:pPr>
            <w:r/>
            <w:r>
              <w:rPr>
                <w:sz w:val="17"/>
                <w:rFonts w:eastAsia="宋体" w:ascii="Times New Roman" w:hAnsi="Times New Roman"/>
              </w:rPr>
              <w:t>为手部过度活动性体征，特异性有限，需与全身评分联合</w:t>
            </w:r>
          </w:p>
        </w:tc>
      </w:tr>
      <w:tr>
        <w:tc>
          <w:tcPr>
            <w:tcW w:type="dxa" w:w="1587"/>
          </w:tcPr>
          <w:p>
            <w:pPr>
              <w:spacing w:after="20"/>
            </w:pPr>
            <w:r/>
            <w:r>
              <w:rPr>
                <w:sz w:val="17"/>
                <w:rFonts w:eastAsia="宋体" w:ascii="Times New Roman" w:hAnsi="Times New Roman"/>
              </w:rPr>
              <w:t>脊柱</w:t>
            </w:r>
          </w:p>
        </w:tc>
        <w:tc>
          <w:tcPr>
            <w:tcW w:type="dxa" w:w="2835"/>
          </w:tcPr>
          <w:p>
            <w:pPr>
              <w:spacing w:after="20"/>
            </w:pPr>
            <w:r/>
            <w:r>
              <w:rPr>
                <w:sz w:val="17"/>
                <w:rFonts w:eastAsia="宋体" w:ascii="Times New Roman" w:hAnsi="Times New Roman"/>
              </w:rPr>
              <w:t>可疑侧弯</w:t>
            </w:r>
          </w:p>
        </w:tc>
        <w:tc>
          <w:tcPr>
            <w:tcW w:type="dxa" w:w="1134"/>
          </w:tcPr>
          <w:p>
            <w:pPr>
              <w:spacing w:after="20"/>
            </w:pPr>
            <w:r/>
            <w:r>
              <w:rPr>
                <w:sz w:val="17"/>
                <w:rFonts w:eastAsia="宋体" w:ascii="Times New Roman" w:hAnsi="Times New Roman"/>
              </w:rPr>
              <w:t>骨骼</w:t>
            </w:r>
          </w:p>
        </w:tc>
        <w:tc>
          <w:tcPr>
            <w:tcW w:type="dxa" w:w="4535"/>
          </w:tcPr>
          <w:p>
            <w:pPr>
              <w:spacing w:after="20"/>
            </w:pPr>
            <w:r/>
            <w:r>
              <w:rPr>
                <w:sz w:val="17"/>
                <w:rFonts w:eastAsia="宋体" w:ascii="Times New Roman" w:hAnsi="Times New Roman"/>
              </w:rPr>
              <w:t>需影像确认（见 4.4 辐射前置条件）</w:t>
            </w:r>
          </w:p>
        </w:tc>
      </w:tr>
      <w:tr>
        <w:tc>
          <w:tcPr>
            <w:tcW w:type="dxa" w:w="1587"/>
          </w:tcPr>
          <w:p>
            <w:pPr>
              <w:spacing w:after="20"/>
            </w:pPr>
            <w:r/>
            <w:r>
              <w:rPr>
                <w:sz w:val="17"/>
                <w:rFonts w:eastAsia="宋体" w:ascii="Times New Roman" w:hAnsi="Times New Roman"/>
              </w:rPr>
              <w:t>足</w:t>
            </w:r>
          </w:p>
        </w:tc>
        <w:tc>
          <w:tcPr>
            <w:tcW w:type="dxa" w:w="2835"/>
          </w:tcPr>
          <w:p>
            <w:pPr>
              <w:spacing w:after="20"/>
            </w:pPr>
            <w:r/>
            <w:r>
              <w:rPr>
                <w:sz w:val="17"/>
                <w:rFonts w:eastAsia="宋体" w:ascii="Times New Roman" w:hAnsi="Times New Roman"/>
              </w:rPr>
              <w:t>拇外翻</w:t>
            </w:r>
          </w:p>
        </w:tc>
        <w:tc>
          <w:tcPr>
            <w:tcW w:type="dxa" w:w="1134"/>
          </w:tcPr>
          <w:p>
            <w:pPr>
              <w:spacing w:after="20"/>
            </w:pPr>
            <w:r/>
            <w:r>
              <w:rPr>
                <w:sz w:val="17"/>
                <w:rFonts w:eastAsia="宋体" w:ascii="Times New Roman" w:hAnsi="Times New Roman"/>
              </w:rPr>
              <w:t>骨骼</w:t>
            </w:r>
          </w:p>
        </w:tc>
        <w:tc>
          <w:tcPr>
            <w:tcW w:type="dxa" w:w="4535"/>
          </w:tcPr>
          <w:p>
            <w:pPr>
              <w:spacing w:after="20"/>
            </w:pPr>
            <w:r/>
            <w:r>
              <w:rPr>
                <w:sz w:val="17"/>
                <w:rFonts w:eastAsia="宋体" w:ascii="Times New Roman" w:hAnsi="Times New Roman"/>
              </w:rPr>
              <w:t>非马凡综合征系统评分核心项，但常见于结缔组织病</w:t>
            </w:r>
          </w:p>
        </w:tc>
      </w:tr>
      <w:tr>
        <w:tc>
          <w:tcPr>
            <w:tcW w:type="dxa" w:w="1587"/>
          </w:tcPr>
          <w:p>
            <w:pPr>
              <w:spacing w:after="20"/>
            </w:pPr>
            <w:r/>
            <w:r>
              <w:rPr>
                <w:sz w:val="17"/>
                <w:rFonts w:eastAsia="宋体" w:ascii="Times New Roman" w:hAnsi="Times New Roman"/>
              </w:rPr>
              <w:t>晶状体脱位</w:t>
            </w:r>
          </w:p>
        </w:tc>
        <w:tc>
          <w:tcPr>
            <w:tcW w:type="dxa" w:w="2835"/>
          </w:tcPr>
          <w:p>
            <w:pPr>
              <w:spacing w:after="20"/>
            </w:pPr>
            <w:r/>
            <w:r>
              <w:rPr>
                <w:sz w:val="17"/>
                <w:rFonts w:eastAsia="宋体" w:ascii="Times New Roman" w:hAnsi="Times New Roman"/>
              </w:rPr>
              <w:t>既往 1 年</w:t>
            </w:r>
          </w:p>
        </w:tc>
        <w:tc>
          <w:tcPr>
            <w:tcW w:type="dxa" w:w="1134"/>
          </w:tcPr>
          <w:p>
            <w:pPr>
              <w:spacing w:after="20"/>
            </w:pPr>
            <w:r/>
            <w:r>
              <w:rPr>
                <w:sz w:val="17"/>
                <w:rFonts w:eastAsia="宋体" w:ascii="Times New Roman" w:hAnsi="Times New Roman"/>
              </w:rPr>
              <w:t>眼</w:t>
            </w:r>
          </w:p>
        </w:tc>
        <w:tc>
          <w:tcPr>
            <w:tcW w:type="dxa" w:w="4535"/>
          </w:tcPr>
          <w:p>
            <w:pPr>
              <w:spacing w:after="20"/>
            </w:pPr>
            <w:r/>
            <w:r>
              <w:rPr>
                <w:sz w:val="17"/>
                <w:rFonts w:eastAsia="宋体" w:ascii="Times New Roman" w:hAnsi="Times New Roman"/>
              </w:rPr>
              <w:t>在马凡综合征系统评分中为高权重表现；同时须与同型半胱氨酸尿症、Loeys-Dietz 综合征等鉴别</w:t>
            </w:r>
          </w:p>
        </w:tc>
      </w:tr>
      <w:tr>
        <w:tc>
          <w:tcPr>
            <w:tcW w:type="dxa" w:w="1587"/>
          </w:tcPr>
          <w:p>
            <w:pPr>
              <w:spacing w:after="20"/>
            </w:pPr>
            <w:r/>
            <w:r>
              <w:rPr>
                <w:sz w:val="17"/>
                <w:rFonts w:eastAsia="宋体" w:ascii="Times New Roman" w:hAnsi="Times New Roman"/>
              </w:rPr>
              <w:t>其他</w:t>
            </w:r>
          </w:p>
        </w:tc>
        <w:tc>
          <w:tcPr>
            <w:tcW w:type="dxa" w:w="2835"/>
          </w:tcPr>
          <w:p>
            <w:pPr>
              <w:spacing w:after="20"/>
            </w:pPr>
            <w:r/>
            <w:r>
              <w:rPr>
                <w:sz w:val="17"/>
                <w:rFonts w:eastAsia="宋体" w:ascii="Times New Roman" w:hAnsi="Times New Roman"/>
              </w:rPr>
              <w:t>BMI 27.8 kg/m²，腰围 106 cm；未记录主动脉/心脏杂音、二尖瓣脱垂、气胸、疝、皮肤条纹等</w:t>
            </w:r>
          </w:p>
        </w:tc>
        <w:tc>
          <w:tcPr>
            <w:tcW w:type="dxa" w:w="1134"/>
          </w:tcPr>
          <w:p>
            <w:pPr>
              <w:spacing w:after="20"/>
            </w:pPr>
            <w:r/>
            <w:r>
              <w:rPr>
                <w:sz w:val="17"/>
                <w:rFonts w:eastAsia="宋体" w:ascii="Times New Roman" w:hAnsi="Times New Roman"/>
              </w:rPr>
              <w:t>心血管 / 其他</w:t>
            </w:r>
          </w:p>
        </w:tc>
        <w:tc>
          <w:tcPr>
            <w:tcW w:type="dxa" w:w="4535"/>
          </w:tcPr>
          <w:p>
            <w:pPr>
              <w:spacing w:after="20"/>
            </w:pPr>
            <w:r/>
            <w:r>
              <w:rPr>
                <w:sz w:val="17"/>
                <w:rFonts w:eastAsia="宋体" w:ascii="Times New Roman" w:hAnsi="Times New Roman"/>
              </w:rPr>
              <w:t>心血管与皮肤系统尚未评估，是当前最大信息缺口</w:t>
            </w:r>
          </w:p>
        </w:tc>
      </w:tr>
    </w:tbl>
    <w:p>
      <w:pPr>
        <w:spacing w:after="40"/>
      </w:pPr>
    </w:p>
    <w:p>
      <w:pPr>
        <w:pStyle w:val="Heading2"/>
        <w:spacing w:before="160" w:after="100"/>
      </w:pPr>
      <w:r>
        <w:rPr>
          <w:rFonts w:eastAsia="宋体" w:ascii="Times New Roman" w:hAnsi="Times New Roman"/>
        </w:rPr>
        <w:t>4.2 评估项目：常规 vs 有适应证才做</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DCE6F1"/>
          </w:tcPr>
          <w:p>
            <w:pPr>
              <w:spacing w:after="20"/>
            </w:pPr>
            <w:r/>
            <w:r>
              <w:rPr>
                <w:b/>
                <w:sz w:val="17"/>
                <w:rFonts w:eastAsia="宋体" w:ascii="Times New Roman" w:hAnsi="Times New Roman"/>
              </w:rPr>
              <w:t>检查</w:t>
            </w:r>
          </w:p>
        </w:tc>
        <w:tc>
          <w:tcPr>
            <w:tcW w:type="dxa" w:w="2381"/>
            <w:shd w:val="clear" w:color="auto" w:fill="DCE6F1"/>
          </w:tcPr>
          <w:p>
            <w:pPr>
              <w:spacing w:after="20"/>
            </w:pPr>
            <w:r/>
            <w:r>
              <w:rPr>
                <w:b/>
                <w:sz w:val="17"/>
                <w:rFonts w:eastAsia="宋体" w:ascii="Times New Roman" w:hAnsi="Times New Roman"/>
              </w:rPr>
              <w:t>类别</w:t>
            </w:r>
          </w:p>
        </w:tc>
        <w:tc>
          <w:tcPr>
            <w:tcW w:type="dxa" w:w="4876"/>
            <w:shd w:val="clear" w:color="auto" w:fill="DCE6F1"/>
          </w:tcPr>
          <w:p>
            <w:pPr>
              <w:spacing w:after="20"/>
            </w:pPr>
            <w:r/>
            <w:r>
              <w:rPr>
                <w:b/>
                <w:sz w:val="17"/>
                <w:rFonts w:eastAsia="宋体" w:ascii="Times New Roman" w:hAnsi="Times New Roman"/>
              </w:rPr>
              <w:t>目的与结论边界</w:t>
            </w:r>
          </w:p>
        </w:tc>
      </w:tr>
      <w:tr>
        <w:tc>
          <w:tcPr>
            <w:tcW w:type="dxa" w:w="2835"/>
          </w:tcPr>
          <w:p>
            <w:pPr>
              <w:spacing w:after="20"/>
            </w:pPr>
            <w:r/>
            <w:r>
              <w:rPr>
                <w:sz w:val="17"/>
                <w:rFonts w:eastAsia="宋体" w:ascii="Times New Roman" w:hAnsi="Times New Roman"/>
              </w:rPr>
              <w:t>经胸心脏超声（含主动脉根部与升主动脉内径、Z 评分、二尖瓣评估）</w:t>
            </w:r>
          </w:p>
        </w:tc>
        <w:tc>
          <w:tcPr>
            <w:tcW w:type="dxa" w:w="2381"/>
          </w:tcPr>
          <w:p>
            <w:pPr>
              <w:spacing w:after="20"/>
            </w:pPr>
            <w:r/>
            <w:r>
              <w:rPr>
                <w:sz w:val="17"/>
                <w:rFonts w:eastAsia="宋体" w:ascii="Times New Roman" w:hAnsi="Times New Roman"/>
              </w:rPr>
              <w:t>常规且优先（本例有晶状体脱位 + 马凡样体征，属强适应证）</w:t>
            </w:r>
          </w:p>
        </w:tc>
        <w:tc>
          <w:tcPr>
            <w:tcW w:type="dxa" w:w="4876"/>
          </w:tcPr>
          <w:p>
            <w:pPr>
              <w:spacing w:after="20"/>
            </w:pPr>
            <w:r/>
            <w:r>
              <w:rPr>
                <w:sz w:val="17"/>
                <w:rFonts w:eastAsia="宋体" w:ascii="Times New Roman" w:hAnsi="Times New Roman"/>
              </w:rPr>
              <w:t>为主动脉病变筛查的必需项；无主动脉扩张不能排除诊断，需按身高/年龄计算 Z 评分并定期随访</w:t>
            </w:r>
          </w:p>
        </w:tc>
      </w:tr>
      <w:tr>
        <w:tc>
          <w:tcPr>
            <w:tcW w:type="dxa" w:w="2835"/>
          </w:tcPr>
          <w:p>
            <w:pPr>
              <w:spacing w:after="20"/>
            </w:pPr>
            <w:r/>
            <w:r>
              <w:rPr>
                <w:sz w:val="17"/>
                <w:rFonts w:eastAsia="宋体" w:ascii="Times New Roman" w:hAnsi="Times New Roman"/>
              </w:rPr>
              <w:t>心电图</w:t>
            </w:r>
          </w:p>
        </w:tc>
        <w:tc>
          <w:tcPr>
            <w:tcW w:type="dxa" w:w="2381"/>
          </w:tcPr>
          <w:p>
            <w:pPr>
              <w:spacing w:after="20"/>
            </w:pPr>
            <w:r/>
            <w:r>
              <w:rPr>
                <w:sz w:val="17"/>
                <w:rFonts w:eastAsia="宋体" w:ascii="Times New Roman" w:hAnsi="Times New Roman"/>
              </w:rPr>
              <w:t>常规</w:t>
            </w:r>
          </w:p>
        </w:tc>
        <w:tc>
          <w:tcPr>
            <w:tcW w:type="dxa" w:w="4876"/>
          </w:tcPr>
          <w:p>
            <w:pPr>
              <w:spacing w:after="20"/>
            </w:pPr>
            <w:r/>
            <w:r>
              <w:rPr>
                <w:sz w:val="17"/>
                <w:rFonts w:eastAsia="宋体" w:ascii="Times New Roman" w:hAnsi="Times New Roman"/>
              </w:rPr>
              <w:t>心律失常与传导异常基线</w:t>
            </w:r>
          </w:p>
        </w:tc>
      </w:tr>
      <w:tr>
        <w:tc>
          <w:tcPr>
            <w:tcW w:type="dxa" w:w="2835"/>
          </w:tcPr>
          <w:p>
            <w:pPr>
              <w:spacing w:after="20"/>
            </w:pPr>
            <w:r/>
            <w:r>
              <w:rPr>
                <w:sz w:val="17"/>
                <w:rFonts w:eastAsia="宋体" w:ascii="Times New Roman" w:hAnsi="Times New Roman"/>
              </w:rPr>
              <w:t>裂隙灯检查（散瞳）+ 眼压、眼底</w:t>
            </w:r>
          </w:p>
        </w:tc>
        <w:tc>
          <w:tcPr>
            <w:tcW w:type="dxa" w:w="2381"/>
          </w:tcPr>
          <w:p>
            <w:pPr>
              <w:spacing w:after="20"/>
            </w:pPr>
            <w:r/>
            <w:r>
              <w:rPr>
                <w:sz w:val="17"/>
                <w:rFonts w:eastAsia="宋体" w:ascii="Times New Roman" w:hAnsi="Times New Roman"/>
              </w:rPr>
              <w:t>常规且优先</w:t>
            </w:r>
          </w:p>
        </w:tc>
        <w:tc>
          <w:tcPr>
            <w:tcW w:type="dxa" w:w="4876"/>
          </w:tcPr>
          <w:p>
            <w:pPr>
              <w:spacing w:after="20"/>
            </w:pPr>
            <w:r/>
            <w:r>
              <w:rPr>
                <w:sz w:val="17"/>
                <w:rFonts w:eastAsia="宋体" w:ascii="Times New Roman" w:hAnsi="Times New Roman"/>
              </w:rPr>
              <w:t>确认晶状体脱位及其方向（马凡综合征多为上方脱位）；与既往诊断核对，属当前样本的眼科再评估</w:t>
            </w:r>
          </w:p>
        </w:tc>
      </w:tr>
      <w:tr>
        <w:tc>
          <w:tcPr>
            <w:tcW w:type="dxa" w:w="2835"/>
          </w:tcPr>
          <w:p>
            <w:pPr>
              <w:spacing w:after="20"/>
            </w:pPr>
            <w:r/>
            <w:r>
              <w:rPr>
                <w:sz w:val="17"/>
                <w:rFonts w:eastAsia="宋体" w:ascii="Times New Roman" w:hAnsi="Times New Roman"/>
              </w:rPr>
              <w:t>骨骼系统评分（如系统评分表：腕征、拇指征、鸡胸/漏斗胸、足跟畸形、气胸、髋臼内陷、上部量/下部量比、脊柱侧弯）</w:t>
            </w:r>
          </w:p>
        </w:tc>
        <w:tc>
          <w:tcPr>
            <w:tcW w:type="dxa" w:w="2381"/>
          </w:tcPr>
          <w:p>
            <w:pPr>
              <w:spacing w:after="20"/>
            </w:pPr>
            <w:r/>
            <w:r>
              <w:rPr>
                <w:sz w:val="17"/>
                <w:rFonts w:eastAsia="宋体" w:ascii="Times New Roman" w:hAnsi="Times New Roman"/>
              </w:rPr>
              <w:t>常规（临床检查，无辐射）</w:t>
            </w:r>
          </w:p>
        </w:tc>
        <w:tc>
          <w:tcPr>
            <w:tcW w:type="dxa" w:w="4876"/>
          </w:tcPr>
          <w:p>
            <w:pPr>
              <w:spacing w:after="20"/>
            </w:pPr>
            <w:r/>
            <w:r>
              <w:rPr>
                <w:sz w:val="17"/>
                <w:rFonts w:eastAsia="宋体" w:ascii="Times New Roman" w:hAnsi="Times New Roman"/>
              </w:rPr>
              <w:t>系统评分须完整采集，本例多项未记录，需补充查体</w:t>
            </w:r>
          </w:p>
        </w:tc>
      </w:tr>
      <w:tr>
        <w:tc>
          <w:tcPr>
            <w:tcW w:type="dxa" w:w="2835"/>
          </w:tcPr>
          <w:p>
            <w:pPr>
              <w:spacing w:after="20"/>
            </w:pPr>
            <w:r/>
            <w:r>
              <w:rPr>
                <w:sz w:val="17"/>
                <w:rFonts w:eastAsia="宋体" w:ascii="Times New Roman" w:hAnsi="Times New Roman"/>
              </w:rPr>
              <w:t>家族史扩展采集（三代、含主动脉夹层/猝死/晶状体脱位/骨骼畸形/身高异常）</w:t>
            </w:r>
          </w:p>
        </w:tc>
        <w:tc>
          <w:tcPr>
            <w:tcW w:type="dxa" w:w="2381"/>
          </w:tcPr>
          <w:p>
            <w:pPr>
              <w:spacing w:after="20"/>
            </w:pPr>
            <w:r/>
            <w:r>
              <w:rPr>
                <w:sz w:val="17"/>
                <w:rFonts w:eastAsia="宋体" w:ascii="Times New Roman" w:hAnsi="Times New Roman"/>
              </w:rPr>
              <w:t>常规</w:t>
            </w:r>
          </w:p>
        </w:tc>
        <w:tc>
          <w:tcPr>
            <w:tcW w:type="dxa" w:w="4876"/>
          </w:tcPr>
          <w:p>
            <w:pPr>
              <w:spacing w:after="20"/>
            </w:pPr>
            <w:r/>
            <w:r>
              <w:rPr>
                <w:sz w:val="17"/>
                <w:rFonts w:eastAsia="宋体" w:ascii="Times New Roman" w:hAnsi="Times New Roman"/>
              </w:rPr>
              <w:t>本例仅记录“姥姥、姥爷患糖尿病”，遗传性结缔组织病的家族史信息缺失，是重要的信息缺口</w:t>
            </w:r>
          </w:p>
        </w:tc>
      </w:tr>
      <w:tr>
        <w:tc>
          <w:tcPr>
            <w:tcW w:type="dxa" w:w="2835"/>
          </w:tcPr>
          <w:p>
            <w:pPr>
              <w:spacing w:after="20"/>
            </w:pPr>
            <w:r/>
            <w:r>
              <w:rPr>
                <w:sz w:val="17"/>
                <w:rFonts w:eastAsia="宋体" w:ascii="Times New Roman" w:hAnsi="Times New Roman"/>
              </w:rPr>
              <w:t>主动脉全程影像（CT 血管造影 / MRA）</w:t>
            </w:r>
          </w:p>
        </w:tc>
        <w:tc>
          <w:tcPr>
            <w:tcW w:type="dxa" w:w="2381"/>
          </w:tcPr>
          <w:p>
            <w:pPr>
              <w:spacing w:after="20"/>
            </w:pPr>
            <w:r/>
            <w:r>
              <w:rPr>
                <w:sz w:val="17"/>
                <w:rFonts w:eastAsia="宋体" w:ascii="Times New Roman" w:hAnsi="Times New Roman"/>
              </w:rPr>
              <w:t>有适应证才做；CT 属电离辐射</w:t>
            </w:r>
          </w:p>
        </w:tc>
        <w:tc>
          <w:tcPr>
            <w:tcW w:type="dxa" w:w="4876"/>
          </w:tcPr>
          <w:p>
            <w:pPr>
              <w:spacing w:after="20"/>
            </w:pPr>
            <w:r/>
            <w:r>
              <w:rPr>
                <w:sz w:val="17"/>
                <w:rFonts w:eastAsia="宋体" w:ascii="Times New Roman" w:hAnsi="Times New Roman"/>
              </w:rPr>
              <w:t>适应证：经胸超声提示主动脉扩张或显示不清、疑似夹层、有主动脉夹层家族史或拟行手术/妊娠计划；育龄女性优先选择 MRI/MRA（无电离辐射），CT 须先完成妊娠核实（见 4.4）</w:t>
            </w:r>
          </w:p>
        </w:tc>
      </w:tr>
      <w:tr>
        <w:tc>
          <w:tcPr>
            <w:tcW w:type="dxa" w:w="2835"/>
          </w:tcPr>
          <w:p>
            <w:pPr>
              <w:spacing w:after="20"/>
            </w:pPr>
            <w:r/>
            <w:r>
              <w:rPr>
                <w:sz w:val="17"/>
                <w:rFonts w:eastAsia="宋体" w:ascii="Times New Roman" w:hAnsi="Times New Roman"/>
              </w:rPr>
              <w:t>FBN1 等基因检测（遗传性主动脉病 panel，含 TGFBR1/2、SMAD3、TGFB2、COL3A1、ACTA2 等）</w:t>
            </w:r>
          </w:p>
        </w:tc>
        <w:tc>
          <w:tcPr>
            <w:tcW w:type="dxa" w:w="2381"/>
          </w:tcPr>
          <w:p>
            <w:pPr>
              <w:spacing w:after="20"/>
            </w:pPr>
            <w:r/>
            <w:r>
              <w:rPr>
                <w:sz w:val="17"/>
                <w:rFonts w:eastAsia="宋体" w:ascii="Times New Roman" w:hAnsi="Times New Roman"/>
              </w:rPr>
              <w:t>有适应证才做</w:t>
            </w:r>
          </w:p>
        </w:tc>
        <w:tc>
          <w:tcPr>
            <w:tcW w:type="dxa" w:w="4876"/>
          </w:tcPr>
          <w:p>
            <w:pPr>
              <w:spacing w:after="20"/>
            </w:pPr>
            <w:r/>
            <w:r>
              <w:rPr>
                <w:sz w:val="17"/>
                <w:rFonts w:eastAsia="宋体" w:ascii="Times New Roman" w:hAnsi="Times New Roman"/>
              </w:rPr>
              <w:t>适应证：符合系统评分或存在主动脉病变/家族史；基因结果可为诊断提供依据并指导家族筛查与妊娠风险评估；阴性结果不排除临床诊断，阳性结果需结合表型判读</w:t>
            </w:r>
          </w:p>
        </w:tc>
      </w:tr>
      <w:tr>
        <w:tc>
          <w:tcPr>
            <w:tcW w:type="dxa" w:w="2835"/>
          </w:tcPr>
          <w:p>
            <w:pPr>
              <w:spacing w:after="20"/>
            </w:pPr>
            <w:r/>
            <w:r>
              <w:rPr>
                <w:sz w:val="17"/>
                <w:rFonts w:eastAsia="宋体" w:ascii="Times New Roman" w:hAnsi="Times New Roman"/>
              </w:rPr>
              <w:t>同型半胱氨酸、尿有机酸（同型半胱氨酸尿症鉴别）</w:t>
            </w:r>
          </w:p>
        </w:tc>
        <w:tc>
          <w:tcPr>
            <w:tcW w:type="dxa" w:w="2381"/>
          </w:tcPr>
          <w:p>
            <w:pPr>
              <w:spacing w:after="20"/>
            </w:pPr>
            <w:r/>
            <w:r>
              <w:rPr>
                <w:sz w:val="17"/>
                <w:rFonts w:eastAsia="宋体" w:ascii="Times New Roman" w:hAnsi="Times New Roman"/>
              </w:rPr>
              <w:t>有适应证才做</w:t>
            </w:r>
          </w:p>
        </w:tc>
        <w:tc>
          <w:tcPr>
            <w:tcW w:type="dxa" w:w="4876"/>
          </w:tcPr>
          <w:p>
            <w:pPr>
              <w:spacing w:after="20"/>
            </w:pPr>
            <w:r/>
            <w:r>
              <w:rPr>
                <w:sz w:val="17"/>
                <w:rFonts w:eastAsia="宋体" w:ascii="Times New Roman" w:hAnsi="Times New Roman"/>
              </w:rPr>
              <w:t>适应证：晶状体脱位（尤其下方脱位）、血栓事件、智力/骨骼异常；本例晶状体脱位为明确适应证，属应查项目</w:t>
            </w:r>
          </w:p>
        </w:tc>
      </w:tr>
      <w:tr>
        <w:tc>
          <w:tcPr>
            <w:tcW w:type="dxa" w:w="2835"/>
          </w:tcPr>
          <w:p>
            <w:pPr>
              <w:spacing w:after="20"/>
            </w:pPr>
            <w:r/>
            <w:r>
              <w:rPr>
                <w:sz w:val="17"/>
                <w:rFonts w:eastAsia="宋体" w:ascii="Times New Roman" w:hAnsi="Times New Roman"/>
              </w:rPr>
              <w:t>其他鉴别：Loeys-Dietz 综合征、Ehlers-Danlos 血管型、二叶式主动脉瓣、Shprintzen-Goldberg 综合征</w:t>
            </w:r>
          </w:p>
        </w:tc>
        <w:tc>
          <w:tcPr>
            <w:tcW w:type="dxa" w:w="2381"/>
          </w:tcPr>
          <w:p>
            <w:pPr>
              <w:spacing w:after="20"/>
            </w:pPr>
            <w:r/>
            <w:r>
              <w:rPr>
                <w:sz w:val="17"/>
                <w:rFonts w:eastAsia="宋体" w:ascii="Times New Roman" w:hAnsi="Times New Roman"/>
              </w:rPr>
              <w:t>有适应证才做（依据表型与基因结果）</w:t>
            </w:r>
          </w:p>
        </w:tc>
        <w:tc>
          <w:tcPr>
            <w:tcW w:type="dxa" w:w="4876"/>
          </w:tcPr>
          <w:p>
            <w:pPr>
              <w:spacing w:after="20"/>
            </w:pPr>
            <w:r/>
            <w:r>
              <w:rPr>
                <w:sz w:val="17"/>
                <w:rFonts w:eastAsia="宋体" w:ascii="Times New Roman" w:hAnsi="Times New Roman"/>
              </w:rPr>
              <w:t>均需以心血管表型与基因结果为基础；不得仅凭马凡样体征直接下诊断</w:t>
            </w:r>
          </w:p>
        </w:tc>
      </w:tr>
      <w:tr>
        <w:tc>
          <w:tcPr>
            <w:tcW w:type="dxa" w:w="2835"/>
          </w:tcPr>
          <w:p>
            <w:pPr>
              <w:spacing w:after="20"/>
            </w:pPr>
            <w:r/>
            <w:r>
              <w:rPr>
                <w:sz w:val="17"/>
                <w:rFonts w:eastAsia="宋体" w:ascii="Times New Roman" w:hAnsi="Times New Roman"/>
              </w:rPr>
              <w:t>血压、四肢血压、脉搏</w:t>
            </w:r>
          </w:p>
        </w:tc>
        <w:tc>
          <w:tcPr>
            <w:tcW w:type="dxa" w:w="2381"/>
          </w:tcPr>
          <w:p>
            <w:pPr>
              <w:spacing w:after="20"/>
            </w:pPr>
            <w:r/>
            <w:r>
              <w:rPr>
                <w:sz w:val="17"/>
                <w:rFonts w:eastAsia="宋体" w:ascii="Times New Roman" w:hAnsi="Times New Roman"/>
              </w:rPr>
              <w:t>常规床旁</w:t>
            </w:r>
          </w:p>
        </w:tc>
        <w:tc>
          <w:tcPr>
            <w:tcW w:type="dxa" w:w="4876"/>
          </w:tcPr>
          <w:p>
            <w:pPr>
              <w:spacing w:after="20"/>
            </w:pPr>
            <w:r/>
            <w:r>
              <w:rPr>
                <w:sz w:val="17"/>
                <w:rFonts w:eastAsia="宋体" w:ascii="Times New Roman" w:hAnsi="Times New Roman"/>
              </w:rPr>
              <w:t>主动脉病变与血流动力学基线；必要时评估差异</w:t>
            </w:r>
          </w:p>
        </w:tc>
      </w:tr>
    </w:tbl>
    <w:p>
      <w:pPr>
        <w:spacing w:after="40"/>
      </w:pPr>
    </w:p>
    <w:p>
      <w:pPr>
        <w:spacing w:after="80"/>
      </w:pPr>
      <w:r>
        <w:rPr>
          <w:b w:val="0"/>
          <w:i/>
          <w:sz w:val="19"/>
          <w:rFonts w:eastAsia="宋体" w:ascii="Times New Roman" w:hAnsi="Times New Roman"/>
        </w:rPr>
        <w:t>诊断层级（本阶段）：仅可写“马凡样体征（多系统受累待评估），需排除马凡综合征及Loeys-Dietz 等遗传性主动脉病”。系统评分与主动脉影像、基因结果回报前，不得写“马凡综合征”。</w:t>
      </w:r>
    </w:p>
    <w:p>
      <w:pPr>
        <w:pStyle w:val="Heading2"/>
        <w:spacing w:before="160" w:after="100"/>
      </w:pPr>
      <w:r>
        <w:rPr>
          <w:rFonts w:eastAsia="宋体" w:ascii="Times New Roman" w:hAnsi="Times New Roman"/>
        </w:rPr>
        <w:t>4.3 与内分泌-多尿路径的交叉提示</w:t>
      </w:r>
    </w:p>
    <w:p>
      <w:pPr>
        <w:pStyle w:val="ListBullet"/>
        <w:spacing w:after="40"/>
        <w:ind w:left="340"/>
      </w:pPr>
      <w:r>
        <w:rPr>
          <w:sz w:val="21"/>
          <w:rFonts w:eastAsia="宋体" w:ascii="Times New Roman" w:hAnsi="Times New Roman"/>
        </w:rPr>
        <w:t>晶状体脱位 + 马凡样体征 + 多尿：需在鉴别中保留综合征性病因的可能（如合并垂体/垂体柄病变所致中枢性尿崩症），因此第三部分阶段 3 的垂体影像评估与第四部分的心血管评估应统筹安排，避免重复辐射暴露。</w:t>
      </w:r>
    </w:p>
    <w:p>
      <w:pPr>
        <w:pStyle w:val="ListBullet"/>
        <w:spacing w:after="40"/>
        <w:ind w:left="340"/>
      </w:pPr>
      <w:r>
        <w:rPr>
          <w:sz w:val="21"/>
          <w:rFonts w:eastAsia="宋体" w:ascii="Times New Roman" w:hAnsi="Times New Roman"/>
        </w:rPr>
        <w:t>若后续确诊遗传性主动脉病，将直接影响妊娠风险分层与避孕/孕前咨询策略（主动脉夹层风险与妊娠相关），故第 2.4 与第 4.2 项应联动完成。</w:t>
      </w:r>
    </w:p>
    <w:p>
      <w:pPr>
        <w:pStyle w:val="Heading2"/>
        <w:spacing w:before="160" w:after="100"/>
      </w:pPr>
      <w:r>
        <w:rPr>
          <w:rFonts w:eastAsia="宋体" w:ascii="Times New Roman" w:hAnsi="Times New Roman"/>
        </w:rPr>
        <w:t>4.4 育龄患者非急诊电离辐射检查前的妊娠核实流程</w:t>
      </w:r>
    </w:p>
    <w:p>
      <w:pPr>
        <w:spacing w:after="80"/>
      </w:pPr>
      <w:r>
        <w:rPr>
          <w:b w:val="0"/>
          <w:i w:val="0"/>
          <w:sz w:val="19"/>
          <w:rFonts w:eastAsia="宋体" w:ascii="Times New Roman" w:hAnsi="Times New Roman"/>
        </w:rPr>
        <w:t>依据规则 2.3：对月经不规律且妊娠状态未核实的育龄患者，在安排使用电离辐射的非急诊影像前，应先记录妊娠状态并据此决定实施或延期；急救所必需的检查按临床风险权衡执行。</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1134"/>
            <w:shd w:val="clear" w:color="auto" w:fill="DCE6F1"/>
          </w:tcPr>
          <w:p>
            <w:pPr>
              <w:spacing w:after="20"/>
            </w:pPr>
            <w:r/>
            <w:r>
              <w:rPr>
                <w:b/>
                <w:sz w:val="17"/>
                <w:rFonts w:eastAsia="宋体" w:ascii="Times New Roman" w:hAnsi="Times New Roman"/>
              </w:rPr>
              <w:t>步骤</w:t>
            </w:r>
          </w:p>
        </w:tc>
        <w:tc>
          <w:tcPr>
            <w:tcW w:type="dxa" w:w="3628"/>
            <w:shd w:val="clear" w:color="auto" w:fill="DCE6F1"/>
          </w:tcPr>
          <w:p>
            <w:pPr>
              <w:spacing w:after="20"/>
            </w:pPr>
            <w:r/>
            <w:r>
              <w:rPr>
                <w:b/>
                <w:sz w:val="17"/>
                <w:rFonts w:eastAsia="宋体" w:ascii="Times New Roman" w:hAnsi="Times New Roman"/>
              </w:rPr>
              <w:t>操作</w:t>
            </w:r>
          </w:p>
        </w:tc>
        <w:tc>
          <w:tcPr>
            <w:tcW w:type="dxa" w:w="5329"/>
            <w:shd w:val="clear" w:color="auto" w:fill="DCE6F1"/>
          </w:tcPr>
          <w:p>
            <w:pPr>
              <w:spacing w:after="20"/>
            </w:pPr>
            <w:r/>
            <w:r>
              <w:rPr>
                <w:b/>
                <w:sz w:val="17"/>
                <w:rFonts w:eastAsia="宋体" w:ascii="Times New Roman" w:hAnsi="Times New Roman"/>
              </w:rPr>
              <w:t>说明与边界</w:t>
            </w:r>
          </w:p>
        </w:tc>
      </w:tr>
      <w:tr>
        <w:tc>
          <w:tcPr>
            <w:tcW w:type="dxa" w:w="1134"/>
          </w:tcPr>
          <w:p>
            <w:pPr>
              <w:spacing w:after="20"/>
            </w:pPr>
            <w:r/>
            <w:r>
              <w:rPr>
                <w:sz w:val="17"/>
                <w:rFonts w:eastAsia="宋体" w:ascii="Times New Roman" w:hAnsi="Times New Roman"/>
              </w:rPr>
              <w:t>① 核实</w:t>
            </w:r>
          </w:p>
        </w:tc>
        <w:tc>
          <w:tcPr>
            <w:tcW w:type="dxa" w:w="3628"/>
          </w:tcPr>
          <w:p>
            <w:pPr>
              <w:spacing w:after="20"/>
            </w:pPr>
            <w:r/>
            <w:r>
              <w:rPr>
                <w:sz w:val="17"/>
                <w:rFonts w:eastAsia="宋体" w:ascii="Times New Roman" w:hAnsi="Times New Roman"/>
              </w:rPr>
              <w:t>入院即查血/尿 β-hCG（本次入院当前样本）；同时采集末次月经日期、周期规律性、末次性行为时间与避孕方式</w:t>
            </w:r>
          </w:p>
        </w:tc>
        <w:tc>
          <w:tcPr>
            <w:tcW w:type="dxa" w:w="5329"/>
          </w:tcPr>
          <w:p>
            <w:pPr>
              <w:spacing w:after="20"/>
            </w:pPr>
            <w:r/>
            <w:r>
              <w:rPr>
                <w:sz w:val="17"/>
                <w:rFonts w:eastAsia="宋体" w:ascii="Times New Roman" w:hAnsi="Times New Roman"/>
              </w:rPr>
              <w:t>本例末次月经记录为 2022-09-25，须核实该日期的实际年份与是否已停经；记录“月经不规律”本身即提高了妊娠时间窗判断的不确定性</w:t>
            </w:r>
          </w:p>
        </w:tc>
      </w:tr>
      <w:tr>
        <w:tc>
          <w:tcPr>
            <w:tcW w:type="dxa" w:w="1134"/>
          </w:tcPr>
          <w:p>
            <w:pPr>
              <w:spacing w:after="20"/>
            </w:pPr>
            <w:r/>
            <w:r>
              <w:rPr>
                <w:sz w:val="17"/>
                <w:rFonts w:eastAsia="宋体" w:ascii="Times New Roman" w:hAnsi="Times New Roman"/>
              </w:rPr>
              <w:t>② 记录</w:t>
            </w:r>
          </w:p>
        </w:tc>
        <w:tc>
          <w:tcPr>
            <w:tcW w:type="dxa" w:w="3628"/>
          </w:tcPr>
          <w:p>
            <w:pPr>
              <w:spacing w:after="20"/>
            </w:pPr>
            <w:r/>
            <w:r>
              <w:rPr>
                <w:sz w:val="17"/>
                <w:rFonts w:eastAsia="宋体" w:ascii="Times New Roman" w:hAnsi="Times New Roman"/>
              </w:rPr>
              <w:t>将妊娠状态作为正式病历记录项（阳性/阴性/待回报/无法确定），并注明采样时点与样本来源</w:t>
            </w:r>
          </w:p>
        </w:tc>
        <w:tc>
          <w:tcPr>
            <w:tcW w:type="dxa" w:w="5329"/>
          </w:tcPr>
          <w:p>
            <w:pPr>
              <w:spacing w:after="20"/>
            </w:pPr>
            <w:r/>
            <w:r>
              <w:rPr>
                <w:sz w:val="17"/>
                <w:rFonts w:eastAsia="宋体" w:ascii="Times New Roman" w:hAnsi="Times New Roman"/>
              </w:rPr>
              <w:t>不得以“可能没有怀孕”或口头询问代替检验记录</w:t>
            </w:r>
          </w:p>
        </w:tc>
      </w:tr>
      <w:tr>
        <w:tc>
          <w:tcPr>
            <w:tcW w:type="dxa" w:w="1134"/>
          </w:tcPr>
          <w:p>
            <w:pPr>
              <w:spacing w:after="20"/>
            </w:pPr>
            <w:r/>
            <w:r>
              <w:rPr>
                <w:sz w:val="17"/>
                <w:rFonts w:eastAsia="宋体" w:ascii="Times New Roman" w:hAnsi="Times New Roman"/>
              </w:rPr>
              <w:t>③ 分流</w:t>
            </w:r>
          </w:p>
        </w:tc>
        <w:tc>
          <w:tcPr>
            <w:tcW w:type="dxa" w:w="3628"/>
          </w:tcPr>
          <w:p>
            <w:pPr>
              <w:spacing w:after="20"/>
            </w:pPr>
            <w:r/>
            <w:r>
              <w:rPr>
                <w:sz w:val="17"/>
                <w:rFonts w:eastAsia="宋体" w:ascii="Times New Roman" w:hAnsi="Times New Roman"/>
              </w:rPr>
              <w:t>妊娠阳性 → 避免非急诊电离辐射检查，改用无辐射替代（超声、MRI/MRA）；同时调整降糖方案（妊娠期首选胰岛素）、停用潜在致畸药物，并按产科-内分泌联合管理</w:t>
            </w:r>
          </w:p>
        </w:tc>
        <w:tc>
          <w:tcPr>
            <w:tcW w:type="dxa" w:w="5329"/>
          </w:tcPr>
          <w:p>
            <w:pPr>
              <w:spacing w:after="20"/>
            </w:pPr>
            <w:r/>
            <w:r>
              <w:rPr>
                <w:sz w:val="17"/>
                <w:rFonts w:eastAsia="宋体" w:ascii="Times New Roman" w:hAnsi="Times New Roman"/>
              </w:rPr>
              <w:t>妊娠期仍可执行的检查：经胸超声、MRI（无钆对比剂时优先）、甲状腺超声、眼科检查</w:t>
            </w:r>
          </w:p>
        </w:tc>
      </w:tr>
      <w:tr>
        <w:tc>
          <w:tcPr>
            <w:tcW w:type="dxa" w:w="1134"/>
          </w:tcPr>
          <w:p>
            <w:pPr>
              <w:spacing w:after="20"/>
            </w:pPr>
            <w:r/>
            <w:r>
              <w:rPr>
                <w:sz w:val="17"/>
                <w:rFonts w:eastAsia="宋体" w:ascii="Times New Roman" w:hAnsi="Times New Roman"/>
              </w:rPr>
              <w:t>④ 分流</w:t>
            </w:r>
          </w:p>
        </w:tc>
        <w:tc>
          <w:tcPr>
            <w:tcW w:type="dxa" w:w="3628"/>
          </w:tcPr>
          <w:p>
            <w:pPr>
              <w:spacing w:after="20"/>
            </w:pPr>
            <w:r/>
            <w:r>
              <w:rPr>
                <w:sz w:val="17"/>
                <w:rFonts w:eastAsia="宋体" w:ascii="Times New Roman" w:hAnsi="Times New Roman"/>
              </w:rPr>
              <w:t>妊娠阴性 → 可按临床需要安排电离辐射检查，但仍应遵循 ALARA 原则并记录必要性</w:t>
            </w:r>
          </w:p>
        </w:tc>
        <w:tc>
          <w:tcPr>
            <w:tcW w:type="dxa" w:w="5329"/>
          </w:tcPr>
          <w:p>
            <w:pPr>
              <w:spacing w:after="20"/>
            </w:pPr>
            <w:r/>
            <w:r>
              <w:rPr>
                <w:sz w:val="17"/>
                <w:rFonts w:eastAsia="宋体" w:ascii="Times New Roman" w:hAnsi="Times New Roman"/>
              </w:rPr>
              <w:t>阴性结果不能完全排除极早期妊娠，必要时复查或采取避孕措施后安排</w:t>
            </w:r>
          </w:p>
        </w:tc>
      </w:tr>
      <w:tr>
        <w:tc>
          <w:tcPr>
            <w:tcW w:type="dxa" w:w="1134"/>
          </w:tcPr>
          <w:p>
            <w:pPr>
              <w:spacing w:after="20"/>
            </w:pPr>
            <w:r/>
            <w:r>
              <w:rPr>
                <w:sz w:val="17"/>
                <w:rFonts w:eastAsia="宋体" w:ascii="Times New Roman" w:hAnsi="Times New Roman"/>
              </w:rPr>
              <w:t>⑤ 分流</w:t>
            </w:r>
          </w:p>
        </w:tc>
        <w:tc>
          <w:tcPr>
            <w:tcW w:type="dxa" w:w="3628"/>
          </w:tcPr>
          <w:p>
            <w:pPr>
              <w:spacing w:after="20"/>
            </w:pPr>
            <w:r/>
            <w:r>
              <w:rPr>
                <w:sz w:val="17"/>
                <w:rFonts w:eastAsia="宋体" w:ascii="Times New Roman" w:hAnsi="Times New Roman"/>
              </w:rPr>
              <w:t>无法确定（拒绝检测、结果不可靠、时间窗不明）→ 按“可能妊娠”处理，延期非急诊辐射检查，先安排无辐射替代路径</w:t>
            </w:r>
          </w:p>
        </w:tc>
        <w:tc>
          <w:tcPr>
            <w:tcW w:type="dxa" w:w="5329"/>
          </w:tcPr>
          <w:p>
            <w:pPr>
              <w:spacing w:after="20"/>
            </w:pPr>
            <w:r/>
            <w:r>
              <w:rPr>
                <w:sz w:val="17"/>
                <w:rFonts w:eastAsia="宋体" w:ascii="Times New Roman" w:hAnsi="Times New Roman"/>
              </w:rPr>
              <w:t>本项为默认安全路径；不得因临床便利而跳过</w:t>
            </w:r>
          </w:p>
        </w:tc>
      </w:tr>
      <w:tr>
        <w:tc>
          <w:tcPr>
            <w:tcW w:type="dxa" w:w="1134"/>
          </w:tcPr>
          <w:p>
            <w:pPr>
              <w:spacing w:after="20"/>
            </w:pPr>
            <w:r/>
            <w:r>
              <w:rPr>
                <w:sz w:val="17"/>
                <w:rFonts w:eastAsia="宋体" w:ascii="Times New Roman" w:hAnsi="Times New Roman"/>
              </w:rPr>
              <w:t>⑥ 急救例外</w:t>
            </w:r>
          </w:p>
        </w:tc>
        <w:tc>
          <w:tcPr>
            <w:tcW w:type="dxa" w:w="3628"/>
          </w:tcPr>
          <w:p>
            <w:pPr>
              <w:spacing w:after="20"/>
            </w:pPr>
            <w:r/>
            <w:r>
              <w:rPr>
                <w:sz w:val="17"/>
                <w:rFonts w:eastAsia="宋体" w:ascii="Times New Roman" w:hAnsi="Times New Roman"/>
              </w:rPr>
              <w:t>危及生命的紧急情况（如疑似主动脉夹层、严重低氧、血流动力学不稳）所需检查按临床风险权衡执行，不因妊娠核实而延迟</w:t>
            </w:r>
          </w:p>
        </w:tc>
        <w:tc>
          <w:tcPr>
            <w:tcW w:type="dxa" w:w="5329"/>
          </w:tcPr>
          <w:p>
            <w:pPr>
              <w:spacing w:after="20"/>
            </w:pPr>
            <w:r/>
            <w:r>
              <w:rPr>
                <w:sz w:val="17"/>
                <w:rFonts w:eastAsia="宋体" w:ascii="Times New Roman" w:hAnsi="Times New Roman"/>
              </w:rPr>
              <w:t>必须在病程记录中写明紧急性与风险权衡依据；本例当前急症阶段不涉及需即刻电离辐射的项目（A 组检查均为无辐射）</w:t>
            </w:r>
          </w:p>
        </w:tc>
      </w:tr>
    </w:tbl>
    <w:p>
      <w:pPr>
        <w:spacing w:after="40"/>
      </w:pPr>
    </w:p>
    <w:p>
      <w:r>
        <w:br w:type="page"/>
      </w:r>
    </w:p>
    <w:p>
      <w:pPr>
        <w:pStyle w:val="Heading1"/>
        <w:spacing w:before="200" w:after="100"/>
      </w:pPr>
      <w:r>
        <w:rPr>
          <w:rFonts w:eastAsia="宋体" w:ascii="Times New Roman" w:hAnsi="Times New Roman"/>
        </w:rPr>
        <w:t>第五部分　对床旁交班摘要的处理与本计划的调整（规则 1.2）</w:t>
      </w:r>
    </w:p>
    <w:p>
      <w:pPr>
        <w:spacing w:after="80"/>
      </w:pPr>
      <w:r>
        <w:rPr>
          <w:b w:val="0"/>
          <w:i w:val="0"/>
          <w:sz w:val="20"/>
          <w:rFonts w:eastAsia="宋体" w:ascii="Times New Roman" w:hAnsi="Times New Roman"/>
        </w:rPr>
        <w:t>床旁交班摘要（本次入院当日 07:40，无主治医师审核签名）属工作提醒，其形成时本次入院血气、血 β-羟丁酸、电解质、血渗透压与定量尿量均未回报。以下逐条列明其判断、本计划的处理及其落点。</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494"/>
            <w:shd w:val="clear" w:color="auto" w:fill="DCE6F1"/>
          </w:tcPr>
          <w:p>
            <w:pPr>
              <w:spacing w:after="20"/>
            </w:pPr>
            <w:r/>
            <w:r>
              <w:rPr>
                <w:b/>
                <w:sz w:val="17"/>
                <w:rFonts w:eastAsia="宋体" w:ascii="Times New Roman" w:hAnsi="Times New Roman"/>
              </w:rPr>
              <w:t>交班摘要的判断</w:t>
            </w:r>
          </w:p>
        </w:tc>
        <w:tc>
          <w:tcPr>
            <w:tcW w:type="dxa" w:w="2835"/>
            <w:shd w:val="clear" w:color="auto" w:fill="DCE6F1"/>
          </w:tcPr>
          <w:p>
            <w:pPr>
              <w:spacing w:after="20"/>
            </w:pPr>
            <w:r/>
            <w:r>
              <w:rPr>
                <w:b/>
                <w:sz w:val="17"/>
                <w:rFonts w:eastAsia="宋体" w:ascii="Times New Roman" w:hAnsi="Times New Roman"/>
              </w:rPr>
              <w:t>问题</w:t>
            </w:r>
          </w:p>
        </w:tc>
        <w:tc>
          <w:tcPr>
            <w:tcW w:type="dxa" w:w="3515"/>
            <w:shd w:val="clear" w:color="auto" w:fill="DCE6F1"/>
          </w:tcPr>
          <w:p>
            <w:pPr>
              <w:spacing w:after="20"/>
            </w:pPr>
            <w:r/>
            <w:r>
              <w:rPr>
                <w:b/>
                <w:sz w:val="17"/>
                <w:rFonts w:eastAsia="宋体" w:ascii="Times New Roman" w:hAnsi="Times New Roman"/>
              </w:rPr>
              <w:t>本评估的处理</w:t>
            </w:r>
          </w:p>
        </w:tc>
        <w:tc>
          <w:tcPr>
            <w:tcW w:type="dxa" w:w="1361"/>
            <w:shd w:val="clear" w:color="auto" w:fill="DCE6F1"/>
          </w:tcPr>
          <w:p>
            <w:pPr>
              <w:spacing w:after="20"/>
            </w:pPr>
            <w:r/>
            <w:r>
              <w:rPr>
                <w:b/>
                <w:sz w:val="17"/>
                <w:rFonts w:eastAsia="宋体" w:ascii="Times New Roman" w:hAnsi="Times New Roman"/>
              </w:rPr>
              <w:t>落点章节</w:t>
            </w:r>
          </w:p>
        </w:tc>
      </w:tr>
      <w:tr>
        <w:tc>
          <w:tcPr>
            <w:tcW w:type="dxa" w:w="2494"/>
          </w:tcPr>
          <w:p>
            <w:pPr>
              <w:spacing w:after="20"/>
            </w:pPr>
            <w:r/>
            <w:r>
              <w:rPr>
                <w:sz w:val="17"/>
                <w:rFonts w:eastAsia="宋体" w:ascii="Times New Roman" w:hAnsi="Times New Roman"/>
              </w:rPr>
              <w:t>“暂拟按‘无明确酸中毒的糖尿病’安排”</w:t>
            </w:r>
          </w:p>
        </w:tc>
        <w:tc>
          <w:tcPr>
            <w:tcW w:type="dxa" w:w="2835"/>
          </w:tcPr>
          <w:p>
            <w:pPr>
              <w:spacing w:after="20"/>
            </w:pPr>
            <w:r/>
            <w:r>
              <w:rPr>
                <w:sz w:val="17"/>
                <w:rFonts w:eastAsia="宋体" w:ascii="Times New Roman" w:hAnsi="Times New Roman"/>
              </w:rPr>
              <w:t>在血气、血 β-羟丁酸未回报时即排除酸中毒，属未经证实的假设</w:t>
            </w:r>
          </w:p>
        </w:tc>
        <w:tc>
          <w:tcPr>
            <w:tcW w:type="dxa" w:w="3515"/>
          </w:tcPr>
          <w:p>
            <w:pPr>
              <w:spacing w:after="20"/>
            </w:pPr>
            <w:r/>
            <w:r>
              <w:rPr>
                <w:sz w:val="17"/>
                <w:rFonts w:eastAsia="宋体" w:ascii="Times New Roman" w:hAnsi="Times New Roman"/>
              </w:rPr>
              <w:t>改为：先完成 A1–A9 第一批采集与判读，在结果回报前仅写“疑似急性高血糖危象（DKA 和/或 HHS），待确认”</w:t>
            </w:r>
          </w:p>
        </w:tc>
        <w:tc>
          <w:tcPr>
            <w:tcW w:type="dxa" w:w="1361"/>
          </w:tcPr>
          <w:p>
            <w:pPr>
              <w:spacing w:after="20"/>
            </w:pPr>
            <w:r/>
            <w:r>
              <w:rPr>
                <w:sz w:val="17"/>
                <w:rFonts w:eastAsia="宋体" w:ascii="Times New Roman" w:hAnsi="Times New Roman"/>
              </w:rPr>
              <w:t>1.1、1.3（L1 层级）</w:t>
            </w:r>
          </w:p>
        </w:tc>
      </w:tr>
      <w:tr>
        <w:tc>
          <w:tcPr>
            <w:tcW w:type="dxa" w:w="2494"/>
          </w:tcPr>
          <w:p>
            <w:pPr>
              <w:spacing w:after="20"/>
            </w:pPr>
            <w:r/>
            <w:r>
              <w:rPr>
                <w:sz w:val="17"/>
                <w:rFonts w:eastAsia="宋体" w:ascii="Times New Roman" w:hAnsi="Times New Roman"/>
              </w:rPr>
              <w:t>“如床位周转紧张，可先完成尿崩症相关动态试验再等其他结果”</w:t>
            </w:r>
          </w:p>
        </w:tc>
        <w:tc>
          <w:tcPr>
            <w:tcW w:type="dxa" w:w="2835"/>
          </w:tcPr>
          <w:p>
            <w:pPr>
              <w:spacing w:after="20"/>
            </w:pPr>
            <w:r/>
            <w:r>
              <w:rPr>
                <w:sz w:val="17"/>
                <w:rFonts w:eastAsia="宋体" w:ascii="Times New Roman" w:hAnsi="Times New Roman"/>
              </w:rPr>
              <w:t>违反规则 2.2：限水/禁水/高渗刺激类操作须在急性代谢紊乱已纠正并由专科监护时才可执行；且高血糖未纠正时试验结果被渗透性利尿混杂，无判读价值</w:t>
            </w:r>
          </w:p>
        </w:tc>
        <w:tc>
          <w:tcPr>
            <w:tcW w:type="dxa" w:w="3515"/>
          </w:tcPr>
          <w:p>
            <w:pPr>
              <w:spacing w:after="20"/>
            </w:pPr>
            <w:r/>
            <w:r>
              <w:rPr>
                <w:sz w:val="17"/>
                <w:rFonts w:eastAsia="宋体" w:ascii="Times New Roman" w:hAnsi="Times New Roman"/>
              </w:rPr>
              <w:t>改为：阶段 0 仅做定量记录（24 小时尿量、尿渗透压、出入量、体重）；动态试验推迟至阶段 2/3，并须逐项满足 3.4 全部安全前提</w:t>
            </w:r>
          </w:p>
        </w:tc>
        <w:tc>
          <w:tcPr>
            <w:tcW w:type="dxa" w:w="1361"/>
          </w:tcPr>
          <w:p>
            <w:pPr>
              <w:spacing w:after="20"/>
            </w:pPr>
            <w:r/>
            <w:r>
              <w:rPr>
                <w:sz w:val="17"/>
                <w:rFonts w:eastAsia="宋体" w:ascii="Times New Roman" w:hAnsi="Times New Roman"/>
              </w:rPr>
              <w:t>3.1、3.4、4.4</w:t>
            </w:r>
          </w:p>
        </w:tc>
      </w:tr>
      <w:tr>
        <w:tc>
          <w:tcPr>
            <w:tcW w:type="dxa" w:w="2494"/>
          </w:tcPr>
          <w:p>
            <w:pPr>
              <w:spacing w:after="20"/>
            </w:pPr>
            <w:r/>
            <w:r>
              <w:rPr>
                <w:sz w:val="17"/>
                <w:rFonts w:eastAsia="宋体" w:ascii="Times New Roman" w:hAnsi="Times New Roman"/>
              </w:rPr>
              <w:t>“常规分型、慢性并发症和多尿病因检查”一并安排</w:t>
            </w:r>
          </w:p>
        </w:tc>
        <w:tc>
          <w:tcPr>
            <w:tcW w:type="dxa" w:w="2835"/>
          </w:tcPr>
          <w:p>
            <w:pPr>
              <w:spacing w:after="20"/>
            </w:pPr>
            <w:r/>
            <w:r>
              <w:rPr>
                <w:sz w:val="17"/>
                <w:rFonts w:eastAsia="宋体" w:ascii="Times New Roman" w:hAnsi="Times New Roman"/>
              </w:rPr>
              <w:t>未区分常规床旁筛查与有适应证才做的检查，也未区分急性期与稳定期时序</w:t>
            </w:r>
          </w:p>
        </w:tc>
        <w:tc>
          <w:tcPr>
            <w:tcW w:type="dxa" w:w="3515"/>
          </w:tcPr>
          <w:p>
            <w:pPr>
              <w:spacing w:after="20"/>
            </w:pPr>
            <w:r/>
            <w:r>
              <w:rPr>
                <w:sz w:val="17"/>
                <w:rFonts w:eastAsia="宋体" w:ascii="Times New Roman" w:hAnsi="Times New Roman"/>
              </w:rPr>
              <w:t>改为：分型与并发症评估整体推迟至急性代谢紊乱纠正后 24–72 小时起；并在各表中标注“常规床旁”与“有适应证才做”</w:t>
            </w:r>
          </w:p>
        </w:tc>
        <w:tc>
          <w:tcPr>
            <w:tcW w:type="dxa" w:w="1361"/>
          </w:tcPr>
          <w:p>
            <w:pPr>
              <w:spacing w:after="20"/>
            </w:pPr>
            <w:r/>
            <w:r>
              <w:rPr>
                <w:sz w:val="17"/>
                <w:rFonts w:eastAsia="宋体" w:ascii="Times New Roman" w:hAnsi="Times New Roman"/>
              </w:rPr>
              <w:t>第二部分 2.1–2.4</w:t>
            </w:r>
          </w:p>
        </w:tc>
      </w:tr>
      <w:tr>
        <w:tc>
          <w:tcPr>
            <w:tcW w:type="dxa" w:w="2494"/>
          </w:tcPr>
          <w:p>
            <w:pPr>
              <w:spacing w:after="20"/>
            </w:pPr>
            <w:r/>
            <w:r>
              <w:rPr>
                <w:sz w:val="17"/>
                <w:rFonts w:eastAsia="宋体" w:ascii="Times New Roman" w:hAnsi="Times New Roman"/>
              </w:rPr>
              <w:t>依据外院“尿酮 +”判断当前酮症状态</w:t>
            </w:r>
          </w:p>
        </w:tc>
        <w:tc>
          <w:tcPr>
            <w:tcW w:type="dxa" w:w="2835"/>
          </w:tcPr>
          <w:p>
            <w:pPr>
              <w:spacing w:after="20"/>
            </w:pPr>
            <w:r/>
            <w:r>
              <w:rPr>
                <w:sz w:val="17"/>
                <w:rFonts w:eastAsia="宋体" w:ascii="Times New Roman" w:hAnsi="Times New Roman"/>
              </w:rPr>
              <w:t>外院尿酮为人工转录、定性、一月余前时点，不能替代本次当前样本；且尿酮受脱水与肾功能影响</w:t>
            </w:r>
          </w:p>
        </w:tc>
        <w:tc>
          <w:tcPr>
            <w:tcW w:type="dxa" w:w="3515"/>
          </w:tcPr>
          <w:p>
            <w:pPr>
              <w:spacing w:after="20"/>
            </w:pPr>
            <w:r/>
            <w:r>
              <w:rPr>
                <w:sz w:val="17"/>
                <w:rFonts w:eastAsia="宋体" w:ascii="Times New Roman" w:hAnsi="Times New Roman"/>
              </w:rPr>
              <w:t>改为：本次入院当前样本定量血 β-羟丁酸（A3）+ 本次尿酮（A8）为准；外院结果仅用于说明病程</w:t>
            </w:r>
          </w:p>
        </w:tc>
        <w:tc>
          <w:tcPr>
            <w:tcW w:type="dxa" w:w="1361"/>
          </w:tcPr>
          <w:p>
            <w:pPr>
              <w:spacing w:after="20"/>
            </w:pPr>
            <w:r/>
            <w:r>
              <w:rPr>
                <w:sz w:val="17"/>
                <w:rFonts w:eastAsia="宋体" w:ascii="Times New Roman" w:hAnsi="Times New Roman"/>
              </w:rPr>
              <w:t>1.1（A3、A8）、事实基线</w:t>
            </w:r>
          </w:p>
        </w:tc>
      </w:tr>
      <w:tr>
        <w:tc>
          <w:tcPr>
            <w:tcW w:type="dxa" w:w="2494"/>
          </w:tcPr>
          <w:p>
            <w:pPr>
              <w:spacing w:after="20"/>
            </w:pPr>
            <w:r/>
            <w:r>
              <w:rPr>
                <w:sz w:val="17"/>
                <w:rFonts w:eastAsia="宋体" w:ascii="Times New Roman" w:hAnsi="Times New Roman"/>
              </w:rPr>
              <w:t>未提及妊娠核实</w:t>
            </w:r>
          </w:p>
        </w:tc>
        <w:tc>
          <w:tcPr>
            <w:tcW w:type="dxa" w:w="2835"/>
          </w:tcPr>
          <w:p>
            <w:pPr>
              <w:spacing w:after="20"/>
            </w:pPr>
            <w:r/>
            <w:r>
              <w:rPr>
                <w:sz w:val="17"/>
                <w:rFonts w:eastAsia="宋体" w:ascii="Times New Roman" w:hAnsi="Times New Roman"/>
              </w:rPr>
              <w:t>本例为育龄女性、月经不规律、末次月经记录为 2022-09-25，妊娠状态直接影响辐射检查与降糖方案</w:t>
            </w:r>
          </w:p>
        </w:tc>
        <w:tc>
          <w:tcPr>
            <w:tcW w:type="dxa" w:w="3515"/>
          </w:tcPr>
          <w:p>
            <w:pPr>
              <w:spacing w:after="20"/>
            </w:pPr>
            <w:r/>
            <w:r>
              <w:rPr>
                <w:sz w:val="17"/>
                <w:rFonts w:eastAsia="宋体" w:ascii="Times New Roman" w:hAnsi="Times New Roman"/>
              </w:rPr>
              <w:t>改为：妊娠试验列为入院常规项，并在任何非急诊电离辐射检查前完成核实与记录</w:t>
            </w:r>
          </w:p>
        </w:tc>
        <w:tc>
          <w:tcPr>
            <w:tcW w:type="dxa" w:w="1361"/>
          </w:tcPr>
          <w:p>
            <w:pPr>
              <w:spacing w:after="20"/>
            </w:pPr>
            <w:r/>
            <w:r>
              <w:rPr>
                <w:sz w:val="17"/>
                <w:rFonts w:eastAsia="宋体" w:ascii="Times New Roman" w:hAnsi="Times New Roman"/>
              </w:rPr>
              <w:t>1.2、4.4</w:t>
            </w:r>
          </w:p>
        </w:tc>
      </w:tr>
      <w:tr>
        <w:tc>
          <w:tcPr>
            <w:tcW w:type="dxa" w:w="2494"/>
          </w:tcPr>
          <w:p>
            <w:pPr>
              <w:spacing w:after="20"/>
            </w:pPr>
            <w:r/>
            <w:r>
              <w:rPr>
                <w:sz w:val="17"/>
                <w:rFonts w:eastAsia="宋体" w:ascii="Times New Roman" w:hAnsi="Times New Roman"/>
              </w:rPr>
              <w:t>未提及晶状体脱位与马凡样体征的评估路径</w:t>
            </w:r>
          </w:p>
        </w:tc>
        <w:tc>
          <w:tcPr>
            <w:tcW w:type="dxa" w:w="2835"/>
          </w:tcPr>
          <w:p>
            <w:pPr>
              <w:spacing w:after="20"/>
            </w:pPr>
            <w:r/>
            <w:r>
              <w:rPr>
                <w:sz w:val="17"/>
                <w:rFonts w:eastAsia="宋体" w:ascii="Times New Roman" w:hAnsi="Times New Roman"/>
              </w:rPr>
              <w:t>查体已记录拇指征/腕征阳性、臂展/身高比 1.030、脊柱可疑侧弯、拇外翻、晶状体脱位</w:t>
            </w:r>
          </w:p>
        </w:tc>
        <w:tc>
          <w:tcPr>
            <w:tcW w:type="dxa" w:w="3515"/>
          </w:tcPr>
          <w:p>
            <w:pPr>
              <w:spacing w:after="20"/>
            </w:pPr>
            <w:r/>
            <w:r>
              <w:rPr>
                <w:sz w:val="17"/>
                <w:rFonts w:eastAsia="宋体" w:ascii="Times New Roman" w:hAnsi="Times New Roman"/>
              </w:rPr>
              <w:t>改为：新增第四部分，含心脏超声（优先）、眼科再评估、系统评分与辐射前妊娠核实流程</w:t>
            </w:r>
          </w:p>
        </w:tc>
        <w:tc>
          <w:tcPr>
            <w:tcW w:type="dxa" w:w="1361"/>
          </w:tcPr>
          <w:p>
            <w:pPr>
              <w:spacing w:after="20"/>
            </w:pPr>
            <w:r/>
            <w:r>
              <w:rPr>
                <w:sz w:val="17"/>
                <w:rFonts w:eastAsia="宋体" w:ascii="Times New Roman" w:hAnsi="Times New Roman"/>
              </w:rPr>
              <w:t>第四部分</w:t>
            </w:r>
          </w:p>
        </w:tc>
      </w:tr>
    </w:tbl>
    <w:p>
      <w:pPr>
        <w:spacing w:after="40"/>
      </w:pPr>
    </w:p>
    <w:p>
      <w:pPr>
        <w:spacing w:after="80"/>
      </w:pPr>
      <w:r>
        <w:rPr>
          <w:b/>
          <w:i w:val="0"/>
          <w:sz w:val="19"/>
          <w:rFonts w:eastAsia="宋体" w:ascii="Times New Roman" w:hAnsi="Times New Roman"/>
        </w:rPr>
        <w:t>同步更新要求（规则 4）：若本次入院回报的新结果与上述任一判断冲突，本报告正文与相关记录须同步更新，不得只在执行日志中保留新结论。</w:t>
      </w:r>
    </w:p>
    <w:p>
      <w:pPr>
        <w:pStyle w:val="Heading1"/>
        <w:spacing w:before="200" w:after="100"/>
      </w:pPr>
      <w:r>
        <w:rPr>
          <w:rFonts w:eastAsia="宋体" w:ascii="Times New Roman" w:hAnsi="Times New Roman"/>
        </w:rPr>
        <w:t>第六部分　检查先后总表与触发条件汇总</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1474"/>
            <w:shd w:val="clear" w:color="auto" w:fill="DCE6F1"/>
          </w:tcPr>
          <w:p>
            <w:pPr>
              <w:spacing w:after="20"/>
            </w:pPr>
            <w:r/>
            <w:r>
              <w:rPr>
                <w:b/>
                <w:sz w:val="17"/>
                <w:rFonts w:eastAsia="宋体" w:ascii="Times New Roman" w:hAnsi="Times New Roman"/>
              </w:rPr>
              <w:t>时序</w:t>
            </w:r>
          </w:p>
        </w:tc>
        <w:tc>
          <w:tcPr>
            <w:tcW w:type="dxa" w:w="1928"/>
            <w:shd w:val="clear" w:color="auto" w:fill="DCE6F1"/>
          </w:tcPr>
          <w:p>
            <w:pPr>
              <w:spacing w:after="20"/>
            </w:pPr>
            <w:r/>
            <w:r>
              <w:rPr>
                <w:b/>
                <w:sz w:val="17"/>
                <w:rFonts w:eastAsia="宋体" w:ascii="Times New Roman" w:hAnsi="Times New Roman"/>
              </w:rPr>
              <w:t>阶段</w:t>
            </w:r>
          </w:p>
        </w:tc>
        <w:tc>
          <w:tcPr>
            <w:tcW w:type="dxa" w:w="4309"/>
            <w:shd w:val="clear" w:color="auto" w:fill="DCE6F1"/>
          </w:tcPr>
          <w:p>
            <w:pPr>
              <w:spacing w:after="20"/>
            </w:pPr>
            <w:r/>
            <w:r>
              <w:rPr>
                <w:b/>
                <w:sz w:val="17"/>
                <w:rFonts w:eastAsia="宋体" w:ascii="Times New Roman" w:hAnsi="Times New Roman"/>
              </w:rPr>
              <w:t>内容</w:t>
            </w:r>
          </w:p>
        </w:tc>
        <w:tc>
          <w:tcPr>
            <w:tcW w:type="dxa" w:w="2494"/>
            <w:shd w:val="clear" w:color="auto" w:fill="DCE6F1"/>
          </w:tcPr>
          <w:p>
            <w:pPr>
              <w:spacing w:after="20"/>
            </w:pPr>
            <w:r/>
            <w:r>
              <w:rPr>
                <w:b/>
                <w:sz w:val="17"/>
                <w:rFonts w:eastAsia="宋体" w:ascii="Times New Roman" w:hAnsi="Times New Roman"/>
              </w:rPr>
              <w:t>进入下一阶段的触发条件</w:t>
            </w:r>
          </w:p>
        </w:tc>
      </w:tr>
      <w:tr>
        <w:tc>
          <w:tcPr>
            <w:tcW w:type="dxa" w:w="1474"/>
          </w:tcPr>
          <w:p>
            <w:pPr>
              <w:spacing w:after="20"/>
            </w:pPr>
            <w:r/>
            <w:r>
              <w:rPr>
                <w:sz w:val="17"/>
                <w:rFonts w:eastAsia="宋体" w:ascii="Times New Roman" w:hAnsi="Times New Roman"/>
              </w:rPr>
              <w:t>T0（入院即刻）</w:t>
            </w:r>
          </w:p>
        </w:tc>
        <w:tc>
          <w:tcPr>
            <w:tcW w:type="dxa" w:w="1928"/>
          </w:tcPr>
          <w:p>
            <w:pPr>
              <w:spacing w:after="20"/>
            </w:pPr>
            <w:r/>
            <w:r>
              <w:rPr>
                <w:sz w:val="17"/>
                <w:rFonts w:eastAsia="宋体" w:ascii="Times New Roman" w:hAnsi="Times New Roman"/>
              </w:rPr>
              <w:t>急症排查第一批</w:t>
            </w:r>
          </w:p>
        </w:tc>
        <w:tc>
          <w:tcPr>
            <w:tcW w:type="dxa" w:w="4309"/>
          </w:tcPr>
          <w:p>
            <w:pPr>
              <w:spacing w:after="20"/>
            </w:pPr>
            <w:r/>
            <w:r>
              <w:rPr>
                <w:sz w:val="17"/>
                <w:rFonts w:eastAsia="宋体" w:ascii="Times New Roman" w:hAnsi="Times New Roman"/>
              </w:rPr>
              <w:t>A1 床旁血糖、A2 静脉血气、A3 血 β-羟丁酸、A4 电解质+肾功能、A5 血渗透压、A6 血常规+CRP/PCT、A7 心电图、A8 本次尿常规+尿酮+尿比重、A9（按症状）、妊娠试验</w:t>
            </w:r>
          </w:p>
        </w:tc>
        <w:tc>
          <w:tcPr>
            <w:tcW w:type="dxa" w:w="2494"/>
          </w:tcPr>
          <w:p>
            <w:pPr>
              <w:spacing w:after="20"/>
            </w:pPr>
            <w:r/>
            <w:r>
              <w:rPr>
                <w:sz w:val="17"/>
                <w:rFonts w:eastAsia="宋体" w:ascii="Times New Roman" w:hAnsi="Times New Roman"/>
              </w:rPr>
              <w:t>第一批结果全部回报</w:t>
            </w:r>
          </w:p>
        </w:tc>
      </w:tr>
      <w:tr>
        <w:tc>
          <w:tcPr>
            <w:tcW w:type="dxa" w:w="1474"/>
          </w:tcPr>
          <w:p>
            <w:pPr>
              <w:spacing w:after="20"/>
            </w:pPr>
            <w:r/>
            <w:r>
              <w:rPr>
                <w:sz w:val="17"/>
                <w:rFonts w:eastAsia="宋体" w:ascii="Times New Roman" w:hAnsi="Times New Roman"/>
              </w:rPr>
              <w:t>T0 + 1–2 h</w:t>
            </w:r>
          </w:p>
        </w:tc>
        <w:tc>
          <w:tcPr>
            <w:tcW w:type="dxa" w:w="1928"/>
          </w:tcPr>
          <w:p>
            <w:pPr>
              <w:spacing w:after="20"/>
            </w:pPr>
            <w:r/>
            <w:r>
              <w:rPr>
                <w:sz w:val="17"/>
                <w:rFonts w:eastAsia="宋体" w:ascii="Times New Roman" w:hAnsi="Times New Roman"/>
              </w:rPr>
              <w:t>急症排查第二批</w:t>
            </w:r>
          </w:p>
        </w:tc>
        <w:tc>
          <w:tcPr>
            <w:tcW w:type="dxa" w:w="4309"/>
          </w:tcPr>
          <w:p>
            <w:pPr>
              <w:spacing w:after="20"/>
            </w:pPr>
            <w:r/>
            <w:r>
              <w:rPr>
                <w:sz w:val="17"/>
                <w:rFonts w:eastAsia="宋体" w:ascii="Times New Roman" w:hAnsi="Times New Roman"/>
              </w:rPr>
              <w:t>按 1.2 触发条件加做（重复血气/血酮/电解质、培养、胸部影像、心肌标志物、凝血、皮质醇+ACTH、甲功）</w:t>
            </w:r>
          </w:p>
        </w:tc>
        <w:tc>
          <w:tcPr>
            <w:tcW w:type="dxa" w:w="2494"/>
          </w:tcPr>
          <w:p>
            <w:pPr>
              <w:spacing w:after="20"/>
            </w:pPr>
            <w:r/>
            <w:r>
              <w:rPr>
                <w:sz w:val="17"/>
                <w:rFonts w:eastAsia="宋体" w:ascii="Times New Roman" w:hAnsi="Times New Roman"/>
              </w:rPr>
              <w:t>危象诊断成立 → 按危象路径处理；不成立 → 明确当前状态并进入稳定期评估</w:t>
            </w:r>
          </w:p>
        </w:tc>
      </w:tr>
      <w:tr>
        <w:tc>
          <w:tcPr>
            <w:tcW w:type="dxa" w:w="1474"/>
          </w:tcPr>
          <w:p>
            <w:pPr>
              <w:spacing w:after="20"/>
            </w:pPr>
            <w:r/>
            <w:r>
              <w:rPr>
                <w:sz w:val="17"/>
                <w:rFonts w:eastAsia="宋体" w:ascii="Times New Roman" w:hAnsi="Times New Roman"/>
              </w:rPr>
              <w:t>急性期未纠正期间</w:t>
            </w:r>
          </w:p>
        </w:tc>
        <w:tc>
          <w:tcPr>
            <w:tcW w:type="dxa" w:w="1928"/>
          </w:tcPr>
          <w:p>
            <w:pPr>
              <w:spacing w:after="20"/>
            </w:pPr>
            <w:r/>
            <w:r>
              <w:rPr>
                <w:sz w:val="17"/>
                <w:rFonts w:eastAsia="宋体" w:ascii="Times New Roman" w:hAnsi="Times New Roman"/>
              </w:rPr>
              <w:t>仅限阶段 0 多尿记录</w:t>
            </w:r>
          </w:p>
        </w:tc>
        <w:tc>
          <w:tcPr>
            <w:tcW w:type="dxa" w:w="4309"/>
          </w:tcPr>
          <w:p>
            <w:pPr>
              <w:spacing w:after="20"/>
            </w:pPr>
            <w:r/>
            <w:r>
              <w:rPr>
                <w:sz w:val="17"/>
                <w:rFonts w:eastAsia="宋体" w:ascii="Times New Roman" w:hAnsi="Times New Roman"/>
              </w:rPr>
              <w:t>24 小时尿量定量、尿渗透压、出入量、体重；不执行任何动态多尿试验</w:t>
            </w:r>
          </w:p>
        </w:tc>
        <w:tc>
          <w:tcPr>
            <w:tcW w:type="dxa" w:w="2494"/>
          </w:tcPr>
          <w:p>
            <w:pPr>
              <w:spacing w:after="20"/>
            </w:pPr>
            <w:r/>
            <w:r>
              <w:rPr>
                <w:sz w:val="17"/>
                <w:rFonts w:eastAsia="宋体" w:ascii="Times New Roman" w:hAnsi="Times New Roman"/>
              </w:rPr>
              <w:t>急性代谢紊乱完全纠正且由专科监护</w:t>
            </w:r>
          </w:p>
        </w:tc>
      </w:tr>
      <w:tr>
        <w:tc>
          <w:tcPr>
            <w:tcW w:type="dxa" w:w="1474"/>
          </w:tcPr>
          <w:p>
            <w:pPr>
              <w:spacing w:after="20"/>
            </w:pPr>
            <w:r/>
            <w:r>
              <w:rPr>
                <w:sz w:val="17"/>
                <w:rFonts w:eastAsia="宋体" w:ascii="Times New Roman" w:hAnsi="Times New Roman"/>
              </w:rPr>
              <w:t>稳定后 24–72 h</w:t>
            </w:r>
          </w:p>
        </w:tc>
        <w:tc>
          <w:tcPr>
            <w:tcW w:type="dxa" w:w="1928"/>
          </w:tcPr>
          <w:p>
            <w:pPr>
              <w:spacing w:after="20"/>
            </w:pPr>
            <w:r/>
            <w:r>
              <w:rPr>
                <w:sz w:val="17"/>
                <w:rFonts w:eastAsia="宋体" w:ascii="Times New Roman" w:hAnsi="Times New Roman"/>
              </w:rPr>
              <w:t>第二部分：分型 + 并发症 + 甲状腺/生殖代谢</w:t>
            </w:r>
          </w:p>
        </w:tc>
        <w:tc>
          <w:tcPr>
            <w:tcW w:type="dxa" w:w="4309"/>
          </w:tcPr>
          <w:p>
            <w:pPr>
              <w:spacing w:after="20"/>
            </w:pPr>
            <w:r/>
            <w:r>
              <w:rPr>
                <w:sz w:val="17"/>
                <w:rFonts w:eastAsia="宋体" w:ascii="Times New Roman" w:hAnsi="Times New Roman"/>
              </w:rPr>
              <w:t>B1–B8、并发症筛查、甲功与抗体、性激素与妇科超声</w:t>
            </w:r>
          </w:p>
        </w:tc>
        <w:tc>
          <w:tcPr>
            <w:tcW w:type="dxa" w:w="2494"/>
          </w:tcPr>
          <w:p>
            <w:pPr>
              <w:spacing w:after="20"/>
            </w:pPr>
            <w:r/>
            <w:r>
              <w:rPr>
                <w:sz w:val="17"/>
                <w:rFonts w:eastAsia="宋体" w:ascii="Times New Roman" w:hAnsi="Times New Roman"/>
              </w:rPr>
              <w:t>分型证据齐备；血糖达标且稳定</w:t>
            </w:r>
          </w:p>
        </w:tc>
      </w:tr>
      <w:tr>
        <w:tc>
          <w:tcPr>
            <w:tcW w:type="dxa" w:w="1474"/>
          </w:tcPr>
          <w:p>
            <w:pPr>
              <w:spacing w:after="20"/>
            </w:pPr>
            <w:r/>
            <w:r>
              <w:rPr>
                <w:sz w:val="17"/>
                <w:rFonts w:eastAsia="宋体" w:ascii="Times New Roman" w:hAnsi="Times New Roman"/>
              </w:rPr>
              <w:t>血糖达标且多尿持续</w:t>
            </w:r>
          </w:p>
        </w:tc>
        <w:tc>
          <w:tcPr>
            <w:tcW w:type="dxa" w:w="1928"/>
          </w:tcPr>
          <w:p>
            <w:pPr>
              <w:spacing w:after="20"/>
            </w:pPr>
            <w:r/>
            <w:r>
              <w:rPr>
                <w:sz w:val="17"/>
                <w:rFonts w:eastAsia="宋体" w:ascii="Times New Roman" w:hAnsi="Times New Roman"/>
              </w:rPr>
              <w:t>第三部分阶段 2</w:t>
            </w:r>
          </w:p>
        </w:tc>
        <w:tc>
          <w:tcPr>
            <w:tcW w:type="dxa" w:w="4309"/>
          </w:tcPr>
          <w:p>
            <w:pPr>
              <w:spacing w:after="20"/>
            </w:pPr>
            <w:r/>
            <w:r>
              <w:rPr>
                <w:sz w:val="17"/>
                <w:rFonts w:eastAsia="宋体" w:ascii="Times New Roman" w:hAnsi="Times New Roman"/>
              </w:rPr>
              <w:t>确认低渗性多尿（尿量、尿渗透压、血渗透压、血钠）</w:t>
            </w:r>
          </w:p>
        </w:tc>
        <w:tc>
          <w:tcPr>
            <w:tcW w:type="dxa" w:w="2494"/>
          </w:tcPr>
          <w:p>
            <w:pPr>
              <w:spacing w:after="20"/>
            </w:pPr>
            <w:r/>
            <w:r>
              <w:rPr>
                <w:sz w:val="17"/>
                <w:rFonts w:eastAsia="宋体" w:ascii="Times New Roman" w:hAnsi="Times New Roman"/>
              </w:rPr>
              <w:t>满足低渗性多尿定义 + 3.4 全部安全前提</w:t>
            </w:r>
          </w:p>
        </w:tc>
      </w:tr>
      <w:tr>
        <w:tc>
          <w:tcPr>
            <w:tcW w:type="dxa" w:w="1474"/>
          </w:tcPr>
          <w:p>
            <w:pPr>
              <w:spacing w:after="20"/>
            </w:pPr>
            <w:r/>
            <w:r>
              <w:rPr>
                <w:sz w:val="17"/>
                <w:rFonts w:eastAsia="宋体" w:ascii="Times New Roman" w:hAnsi="Times New Roman"/>
              </w:rPr>
              <w:t>条件满足后</w:t>
            </w:r>
          </w:p>
        </w:tc>
        <w:tc>
          <w:tcPr>
            <w:tcW w:type="dxa" w:w="1928"/>
          </w:tcPr>
          <w:p>
            <w:pPr>
              <w:spacing w:after="20"/>
            </w:pPr>
            <w:r/>
            <w:r>
              <w:rPr>
                <w:sz w:val="17"/>
                <w:rFonts w:eastAsia="宋体" w:ascii="Times New Roman" w:hAnsi="Times New Roman"/>
              </w:rPr>
              <w:t>第三部分阶段 3</w:t>
            </w:r>
          </w:p>
        </w:tc>
        <w:tc>
          <w:tcPr>
            <w:tcW w:type="dxa" w:w="4309"/>
          </w:tcPr>
          <w:p>
            <w:pPr>
              <w:spacing w:after="20"/>
            </w:pPr>
            <w:r/>
            <w:r>
              <w:rPr>
                <w:sz w:val="17"/>
                <w:rFonts w:eastAsia="宋体" w:ascii="Times New Roman" w:hAnsi="Times New Roman"/>
              </w:rPr>
              <w:t>禁水试验、必要时高渗盐水刺激/Copeptin、DDAVP 试验、垂体影像</w:t>
            </w:r>
          </w:p>
        </w:tc>
        <w:tc>
          <w:tcPr>
            <w:tcW w:type="dxa" w:w="2494"/>
          </w:tcPr>
          <w:p>
            <w:pPr>
              <w:spacing w:after="20"/>
            </w:pPr>
            <w:r/>
            <w:r>
              <w:rPr>
                <w:sz w:val="17"/>
                <w:rFonts w:eastAsia="宋体" w:ascii="Times New Roman" w:hAnsi="Times New Roman"/>
              </w:rPr>
              <w:t>病因定型，并与第四部分心血管评估统筹</w:t>
            </w:r>
          </w:p>
        </w:tc>
      </w:tr>
      <w:tr>
        <w:tc>
          <w:tcPr>
            <w:tcW w:type="dxa" w:w="1474"/>
          </w:tcPr>
          <w:p>
            <w:pPr>
              <w:spacing w:after="20"/>
            </w:pPr>
            <w:r/>
            <w:r>
              <w:rPr>
                <w:sz w:val="17"/>
                <w:rFonts w:eastAsia="宋体" w:ascii="Times New Roman" w:hAnsi="Times New Roman"/>
              </w:rPr>
              <w:t>稳定后（可并行）</w:t>
            </w:r>
          </w:p>
        </w:tc>
        <w:tc>
          <w:tcPr>
            <w:tcW w:type="dxa" w:w="1928"/>
          </w:tcPr>
          <w:p>
            <w:pPr>
              <w:spacing w:after="20"/>
            </w:pPr>
            <w:r/>
            <w:r>
              <w:rPr>
                <w:sz w:val="17"/>
                <w:rFonts w:eastAsia="宋体" w:ascii="Times New Roman" w:hAnsi="Times New Roman"/>
              </w:rPr>
              <w:t>第四部分：马凡样评估</w:t>
            </w:r>
          </w:p>
        </w:tc>
        <w:tc>
          <w:tcPr>
            <w:tcW w:type="dxa" w:w="4309"/>
          </w:tcPr>
          <w:p>
            <w:pPr>
              <w:spacing w:after="20"/>
            </w:pPr>
            <w:r/>
            <w:r>
              <w:rPr>
                <w:sz w:val="17"/>
                <w:rFonts w:eastAsia="宋体" w:ascii="Times New Roman" w:hAnsi="Times New Roman"/>
              </w:rPr>
              <w:t>经胸心脏超声（优先）、心电图、眼科再评估、系统评分、家族史扩展、同型半胱氨酸；有适应证时行主动脉影像（优选 MRI/MRA）与基因检测</w:t>
            </w:r>
          </w:p>
        </w:tc>
        <w:tc>
          <w:tcPr>
            <w:tcW w:type="dxa" w:w="2494"/>
          </w:tcPr>
          <w:p>
            <w:pPr>
              <w:spacing w:after="20"/>
            </w:pPr>
            <w:r/>
            <w:r>
              <w:rPr>
                <w:sz w:val="17"/>
                <w:rFonts w:eastAsia="宋体" w:ascii="Times New Roman" w:hAnsi="Times New Roman"/>
              </w:rPr>
              <w:t>妊娠状态已核实（非急诊电离辐射检查的硬性前置条件）</w:t>
            </w:r>
          </w:p>
        </w:tc>
      </w:tr>
    </w:tbl>
    <w:p>
      <w:pPr>
        <w:spacing w:after="40"/>
      </w:pPr>
    </w:p>
    <w:p>
      <w:pPr>
        <w:pStyle w:val="Heading1"/>
        <w:spacing w:before="200" w:after="100"/>
      </w:pPr>
      <w:r>
        <w:rPr>
          <w:rFonts w:eastAsia="宋体" w:ascii="Times New Roman" w:hAnsi="Times New Roman"/>
        </w:rPr>
        <w:t>第七部分　禁止事项（结论边界）</w:t>
      </w:r>
    </w:p>
    <w:p>
      <w:pPr>
        <w:pStyle w:val="ListBullet"/>
        <w:spacing w:after="40"/>
        <w:ind w:left="340"/>
      </w:pPr>
      <w:r>
        <w:rPr>
          <w:sz w:val="21"/>
          <w:rFonts w:eastAsia="宋体" w:ascii="Times New Roman" w:hAnsi="Times New Roman"/>
        </w:rPr>
        <w:t>不得把外院人工转录（一年前、一月余前、三日前）当作本次入院当前样本，尤其不得用其“尿酮 +”判定本次酮症。</w:t>
      </w:r>
    </w:p>
    <w:p>
      <w:pPr>
        <w:pStyle w:val="ListBullet"/>
        <w:spacing w:after="40"/>
        <w:ind w:left="340"/>
      </w:pPr>
      <w:r>
        <w:rPr>
          <w:sz w:val="21"/>
          <w:rFonts w:eastAsia="宋体" w:ascii="Times New Roman" w:hAnsi="Times New Roman"/>
        </w:rPr>
        <w:t>不得把尚未完成的检查写成既成事实；所有未回报项在文中均记为“待查”。</w:t>
      </w:r>
    </w:p>
    <w:p>
      <w:pPr>
        <w:pStyle w:val="ListBullet"/>
        <w:spacing w:after="40"/>
        <w:ind w:left="340"/>
      </w:pPr>
      <w:r>
        <w:rPr>
          <w:sz w:val="21"/>
          <w:rFonts w:eastAsia="宋体" w:ascii="Times New Roman" w:hAnsi="Times New Roman"/>
        </w:rPr>
        <w:t>不得仅凭床旁交班摘要直接放行动态多尿试验；不得在急性代谢紊乱纠正前执行禁水或高渗刺激试验。</w:t>
      </w:r>
    </w:p>
    <w:p>
      <w:pPr>
        <w:pStyle w:val="ListBullet"/>
        <w:spacing w:after="40"/>
        <w:ind w:left="340"/>
      </w:pPr>
      <w:r>
        <w:rPr>
          <w:sz w:val="21"/>
          <w:rFonts w:eastAsia="宋体" w:ascii="Times New Roman" w:hAnsi="Times New Roman"/>
        </w:rPr>
        <w:t>不得在结果回报前写出“糖尿病酮症酸中毒”“高渗高血糖状态”等确诊表述，亦不得给出糖尿病分型结论。</w:t>
      </w:r>
    </w:p>
    <w:p>
      <w:pPr>
        <w:pStyle w:val="ListBullet"/>
        <w:spacing w:after="40"/>
        <w:ind w:left="340"/>
      </w:pPr>
      <w:r>
        <w:rPr>
          <w:sz w:val="21"/>
          <w:rFonts w:eastAsia="宋体" w:ascii="Times New Roman" w:hAnsi="Times New Roman"/>
        </w:rPr>
        <w:t>不得在系统评分、主动脉影像与基因结果回报前写出“马凡综合征”诊断。</w:t>
      </w:r>
    </w:p>
    <w:p>
      <w:pPr>
        <w:pStyle w:val="ListBullet"/>
        <w:spacing w:after="40"/>
        <w:ind w:left="340"/>
      </w:pPr>
      <w:r>
        <w:rPr>
          <w:sz w:val="21"/>
          <w:rFonts w:eastAsia="宋体" w:ascii="Times New Roman" w:hAnsi="Times New Roman"/>
        </w:rPr>
        <w:t>不得对月经不规律且妊娠状态未核实的育龄患者安排非急诊电离辐射检查；急救必需的检查按临床风险权衡并记录依据。</w:t>
      </w:r>
    </w:p>
    <w:p>
      <w:pPr>
        <w:pStyle w:val="ListBullet"/>
        <w:spacing w:after="40"/>
        <w:ind w:left="340"/>
      </w:pPr>
      <w:r>
        <w:rPr>
          <w:sz w:val="21"/>
          <w:rFonts w:eastAsia="宋体" w:ascii="Times New Roman" w:hAnsi="Times New Roman"/>
        </w:rPr>
        <w:t>“待分型”“疑似”“需要排除”不等于确诊；执行反馈改变路径或判断时，主体报告与相关记录必须同步更新。</w:t>
      </w:r>
    </w:p>
    <w:p>
      <w:pPr>
        <w:pStyle w:val="Heading1"/>
        <w:spacing w:before="200" w:after="100"/>
      </w:pPr>
      <w:r>
        <w:rPr>
          <w:rFonts w:eastAsia="宋体" w:ascii="Times New Roman" w:hAnsi="Times New Roman"/>
        </w:rPr>
        <w:t>结论汇总（当前时点可写的表述）</w:t>
      </w:r>
    </w:p>
    <w:p>
      <w:pPr>
        <w:spacing w:after="80"/>
      </w:pPr>
      <w:r>
        <w:rPr>
          <w:b w:val="0"/>
          <w:i w:val="0"/>
          <w:sz w:val="20"/>
          <w:rFonts w:eastAsia="宋体" w:ascii="Times New Roman" w:hAnsi="Times New Roman"/>
        </w:rPr>
        <w:t>1. 显著高血糖状态，伴尿酮阳性（既往外院转录）、1 月内体重下降 5 kg、多饮多尿 3 年余；疑似急性高血糖危象（DKA 和/或 HHS），待本次入院血气、血 β-羟丁酸、电解质、血渗透压与肾功能回报确认。</w:t>
      </w:r>
    </w:p>
    <w:p>
      <w:pPr>
        <w:spacing w:after="80"/>
      </w:pPr>
      <w:r>
        <w:rPr>
          <w:b w:val="0"/>
          <w:i w:val="0"/>
          <w:sz w:val="20"/>
          <w:rFonts w:eastAsia="宋体" w:ascii="Times New Roman" w:hAnsi="Times New Roman"/>
        </w:rPr>
        <w:t>2. 糖尿病（三日前外院门诊诊断），分型待定；分型与慢性并发症评估推迟至急性代谢紊乱纠正后 24–72 小时起。</w:t>
      </w:r>
    </w:p>
    <w:p>
      <w:pPr>
        <w:spacing w:after="80"/>
      </w:pPr>
      <w:r>
        <w:rPr>
          <w:b w:val="0"/>
          <w:i w:val="0"/>
          <w:sz w:val="20"/>
          <w:rFonts w:eastAsia="宋体" w:ascii="Times New Roman" w:hAnsi="Times New Roman"/>
        </w:rPr>
        <w:t>3. 多饮多尿 3 年余，未定量，病因待查；先按渗透性利尿（高血糖所致）处理，血糖达标后若仍持续则进入低渗性多尿确认与病因分型路径。</w:t>
      </w:r>
    </w:p>
    <w:p>
      <w:pPr>
        <w:spacing w:after="80"/>
      </w:pPr>
      <w:r>
        <w:rPr>
          <w:b w:val="0"/>
          <w:i w:val="0"/>
          <w:sz w:val="20"/>
          <w:rFonts w:eastAsia="宋体" w:ascii="Times New Roman" w:hAnsi="Times New Roman"/>
        </w:rPr>
        <w:t>4. 晶状体脱位（既往 1 年）及马凡样体征（拇指征、腕征阳性，臂展/身高 1.030，下部量&gt;上部量，脊柱可疑侧弯，拇外翻）；需排除马凡综合征及 Loeys-Dietz 等遗传性主动脉病，心血管与皮肤系统尚未评估。</w:t>
      </w:r>
    </w:p>
    <w:p>
      <w:pPr>
        <w:spacing w:after="80"/>
      </w:pPr>
      <w:r>
        <w:rPr>
          <w:b w:val="0"/>
          <w:i w:val="0"/>
          <w:sz w:val="20"/>
          <w:rFonts w:eastAsia="宋体" w:ascii="Times New Roman" w:hAnsi="Times New Roman"/>
        </w:rPr>
        <w:t>5. 既往桥本甲状腺炎、亚临床甲减、甲状腺结节 5 年；脂肪肝 2 年；卵巢囊肿半月；5 年前剖宫产史。甲状腺功能与生殖代谢评估安排在稳定期，并与分型抗体检测合并采血。</w:t>
      </w:r>
    </w:p>
    <w:p>
      <w:pPr>
        <w:spacing w:after="80"/>
      </w:pPr>
      <w:r>
        <w:rPr>
          <w:b w:val="0"/>
          <w:i w:val="0"/>
          <w:sz w:val="20"/>
          <w:rFonts w:eastAsia="宋体" w:ascii="Times New Roman" w:hAnsi="Times New Roman"/>
        </w:rPr>
        <w:t>6. 育龄女性，月经不规律，末次月经记录为 2022-09-25（年份待核实）；妊娠状态须在入院时核实并记录，作为后续非急诊电离辐射检查的前置条件。</w:t>
      </w:r>
    </w:p>
    <w:p>
      <w:pPr>
        <w:spacing w:after="0"/>
      </w:pPr>
      <w:r>
        <w:rPr>
          <w:b w:val="0"/>
          <w:i/>
          <w:sz w:val="18"/>
          <w:rFonts w:eastAsia="宋体" w:ascii="Times New Roman" w:hAnsi="Times New Roman"/>
        </w:rPr>
        <w:t>—— 本文件所有结论均以本次入院当前样本回报与主治医师审核为准；材料核对、冲突处理与方案调整的详细记录见 execution_log.md、source_note.md 与 review_notes.md。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