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内分泌专科入院评估</w:t>
      </w:r>
    </w:p>
    <w:p>
      <w:pPr>
        <w:jc w:val="center"/>
      </w:pPr>
      <w:r>
        <w:rPr>
          <w:color w:val="505050"/>
          <w:sz w:val="22"/>
        </w:rPr>
        <w:t>育龄女性｜高血糖危象排查、多饮多尿与马凡样表型分阶段路径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r>
              <w:rPr>
                <w:b/>
                <w:sz w:val="20"/>
              </w:rPr>
              <w:t>安全结论：本次入院当前血气、血 β-羟丁酸、电解质、血浆渗透压和定量尿量均未见回报。在这些结果返回前，只能下“高血糖危象待排（DKA/HHS/重叠）”；不得据外院尿酮“+”或无消化道症状认定无酸中毒，亦不得先行禁水、限水或高渗刺激试验。</w:t>
            </w:r>
          </w:p>
        </w:tc>
      </w:tr>
    </w:tbl>
    <w:p>
      <w:pPr>
        <w:pStyle w:val="Heading1"/>
      </w:pPr>
      <w:r>
        <w:t>评估依据与当前事实</w:t>
      </w:r>
    </w:p>
    <w:p>
      <w:r>
        <w:t>本评估仅以给定本地材料作为患者事实来源。外院检验为人工转录：一月余前曾记录空腹血糖 21.7 mmol/L、餐后 2 小时血糖 30.6 mmol/L、HbA1c 14.6%、尿糖 4+、尿酮 +；三日前门诊记录“糖尿病”并开具诺和佳 10 U、每日 2 次，用药后无血糖监测。上述结果仅提示近期风险，不能替代本次当前样本。</w:t>
      </w:r>
    </w:p>
    <w:p>
      <w:r>
        <w:t>患者诉约 3 年多饮、主观多尿，饮水约 4–5 L/d，但从未记录 24 h 尿量；近 1 月体重下降 5 kg。本次查体 T 36.7℃、P 98/min、R 16/min、BP 116/69 mmHg，身高 166 cm、体重 76.7 kg、BMI 27.8 kg/m²、腰围 106 cm。既往有桥本甲状腺炎/亚临床甲减、甲状腺结节、脂肪肝、晶状体脱位及卵巢囊肿病史；拇指征、腕征阳性，手指细长并有可疑脊柱侧弯等马凡样线索。</w:t>
      </w:r>
    </w:p>
    <w:p>
      <w:pPr>
        <w:pStyle w:val="Heading2"/>
      </w:pPr>
      <w:r>
        <w:t>当前诊断层级（结果未回报时）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D9EAF7"/>
            <w:vAlign w:val="center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4819"/>
            <w:shd w:fill="D9EAF7"/>
            <w:vAlign w:val="center"/>
          </w:tcPr>
          <w:p>
            <w:r>
              <w:rPr>
                <w:b/>
                <w:sz w:val="18"/>
              </w:rPr>
              <w:t>目前可写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b/>
                <w:sz w:val="18"/>
              </w:rPr>
              <w:t>边界</w:t>
            </w:r>
          </w:p>
        </w:tc>
      </w:tr>
      <w:t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已记录/可确认的临床问题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糖尿病（门诊已诊断，分型待定）；多年多饮、主观多尿；近期体重下降；晶状体脱位病史伴马凡样体征；桥本甲状腺炎/亚临床甲减及甲状腺结节病史。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门诊诊断可保留，但本次血糖控制状态、类型和急性并发症仍需当前样本。</w:t>
            </w:r>
          </w:p>
        </w:tc>
      </w:tr>
      <w:t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当前必须排除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高血糖危象：DKA、HHS及二者重叠；脱水/急性肾损伤；钠、钾、镁、磷异常；感染、妊娠、胰腺炎、心脑血管事件或用药/治疗中断等诱因。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均为“待排”，不能写成阴性或确诊。可交流、无恶心呕吐腹痛不具有排除力。</w:t>
            </w:r>
          </w:p>
        </w:tc>
      </w:tr>
      <w:tr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后续待证实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持续渗透性利尿或低渗多尿；AVP 缺乏、肾性尿崩症、原发性烦渴；糖尿病慢性并发症；马凡综合征或相关遗传病；月经紊乱/PCOS 等。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未量到 24 h 尿量前不能诊断多尿；无主动脉/眼科/遗传证据不能诊断马凡综合征。</w:t>
            </w:r>
          </w:p>
        </w:tc>
      </w:tr>
    </w:tbl>
    <w:p>
      <w:pPr>
        <w:spacing w:after="0"/>
      </w:pPr>
    </w:p>
    <w:p>
      <w:pPr>
        <w:pStyle w:val="Heading1"/>
      </w:pPr>
      <w:r>
        <w:t>一、当前急症排查</w:t>
      </w:r>
    </w:p>
    <w:p>
      <w:pPr>
        <w:pStyle w:val="Heading2"/>
      </w:pPr>
      <w:r>
        <w:t>1. 立即完成：取当前样本并同步床旁评估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04"/>
            <w:shd w:fill="D9EAF7"/>
            <w:vAlign w:val="center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4876"/>
            <w:shd w:fill="D9EAF7"/>
            <w:vAlign w:val="center"/>
          </w:tcPr>
          <w:p>
            <w:r>
              <w:rPr>
                <w:b/>
                <w:sz w:val="18"/>
              </w:rPr>
              <w:t>检查/观察</w:t>
            </w:r>
          </w:p>
        </w:tc>
        <w:tc>
          <w:tcPr>
            <w:tcW w:type="dxa" w:w="3515"/>
            <w:shd w:fill="D9EAF7"/>
            <w:vAlign w:val="center"/>
          </w:tcPr>
          <w:p>
            <w:r>
              <w:rPr>
                <w:b/>
                <w:sz w:val="18"/>
              </w:rPr>
              <w:t>目的与解释</w:t>
            </w:r>
          </w:p>
        </w:tc>
      </w:tr>
      <w:tr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立即床旁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复测生命体征、意识/GCS、呼吸型态、黏膜/皮肤、毛细血管再充盈、颈静脉、外周灌注；卧立位血压/心率（安全可行时）；床旁指尖血糖；建立严格出入量并测体重。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识别低灌注、容量不足、神经功能异常及尿量变化。一次正常血压或可交流不能排除危象。</w:t>
            </w:r>
          </w:p>
        </w:tc>
      </w:tr>
      <w:tr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立即送检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静脉血糖；血 β-羟丁酸（优先于单纯尿酮）；静脉血气 pH、HCO₃⁻；Na、K、Cl、总 CO₂/HCO₃⁻、尿素、肌酐、eGFR、Mg、磷；实测血浆渗透压。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同时计算阴离子间隙；按 mmol/L 计算有效渗透压 2×Na+glucose，并可估算总渗透压 2×Na+glucose+urea；报告实测钠及按高血糖校正钠。静脉血气通常足以筛查酸碱，低氧/呼吸适应证时再行动脉血气。</w:t>
            </w:r>
          </w:p>
        </w:tc>
      </w:tr>
      <w:tr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同批基础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尿常规及尿沉渣（当前尿糖、尿酮、比重）；CBC；肝功能；当前尿/血 hCG（育龄且妊娠状态未核实）。可留取配对点尿渗透压/尿 Na、K，但不得因此延误危象处理。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尿酮受方法和时相影响，不能代替 β-羟丁酸。急性高血糖期的尿渗透压可由葡萄糖升高，不能直接用于诊断尿崩症。</w:t>
            </w:r>
          </w:p>
        </w:tc>
      </w:tr>
      <w:tr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结果触发</w:t>
            </w:r>
          </w:p>
        </w:tc>
        <w:tc>
          <w:tcPr>
            <w:tcW w:type="dxa" w:w="487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明显 K 异常、心悸或危象时 12 导联 ECG/心电监护；低灌注或不明酸中毒时乳酸；必要时重复血糖、电解质、肌酐、磷、β-羟丁酸和静脉 pH。</w:t>
            </w:r>
          </w:p>
        </w:tc>
        <w:tc>
          <w:tcPr>
            <w:tcW w:type="dxa" w:w="35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若确认危象，按实时结果进入监护、补液、胰岛素和钾管理流程；本文不在无结果时预设固定处方。</w:t>
            </w:r>
          </w:p>
        </w:tc>
      </w:tr>
    </w:tbl>
    <w:p>
      <w:pPr>
        <w:spacing w:after="0"/>
      </w:pPr>
    </w:p>
    <w:p>
      <w:pPr>
        <w:pStyle w:val="Heading2"/>
      </w:pPr>
      <w:r>
        <w:t>2. 结果返回后的危象判定框架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D9EAF7"/>
            <w:vAlign w:val="center"/>
          </w:tcPr>
          <w:p>
            <w:r>
              <w:rPr>
                <w:b/>
                <w:sz w:val="18"/>
              </w:rPr>
              <w:t>诊断</w:t>
            </w:r>
          </w:p>
        </w:tc>
        <w:tc>
          <w:tcPr>
            <w:tcW w:type="dxa" w:w="5896"/>
            <w:shd w:fill="D9EAF7"/>
            <w:vAlign w:val="center"/>
          </w:tcPr>
          <w:p>
            <w:r>
              <w:rPr>
                <w:b/>
                <w:sz w:val="18"/>
              </w:rPr>
              <w:t>公开标准的组成条件</w:t>
            </w:r>
          </w:p>
        </w:tc>
        <w:tc>
          <w:tcPr>
            <w:tcW w:type="dxa" w:w="2438"/>
            <w:shd w:fill="D9EAF7"/>
            <w:vAlign w:val="center"/>
          </w:tcPr>
          <w:p>
            <w:r>
              <w:rPr>
                <w:b/>
                <w:sz w:val="18"/>
              </w:rPr>
              <w:t>本例当前状态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DKA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须同时具备：糖尿病/高血糖（血糖 ≥11.1 mmol/L 或既往糖尿病）、酮症（β-羟丁酸 ≥3.0 mmol/L，或尿酮 ≥2+）及代谢性酸中毒（pH &lt;7.3 和/或 HCO₃⁻ &lt;18 mmol/L）。阴离子间隙可辅助，但不能替代三要素。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仅有外院一月余前尿酮 + 和高血糖转录；本次血酮、pH、HCO₃⁻均待查，故只能写 DKA 待排。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HHS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显著高血糖（通常 ≥33.3 mmol/L）+ 高渗（有效渗透压 &gt;300 mOsm/kg 或总渗透压 &gt;320 mOsm/kg）+ 无显著酮症（β-羟丁酸 &lt;3.0 mmol/L/尿酮 &lt;2+）+ 无显著酸中毒（pH ≥7.3 且 HCO₃⁻ ≥15 mmol/L）。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本次血糖、实测/计算渗透压、血酮及酸碱均待查，故只能写 HHS 待排。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DKA/HHS 重叠</w:t>
            </w:r>
          </w:p>
        </w:tc>
        <w:tc>
          <w:tcPr>
            <w:tcW w:type="dxa" w:w="58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若同时出现显著高渗及 DKA 的酮症/酸中毒特征，按重叠型识别并提高监护级别。</w:t>
            </w:r>
          </w:p>
        </w:tc>
        <w:tc>
          <w:tcPr>
            <w:tcW w:type="dxa" w:w="243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不能先验二选一。</w:t>
            </w:r>
          </w:p>
        </w:tc>
      </w:tr>
    </w:tbl>
    <w:p>
      <w:pPr>
        <w:spacing w:after="0"/>
      </w:pPr>
    </w:p>
    <w:p>
      <w:r>
        <w:t>注：若实验室采用不同参考范围或危象方案，以本院经审核方法学为准；以上阈值只用于解释待回报结果。</w:t>
      </w:r>
    </w:p>
    <w:p>
      <w:pPr>
        <w:pStyle w:val="Heading2"/>
      </w:pPr>
      <w:r>
        <w:t>3. 脱水、电解质紊乱与诱因：并行但不延误</w:t>
      </w:r>
    </w:p>
    <w:p>
      <w:pPr>
        <w:pStyle w:val="ListBullet"/>
      </w:pPr>
      <w:r>
        <w:t>容量/肾功能：把查体、严格出入量、体重、尿素/肌酐、钠及渗透压合并判断；高血糖可造成移位性低钠，必须同时看实测钠、校正钠和变化趋势。</w:t>
      </w:r>
    </w:p>
    <w:p>
      <w:pPr>
        <w:pStyle w:val="ListBullet"/>
      </w:pPr>
      <w:r>
        <w:t>电解质：即使血钾正常或偏高也可能存在总体钾缺失；在获得 K 和肾功能前不得盲目推进胰岛素/补钾。Mg、磷异常按症状、程度和危象流程处理。</w:t>
      </w:r>
    </w:p>
    <w:p>
      <w:pPr>
        <w:pStyle w:val="ListBullet"/>
      </w:pPr>
      <w:r>
        <w:t>病史核查：最后一次诺和佳给药时间/剂量、漏用或错误用药、进食和饮水、近期糖皮质激素/噻嗪/锂盐/SGLT2 抑制剂等；材料只证明处方，不证明实际规律使用。</w:t>
      </w:r>
    </w:p>
    <w:p>
      <w:pPr>
        <w:pStyle w:val="ListBullet"/>
      </w:pPr>
      <w:r>
        <w:t>感染：复核发热、呼吸道、泌尿道、皮肤/牙源症状并查体；CBC/尿检作为基础。仅在发热、局灶征象、脓毒症或影像指征时做血/尿培养、CRP/PCT、胸片等，不因高血糖常规无差别全做。</w:t>
      </w:r>
    </w:p>
    <w:p>
      <w:pPr>
        <w:pStyle w:val="ListBullet"/>
      </w:pPr>
      <w:r>
        <w:t>其他按适应证：腹痛/呕吐或胰腺炎线索查脂肪酶；胸痛/缺血线索查肌钙蛋白和 ECG；局灶神经征象按卒中路径；药物/毒物、手术应激等依病史。育龄患者同步 hCG；必要急救影像不因等待妊娠结果而不当延误。</w:t>
      </w:r>
    </w:p>
    <w:p>
      <w:pPr>
        <w:pStyle w:val="Heading1"/>
      </w:pPr>
      <w:r>
        <w:t>二、病情稳定后</w:t>
      </w:r>
    </w:p>
    <w:p>
      <w:r>
        <w:rPr>
          <w:b/>
        </w:rPr>
        <w:t>进入条件：</w:t>
      </w:r>
      <w:r>
        <w:t>DKA/HHS 已排除或纠正，循环和电解质稳定、血糖不再造成显著渗透性干扰，可安全进食饮水；若条件未满足，本节检查应延后或仅留样不解释。</w:t>
      </w:r>
    </w:p>
    <w:p>
      <w:pPr>
        <w:pStyle w:val="Heading2"/>
      </w:pPr>
      <w:r>
        <w:t>1. 糖尿病分型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D9EAF7"/>
            <w:vAlign w:val="center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5102"/>
            <w:shd w:fill="D9EAF7"/>
            <w:vAlign w:val="center"/>
          </w:tcPr>
          <w:p>
            <w:r>
              <w:rPr>
                <w:b/>
                <w:sz w:val="18"/>
              </w:rPr>
              <w:t>检查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b/>
                <w:sz w:val="18"/>
              </w:rPr>
              <w:t>结论边界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确认病程/控制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本次静脉血糖、HbA1c；CBC并关注贫血/输血/血红蛋白病、肾病等对 HbA1c 的影响，必要时选果糖胺/糖化白蛋白。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既往转录 HbA1c 14.6% 只能描述一月余前；三日胰岛素通常不代表长期控制已改善。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自身免疫证据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GAD65 抗体优先，联合 IA-2、ZnT8；必要时胰岛细胞抗体。胰岛素自身抗体在已使用外源胰岛素后解释受限，应标明采血相对用药时点。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阳性支持自身免疫性 1 型；阴性不能单独排除，尤其抗体谱不全或病程较久。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β 细胞储备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酮症/糖毒性纠正后，测空腹或刺激 C 肽并同步血糖、肌酐；若在急性期偏低，稳定后复测。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C 肽必须结合当时血糖和肾功能；急性糖毒性可造成暂时抑制。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综合归类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结合发病年龄、体型/代谢表型、酮症倾向、抗体、C 肽、家族史及药物史，鉴别自身免疫 1 型、2 型、酮症倾向糖尿病及继发性糖尿病。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BMI 27.8 kg/m²和腰围 106 cm支持胰岛素抵抗线索，但不排除 1 型。外院尿酮 + 也不能单独定义酮症倾向亚型。</w:t>
            </w:r>
          </w:p>
        </w:tc>
      </w:tr>
      <w:t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遗传/继发按适应证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若年轻起病、连续多代常染色体显性家族史、抗体阴性且 C 肽保留，考虑单基因糖尿病基因检测；有胰腺病、血色病、库欣/肢端肥大等表型再做定向检查。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本材料只有两位外祖辈患糖尿病，尚不足以直接启动或确诊 MODY；不做无表型的广泛内分泌筛查。</w:t>
            </w:r>
          </w:p>
        </w:tc>
      </w:tr>
    </w:tbl>
    <w:p>
      <w:pPr>
        <w:spacing w:after="0"/>
      </w:pPr>
    </w:p>
    <w:p>
      <w:pPr>
        <w:pStyle w:val="Heading2"/>
      </w:pPr>
      <w:r>
        <w:t>2. 并发症与心代谢风险：常规基础 vs 有适应证检查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D9EAF7"/>
            <w:vAlign w:val="center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5216"/>
            <w:shd w:fill="D9EAF7"/>
            <w:vAlign w:val="center"/>
          </w:tcPr>
          <w:p>
            <w:r>
              <w:rPr>
                <w:b/>
                <w:sz w:val="18"/>
              </w:rPr>
              <w:t>稳定后常规基础评估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b/>
                <w:sz w:val="18"/>
              </w:rPr>
              <w:t>仅有适应证才做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床旁/查体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血压、体重/BMI、腰围；皮肤和胰岛素注射部位；双足皮肤/畸形/溃疡、足背/胫后动脉；10 g 单丝联合至少一种感觉检查（128 Hz 音叉/针刺/踝反射）；询问低血糖及自主神经症状。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ABI：脉搏减弱、跛行、足病高风险等；神经传导：表现不典型、明显不对称、运动受累或诊断不清；胃排空/自主神经专项：有相应症状。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肾脏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血肌酐/eGFR；稳定后晨尿 UACR。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UACR 异常需在排除月经、感染、剧烈运动、急性高血糖等干扰后，于 3–6 月内重复确认；超声/肾科评估用于非典型尿沉渣、快速 eGFR 下降等。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眼部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安排散瞳眼底检查/眼底照相评估糖尿病视网膜病变；本例另需眼科裂隙灯确认晶状体脱位。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OCT、荧光造影等由眼科在视力下降、黄斑病变或治疗规划时决定，不作无差别常规。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心血管/代谢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空腹血脂；肝功能；复核吸烟、睡眠呼吸暂停线索、血压和家族早发心血管史；营养和运动评估。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静息 ECG/肌钙蛋白、负荷试验、冠脉影像仅按症状、心电异常或总体风险适应证；肝脏影像/纤维化评估按持续转氨酶异常和脂肪肝风险分层。</w:t>
            </w:r>
          </w:p>
        </w:tc>
      </w:tr>
      <w:tr>
        <w:tc>
          <w:tcPr>
            <w:tcW w:type="dxa" w:w="13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其他相关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口腔、皮肤感染风险及疫苗史；提供低血糖处理、病日规则、血糖/酮体监测和避孕/孕前咨询。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无症状患者不常规做全身影像或肿瘤标志物。</w:t>
            </w:r>
          </w:p>
        </w:tc>
      </w:tr>
    </w:tbl>
    <w:p>
      <w:pPr>
        <w:spacing w:after="0"/>
      </w:pPr>
    </w:p>
    <w:p>
      <w:pPr>
        <w:pStyle w:val="Heading2"/>
      </w:pPr>
      <w:r>
        <w:t>3. 甲状腺与生殖代谢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  <w:sz w:val="18"/>
              </w:rPr>
              <w:t>领域</w:t>
            </w:r>
          </w:p>
        </w:tc>
        <w:tc>
          <w:tcPr>
            <w:tcW w:type="dxa" w:w="4819"/>
            <w:shd w:fill="D9EAF7"/>
            <w:vAlign w:val="center"/>
          </w:tcPr>
          <w:p>
            <w:r>
              <w:rPr>
                <w:b/>
                <w:sz w:val="18"/>
              </w:rPr>
              <w:t>基础评估</w:t>
            </w:r>
          </w:p>
        </w:tc>
        <w:tc>
          <w:tcPr>
            <w:tcW w:type="dxa" w:w="3458"/>
            <w:shd w:fill="D9EAF7"/>
            <w:vAlign w:val="center"/>
          </w:tcPr>
          <w:p>
            <w:r>
              <w:rPr>
                <w:b/>
                <w:sz w:val="18"/>
              </w:rPr>
              <w:t>按指征追加/解释限制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甲状腺功能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病情稳定后查 TSH、FT4；核对既往报告、药物及服药方法。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急性危重病可出现非甲状腺疾病改变，轻度异常稳定后复核；TPOAb/TgAb若既往已明确桥本通常无需反复定量。FT3仅在特定甲亢/转换异常情境使用。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甲状腺结节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颈部查体，调取既往超声；按本院超声风险分层决定复查间隔。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FNA由结节大小、超声高危征象和淋巴结决定；不因“有结节史”自动穿刺。核素扫描仅在 TSH 受抑等适应证下，并受妊娠/哺乳限制。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妊娠与月经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先问当前末次月经、避孕、性生活和妊娠可能，查 hCG；记录材料中的 2022-09-25 仅为旧病历值。待代谢稳定后整理周期、异常子宫出血、泌乳及高雄表现。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妊娠试验阳性立即转入孕期糖尿病/甲状腺管理；严重高血糖、体重变化和急性应激本身可扰乱月经。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月经稀发/PCOS 路径</w:t>
            </w:r>
          </w:p>
        </w:tc>
        <w:tc>
          <w:tcPr>
            <w:tcW w:type="dxa" w:w="481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排妊娠后，根据表现查 TSH、泌乳素；有高雄证据时查总睾酮（可靠方法）±SHBG/游离雄激素指数，必要时 DHEAS。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疑非经典 CAH时晨间 17-OHP；快速男性化/雄激素显著升高时评估肿瘤；库欣表型才筛查皮质醇。PCOS须满足规范诊断组合并排除其他病因，不能仅凭月经不规律或卵巢囊肿病史确诊。盆腔超声按妇科症状、囊肿随访或诊断需要。</w:t>
            </w:r>
          </w:p>
        </w:tc>
      </w:tr>
    </w:tbl>
    <w:p>
      <w:pPr>
        <w:spacing w:after="0"/>
      </w:pPr>
    </w:p>
    <w:p>
      <w:pPr>
        <w:pStyle w:val="Heading2"/>
      </w:pPr>
      <w:r>
        <w:t>4. 多年多饮多尿：三阶段鉴别路径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b/>
                <w:sz w:val="18"/>
              </w:rPr>
              <w:t>先做什么</w:t>
            </w:r>
          </w:p>
        </w:tc>
        <w:tc>
          <w:tcPr>
            <w:tcW w:type="dxa" w:w="3288"/>
            <w:shd w:fill="D9EAF7"/>
            <w:vAlign w:val="center"/>
          </w:tcPr>
          <w:p>
            <w:r>
              <w:rPr>
                <w:b/>
                <w:sz w:val="18"/>
              </w:rPr>
              <w:t>触发下一步的条件/结论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A. 急性高血糖期：先考虑溶质性/渗透性利尿</w:t>
            </w:r>
          </w:p>
        </w:tc>
        <w:tc>
          <w:tcPr>
            <w:tcW w:type="dxa" w:w="49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当前血糖、尿糖、Na/K/Ca、尿素/肌酐、实测血浆及尿渗透压；严格出入量。查看 SGLT2 抑制剂、利尿剂、甘露醇、高蛋白/高盐负荷等。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血糖显著升高并糖尿、尿渗透压偏高时，渗透性利尿优先。先纠正高血糖和容量/电解质；此时不做禁水或高渗刺激。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B. 稳定后确认是否真性多尿、是否低渗</w:t>
            </w:r>
          </w:p>
        </w:tc>
        <w:tc>
          <w:tcPr>
            <w:tcW w:type="dxa" w:w="49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连续严格 24 h 尿量（必要时重复），同步饮水量；配对血 Na、血浆渗透压、尿渗透压/比重、尿 Na/K/尿素/葡萄糖；排除未控制糖尿、低钾、高钙、肾功能异常及药物。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成人尿量 &gt;3 L/d 或 &gt;50 mL/kg/d 可作客观多尿标准；按本例 76.7 kg 后者约 3.84 L/d，这只是阈值而非已测尿量。尿渗透压 &lt;300 mOsm/kg且持续多尿，才称低渗多尿并进入 C；&gt;800 通常反对 AVP 轴障碍；300–800 为灰区，先看溶质排泄和临床背景。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C. 低渗多尿分型</w:t>
            </w:r>
          </w:p>
        </w:tc>
        <w:tc>
          <w:tcPr>
            <w:tcW w:type="dxa" w:w="49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先用配对 Na/血浆渗透压判断：高钠/高渗更支持 AVP 缺乏或肾性抵抗；低正常钠/低渗更偏原发性烦渴，但均非单项确诊。由内分泌专科选择受控禁水-去氨加压素试验，或条件允许时高渗盐水刺激 copeptin；同时据病史做定向病因学。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去氨加压素后尿浓缩明显更支持中枢性 AVP 缺乏，反应小更支持肾性抵抗；部分型和长期原发性烦渴可重叠，需完整曲线/copeptin解释。确立中枢性 AVP 缺乏后才做垂体 MRI及垂体激素；肾性路径复核锂盐、低钾、高钙、肾病及遗传线索；原发性烦渴需药物/精神行为评估并避免武断归因。</w:t>
            </w:r>
          </w:p>
        </w:tc>
      </w:tr>
    </w:tbl>
    <w:p>
      <w:pPr>
        <w:spacing w:after="0"/>
      </w:pPr>
    </w:p>
    <w:p>
      <w:pPr>
        <w:pStyle w:val="Heading3"/>
      </w:pPr>
      <w:r>
        <w:t>动态试验的硬性安全前提</w:t>
      </w:r>
    </w:p>
    <w:p>
      <w:pPr>
        <w:pStyle w:val="ListBullet"/>
      </w:pPr>
      <w:r>
        <w:t>仅在 DKA/HHS 已排除或纠正、显著高血糖及糖尿性渗透利尿已控制、患者血流动力学稳定且基本等容后执行。</w:t>
      </w:r>
    </w:p>
    <w:p>
      <w:pPr>
        <w:pStyle w:val="ListBullet"/>
      </w:pPr>
      <w:r>
        <w:t>先确认持续低渗多尿，并复核 Na、K、Ca、肾功能及基础血浆/尿渗透压；显著高钠或低钠、低钾、高钙、脱水、肾功能不稳或无法配合者先纠正/评估，不得直接试验。</w:t>
      </w:r>
    </w:p>
    <w:p>
      <w:pPr>
        <w:pStyle w:val="ListBullet"/>
      </w:pPr>
      <w:r>
        <w:t>须内分泌专科书面方案和具备经验的监护环境，精确记录体重、尿量、尿渗透压、血钠/血浆渗透压、生命体征和症状；高渗盐水刺激需连续钠监测和及时纠偏能力。不得仅凭交班摘要放行。</w:t>
      </w:r>
    </w:p>
    <w:p>
      <w:pPr>
        <w:pStyle w:val="ListBullet"/>
      </w:pPr>
      <w:r>
        <w:t>受控禁水预设停止条件：体重下降约 3%–5%、出现低血压/体位性不适或明显心动过速、不能耐受的口渴/神经症状、血钠达到本院安全上限（常以 ≥150 mmol/L）或血浆渗透压达到方案上限（常以 ≥300 mOsm/kg），以及监护医师认为有风险的任何情况。达到停止条件后按方案复水/处理。</w:t>
      </w:r>
    </w:p>
    <w:p>
      <w:pPr>
        <w:pStyle w:val="ListBullet"/>
      </w:pPr>
      <w:r>
        <w:t>若基础已高钠且尿液稀释，可能无需再以禁水增加风险；优先由专科结合 copeptin/病因学选择更安全的确认方式。妊娠、癫痫、心肾疾病等特殊情况需个体化，必要时不做动态试验。</w:t>
      </w:r>
    </w:p>
    <w:p>
      <w:pPr>
        <w:pStyle w:val="Heading1"/>
      </w:pPr>
      <w:r>
        <w:t>三、后续专科评估</w:t>
      </w:r>
    </w:p>
    <w:p>
      <w:pPr>
        <w:pStyle w:val="Heading2"/>
      </w:pPr>
      <w:r>
        <w:t>1. 马凡综合征/马凡样综合征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5216"/>
            <w:shd w:fill="D9EAF7"/>
            <w:vAlign w:val="center"/>
          </w:tcPr>
          <w:p>
            <w:r>
              <w:rPr>
                <w:b/>
                <w:sz w:val="18"/>
              </w:rPr>
              <w:t>计划</w:t>
            </w:r>
          </w:p>
        </w:tc>
        <w:tc>
          <w:tcPr>
            <w:tcW w:type="dxa" w:w="3061"/>
            <w:shd w:fill="D9EAF7"/>
            <w:vAlign w:val="center"/>
          </w:tcPr>
          <w:p>
            <w:r>
              <w:rPr>
                <w:b/>
                <w:sz w:val="18"/>
              </w:rPr>
              <w:t>本例边界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眼科确认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眼科裂隙灯确认是否为晶状体异位/脱位、方向与双侧性；记录屈光、眼轴、视网膜及青光眼风险。</w:t>
            </w:r>
          </w:p>
        </w:tc>
        <w:tc>
          <w:tcPr>
            <w:tcW w:type="dxa" w:w="30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材料只有“晶状体脱位 1 年”病史，尚无眼科原始报告，不能直接作为修订 Ghent 的已确认主标准。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心血管首选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稳定后尽快经胸超声心动图：主动脉环/窦部/窦管交界/升主动脉标准化测量并按年龄体表面积计算 Z 值，同时评估主动脉瓣返流、二尖瓣脱垂及心功能。询问胸背痛、晕厥、心悸和家族主动脉事件。</w:t>
            </w:r>
          </w:p>
        </w:tc>
        <w:tc>
          <w:tcPr>
            <w:tcW w:type="dxa" w:w="30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无主动脉根数据，不能满足以主动脉病变为核心的确诊组合。若出现突发胸背痛、脉搏/血压不对称、神经缺损或新发主动脉返流，按急性主动脉综合征急诊处理。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系统评分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由临床遗传/心血管专科规范复查：腕征+拇指征、胸廓、后足、扁平足、脊柱侧弯、肘伸展、面容、皮纹、近视、气胸、硬膜扩张、髋臼突出、二尖瓣脱垂等；补三代家系。</w:t>
            </w:r>
          </w:p>
        </w:tc>
        <w:tc>
          <w:tcPr>
            <w:tcW w:type="dxa" w:w="30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本例腕征与拇指征均阳性可作为系统评分线索；可疑侧弯需确认。臂展/身高=171/166≈1.03、上/下部量=80/86≈0.93，应按适用人群阈值判断，不能自动计分。手指细长、关节活动度大、拇外翻也不能自行另加 Ghent 分。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遗传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遗传咨询后行 FBN1 检测；表型重叠或 FBN1 阴性且临床仍高度怀疑时选遗传性胸主动脉病/结缔组织病 panel，并做变异分级和家系验证。</w:t>
            </w:r>
          </w:p>
        </w:tc>
        <w:tc>
          <w:tcPr>
            <w:tcW w:type="dxa" w:w="30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意义未明变异不能单独确诊；阴性结果亦不能取代临床随访。</w:t>
            </w:r>
          </w:p>
        </w:tc>
      </w:tr>
      <w:tr>
        <w:tc>
          <w:tcPr>
            <w:tcW w:type="dxa" w:w="141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全主动脉</w:t>
            </w:r>
          </w:p>
        </w:tc>
        <w:tc>
          <w:tcPr>
            <w:tcW w:type="dxa" w:w="521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超声不能完整显示或达到诊断/基线适应证时，评估全主动脉。非急诊优先 MRI（按妊娠和对比剂风险决定是否增强）；CT血管成像用于 MRI 不可行、需更高空间分辨率或急症。</w:t>
            </w:r>
          </w:p>
        </w:tc>
        <w:tc>
          <w:tcPr>
            <w:tcW w:type="dxa" w:w="306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非急诊电离辐射检查必须先核实妊娠；不得把拟行影像写成已完成。</w:t>
            </w:r>
          </w:p>
        </w:tc>
      </w:tr>
    </w:tbl>
    <w:p>
      <w:pPr>
        <w:spacing w:after="0"/>
      </w:pPr>
    </w:p>
    <w:p>
      <w:pPr>
        <w:pStyle w:val="Heading3"/>
      </w:pPr>
      <w:r>
        <w:t>修订 Ghent 的结论方式</w:t>
      </w:r>
    </w:p>
    <w:p>
      <w:r>
        <w:t>无明确家族史时，典型确诊组合通常以主动脉根扩张/夹层为核心，结合已确认晶状体异位、致病性 FBN1 变异或系统评分；也可由晶状体异位与已知可导致主动脉病的 FBN1 变异组成特定组合。必须逐项满足规则并排除替代诊断。本例目前只能写“晶状体脱位病史伴马凡样体征，马凡综合征待评估”，不能凭体型或腕/拇指征直接确诊。</w:t>
      </w:r>
    </w:p>
    <w:p>
      <w:pPr>
        <w:pStyle w:val="Heading2"/>
      </w:pPr>
      <w:r>
        <w:t>2. 相关鉴别（由表型触发）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r>
              <w:rPr>
                <w:b/>
                <w:sz w:val="18"/>
              </w:rPr>
              <w:t>鉴别</w:t>
            </w:r>
          </w:p>
        </w:tc>
        <w:tc>
          <w:tcPr>
            <w:tcW w:type="dxa" w:w="4762"/>
            <w:shd w:fill="D9EAF7"/>
            <w:vAlign w:val="center"/>
          </w:tcPr>
          <w:p>
            <w:r>
              <w:rPr>
                <w:b/>
                <w:sz w:val="18"/>
              </w:rPr>
              <w:t>重点线索</w:t>
            </w:r>
          </w:p>
        </w:tc>
        <w:tc>
          <w:tcPr>
            <w:tcW w:type="dxa" w:w="3231"/>
            <w:shd w:fill="D9EAF7"/>
            <w:vAlign w:val="center"/>
          </w:tcPr>
          <w:p>
            <w:r>
              <w:rPr>
                <w:b/>
                <w:sz w:val="18"/>
              </w:rPr>
              <w:t>定向检查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同型半胱氨酸尿症（CBS相关）</w:t>
            </w:r>
          </w:p>
        </w:tc>
        <w:tc>
          <w:tcPr>
            <w:tcW w:type="dxa" w:w="476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晶状体异位、马凡样骨骼表型，合并血栓、发育/认知或骨质线索；晶状体移位方向由眼科记录。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空腹血浆总同型半胱氨酸、蛋氨酸，并转遗传代谢专科；异常后酶学/基因确认。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Loeys–Dietz 谱系</w:t>
            </w:r>
          </w:p>
        </w:tc>
        <w:tc>
          <w:tcPr>
            <w:tcW w:type="dxa" w:w="476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动脉瘤/迂曲，眼距宽、双裂悬雍垂/腭裂、颈椎或足部异常等；主动脉风险可不完全由根部尺寸体现。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全动脉树影像的范围由心血管/遗传专科决定；TGFBR1/2、SMAD2/3、TGFB2/3、SKI等相关 panel。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血管型 EDS</w:t>
            </w:r>
          </w:p>
        </w:tc>
        <w:tc>
          <w:tcPr>
            <w:tcW w:type="dxa" w:w="476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易瘀伤、半透明皮肤、特征面容、动脉/肠/子宫脆性，关节表现常以小关节为主。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临床遗传评估与 COL3A1 检测；避免仅凭“关节松”归类。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先天性挛缩性蜘蛛指（FBN2）</w:t>
            </w:r>
          </w:p>
        </w:tc>
        <w:tc>
          <w:tcPr>
            <w:tcW w:type="dxa" w:w="476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蜘蛛指、挛缩、耳廓皱褶、肌发育不足/脊柱后侧凸。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针对性 FBN2 或 panel。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MASS表型/二尖瓣脱垂综合征及其他</w:t>
            </w:r>
          </w:p>
        </w:tc>
        <w:tc>
          <w:tcPr>
            <w:tcW w:type="dxa" w:w="476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近视、二尖瓣、皮肤/骨骼表现而无进行性主动脉根病变；亦需考虑 Shprintzen–Goldberg 等表型。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长期主动脉随访和遗传评估；诊断需随时间验证，不能在首次无主动脉异常时仓促封闭。</w:t>
            </w:r>
          </w:p>
        </w:tc>
      </w:tr>
    </w:tbl>
    <w:p>
      <w:pPr>
        <w:spacing w:after="0"/>
      </w:pPr>
    </w:p>
    <w:p>
      <w:pPr>
        <w:pStyle w:val="Heading2"/>
      </w:pPr>
      <w:r>
        <w:t>3. 妊娠核实与非急诊电离辐射影像安全</w:t>
      </w:r>
    </w:p>
    <w:p>
      <w:pPr>
        <w:pStyle w:val="ListNumber"/>
      </w:pPr>
      <w:r>
        <w:t>材料中的末次月经 2022-09-25 仅是既往记录，不能证明当前未妊娠。每次非急诊含电离辐射的腹盆部/主动脉影像前，重新询问并记录当前末次月经、周期、避孕、性生活及妊娠可能，按本院时间窗完成尿或血 hCG。</w:t>
      </w:r>
    </w:p>
    <w:p>
      <w:pPr>
        <w:pStyle w:val="ListNumber"/>
      </w:pPr>
      <w:r>
        <w:t>若 hCG 阳性、结果不确定或妊娠可能不能排除：先判断检查能否延期或改用超声/MRI（通常优先不使用钆对比剂）；与影像科、产科共同进行母胎风险—获益评估并记录知情沟通。核素检查同样须核实妊娠/哺乳。</w:t>
      </w:r>
    </w:p>
    <w:p>
      <w:pPr>
        <w:pStyle w:val="ListNumber"/>
      </w:pPr>
      <w:r>
        <w:t>若怀疑急性主动脉综合征或其他危及生命情况，必要影像不得因妊娠核实流程造成不当延误；选择能最快回答临床问题且剂量优化的方案，记录紧急性和权衡。</w:t>
      </w:r>
    </w:p>
    <w:p>
      <w:pPr>
        <w:pStyle w:val="Heading1"/>
      </w:pPr>
      <w:r>
        <w:t>阶段性医嘱/交接摘要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31"/>
            <w:shd w:fill="D9EAF7"/>
            <w:vAlign w:val="center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3231"/>
            <w:shd w:fill="D9EAF7"/>
            <w:vAlign w:val="center"/>
          </w:tcPr>
          <w:p>
            <w:r>
              <w:rPr>
                <w:b/>
                <w:sz w:val="18"/>
              </w:rPr>
              <w:t>稳定后</w:t>
            </w:r>
          </w:p>
        </w:tc>
        <w:tc>
          <w:tcPr>
            <w:tcW w:type="dxa" w:w="3231"/>
            <w:shd w:fill="D9EAF7"/>
            <w:vAlign w:val="center"/>
          </w:tcPr>
          <w:p>
            <w:r>
              <w:rPr>
                <w:b/>
                <w:sz w:val="18"/>
              </w:rPr>
              <w:t>后续专科</w:t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当前样本排 DKA/HHS/重叠；评估容量、电解质、肾功能和诱因；严格出入量。结果前诊断仅到“危象待排”。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分型抗体+C 肽（合适时点）；并发症与甲状腺/生殖代谢分层；高血糖纠正后定量确认是否持续低渗多尿。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sz w:val="17"/>
              </w:rPr>
              <w:t>眼科裂隙灯+超声心动图+规范 Ghent 评分/遗传咨询；按指征全主动脉影像；非急诊电离辐射前核实妊娠。</w:t>
            </w:r>
          </w:p>
        </w:tc>
      </w:tr>
    </w:tbl>
    <w:p>
      <w:pPr>
        <w:spacing w:after="0"/>
      </w:pPr>
    </w:p>
    <w:p>
      <w:pPr>
        <w:pStyle w:val="Heading2"/>
      </w:pPr>
      <w:r>
        <w:t>禁止事项</w:t>
      </w:r>
    </w:p>
    <w:p>
      <w:pPr>
        <w:pStyle w:val="ListBullet"/>
      </w:pPr>
      <w:r>
        <w:t>不得用一月余前外院人工转录结果替代本次当前样本。</w:t>
      </w:r>
    </w:p>
    <w:p>
      <w:pPr>
        <w:pStyle w:val="ListBullet"/>
      </w:pPr>
      <w:r>
        <w:t>不得把待查项目写成已完成，不得把“疑似/待排/待分型”改写为确诊。</w:t>
      </w:r>
    </w:p>
    <w:p>
      <w:pPr>
        <w:pStyle w:val="ListBullet"/>
      </w:pPr>
      <w:r>
        <w:t>不得因无恶心、呕吐、腹痛或因患者可交流而排除 DKA/HHS。</w:t>
      </w:r>
    </w:p>
    <w:p>
      <w:pPr>
        <w:pStyle w:val="ListBullet"/>
      </w:pPr>
      <w:r>
        <w:t>不得在危象未排除、渗透性利尿未控制、客观低渗多尿未确认及专科监护未就绪时进行禁水/限水/高渗刺激。</w:t>
      </w:r>
    </w:p>
    <w:p>
      <w:pPr>
        <w:pStyle w:val="ListBullet"/>
      </w:pPr>
      <w:r>
        <w:t>不得以旧末次月经记录代替非急诊电离辐射前的当前妊娠核实。</w:t>
      </w:r>
    </w:p>
    <w:p>
      <w:pPr>
        <w:pStyle w:val="Heading2"/>
      </w:pPr>
      <w:r>
        <w:t>判断标准说明</w:t>
      </w:r>
    </w:p>
    <w:p>
      <w:r>
        <w:t>DKA/HHS 组成条件依据成人高血糖危象共识框架；多尿路径依据成人多尿—烦渴综合征的标准化评估原则；马凡综合征按 2010 修订 Ghent 框架。公开资料仅用于解释判断标准，患者事实全部来自本地材料。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内分泌专科入院评估｜当前结果待回报版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内分泌专科入院评估</dc:title>
  <dc:subject>高血糖危象、多饮多尿、马凡样表型分阶段评估</dc:subject>
  <dc:creator>内分泌专科评估</dc:creator>
  <cp:keywords>DKA,HHS,多尿,AVP,马凡综合征,妊娠核实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