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内分泌专科入院评估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——分阶段检查计划、当前诊断层级与鉴别路径</w:t>
      </w:r>
    </w:p>
    <w:p>
      <w:r>
        <w:rPr>
          <w:rFonts w:ascii="Times New Roman" w:hAnsi="Times New Roman" w:eastAsia="宋体"/>
          <w:b w:val="0"/>
          <w:sz w:val="21"/>
        </w:rPr>
        <w:t>评估日期：2026-09-21。患者：育龄女性（资料已去标识化）。</w:t>
      </w:r>
    </w:p>
    <w:p>
      <w:r>
        <w:rPr>
          <w:rFonts w:ascii="Times New Roman" w:hAnsi="Times New Roman" w:eastAsia="宋体"/>
          <w:b w:val="0"/>
          <w:sz w:val="21"/>
        </w:rPr>
        <w:t>资料依据：本次入院病史与查体（材料01）；外院检验转录与门诊交接（材料02，仅用于恢复病程，不作为本次入院当前样本）；床旁交班摘要（材料03，入院当日07:40形成、未经主治医师审核签名）；病历资料与检查安全规则（材料04，现行约束）。</w:t>
      </w:r>
    </w:p>
    <w:p>
      <w:r>
        <w:rPr>
          <w:rFonts w:ascii="Times New Roman" w:hAnsi="Times New Roman" w:eastAsia="宋体"/>
          <w:b/>
          <w:sz w:val="21"/>
        </w:rPr>
        <w:t>当前关键事实状态：本院当前血气、血β-羟丁酸、电解质、血渗透压、定量尿量、本次入院静脉血糖与HbA1c均尚未回报，本文中一律列为“待查”，不作任何既成结论。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一、结果未回报前可下达的诊断层级</w:t>
      </w:r>
    </w:p>
    <w:p>
      <w:r>
        <w:rPr>
          <w:rFonts w:ascii="Times New Roman" w:hAnsi="Times New Roman" w:eastAsia="宋体"/>
          <w:b/>
          <w:sz w:val="21"/>
        </w:rPr>
        <w:t>按“可确认—高度提示待确认—必须立即排除—待定不预判”四级划分。“待确认”“疑似”“需要排除”均不等于确诊。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A级：由本次病史与查体可直接确认（事实层）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超重并腹型肥胖：体重76.7 kg，BMI 27.8 kg/m²，腰围106 cm。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马凡样体征：拇指征、腕征阳性；手指细长；双手掌指关节被动活动范围增大；脊柱可疑侧弯；臂展171 cm＞身高166 cm；上部量80 cm/下部量86 cm；拇外翻。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既往诊断层面事实：晶状体脱位1年；桥本甲状腺炎、亚临床甲减、甲状腺结节5年；脂肪肝2年；卵巢囊肿半月；5年前剖宫产。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生命体征：体温36.7℃、脉搏98次/分、呼吸16次/分、血压116/69 mmHg（当前无休克表现，但容量状态需进一步评估）。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B级：高度提示、须本次入院样本确认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糖尿病（待本次入院样本确认，分型未定）。依据：典型多饮多尿、近1月体重下降5 kg，外院人工转录一月余前空腹血糖21.7 mmol/L、餐后2小时30.6 mmol/L、HbA1c 14.6%、尿糖4+、尿酮+。效力限制：转录无原始检验条码与采样时间，仅证明病程，本次诊断以本院当前样本血糖、HbA1c为准。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C级：必须立即排除（急危重症层，结果未回报前一律写“待排除”）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糖尿病酮症酸中毒（DKA）——待排除。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高渗高血糖状态（HHS）/高渗状态——待排除。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脱水、电解质紊乱（尤其钾、钠）——待评估。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高血糖诱因：感染（尿路、呼吸道等）、胰岛素方案不足/未监测（诺和佳10 U每日2次起始3天、无血糖监测记录）等——待排查。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妊娠——待核实（育龄、月经不规律，直接影响后续影像路径）。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D级：待定，不预判结论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糖尿病分型（1型/LADA、2型、其他特殊类型）：待C肽、胰岛自身抗体等回报。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多年多饮多尿的病因：渗透性利尿、AVP缺乏（中枢性尿崩）、肾性尿崩症、原发性烦渴——待分阶段评估。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马凡综合征：Ghent标准评估未完成（主动脉影像未做、系统评分未完整），当前仅“马凡样体征”。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甲状腺当前功能状态、生殖内分泌状态：待本次检验。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二、第一阶段：当前急症排查（入院即刻执行，先于一切非急诊病因学检查）</w:t>
      </w:r>
    </w:p>
    <w:p>
      <w:r>
        <w:rPr>
          <w:rFonts w:ascii="Times New Roman" w:hAnsi="Times New Roman" w:eastAsia="宋体"/>
          <w:b/>
          <w:sz w:val="21"/>
        </w:rPr>
        <w:t>目标：确认或排除DKA/HHS、脱水、电解质紊乱，并排查诱因。执行优先级最高；动态多尿试验等病因学检查在本阶段一律不启动。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1. 立即床旁项目（数分钟内）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指尖血糖；生命体征复测并加测直立位血压/心率；意识状态评估。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容量状态评估：皮肤弹性、黏膜、颈静脉充盈、尿量询问；记录当前体重。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2. 血液检验（本次入院样本，立即开单）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静脉血糖、血β-羟丁酸。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血气分析：pH、PaCO₂、HCO₃⁻、碱剩余、乳酸。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电解质：钠、钾、氯、钙、镁、磷。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肾功能：尿素氮、肌酐、eGFR。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血浆渗透压：实测并计算（2×Na⁺＋葡萄糖，可另计尿素）。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血常规、CRP（±降钙素原）：感染筛查。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肝功能、血脂：基线与合并症评估。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HbA1c：本次入院样本，用于确认糖尿病并评估近3个月血糖水平。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血hCG：育龄＋月经不规律＋妊娠状态未核实，第一阶段即查，结果决定后续影像路径。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3. 尿液与尿量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尿常规：尿糖、尿酮体、蛋白、沉渣；尿比重。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尿培养（用抗菌药物前留取）：诱因排查。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精确记录24小时尿量：为后续多尿病因分阶段评估保留基线（不得沿用病史估计值代替）。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4. 心电与其他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12导联心电图：钾异常的早期识别。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诱因排查：感染灶查体（咽部、肺部、腹部、泌尿系、皮肤/足部、牙龈）；用药与胰岛素注射情况核实。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肺部影像（如胸片）属电离辐射检查：先核实妊娠状态（血hCG）后执行；若判断为急救所必需，按临床风险权衡执行并记录理由。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5. 计算与判读参考阈值（通用专业标准，最终以本院回报及专科判断为准）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校正钠、阴离子间隙（AG）、有效血浆渗透压。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DKA参考门槛：血糖≥11.1 mmol/L或已知糖尿病，伴血β-羟丁酸≥3.0 mmol/L或尿酮≥2+，且pH＜7.30和/或HCO₃⁻＜18 mmol/L。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HHS参考门槛：血糖≥33.3 mmol/L、有效血浆渗透压≥320 mOsm/kg、无显著酮症酸中毒，常伴意识改变。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6. 本阶段可下达的诊断层级</w:t>
      </w:r>
    </w:p>
    <w:p>
      <w:r>
        <w:rPr>
          <w:rFonts w:ascii="Times New Roman" w:hAnsi="Times New Roman" w:eastAsia="宋体"/>
          <w:b/>
          <w:sz w:val="21"/>
        </w:rPr>
        <w:t>即第一节A/B/C/D四级：糖尿病写“待确认（分型未定）”；DKA、HHS、脱水、电解质紊乱写“待排除/待评估”；任何危象相关结论在回报前不得写为“已排除”或“无酸中毒”。交班摘要据外院尿酮+暂拟的“无明确酸中毒的糖尿病”超出当前证据层级，不予采纳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7. 触发与流转条件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若回报提示DKA/HHS/严重电解质紊乱：立即按急危重症路径处理（补液、胰岛素、补钾、监护），第二、三阶段顺延。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若危象排除且血流动力学稳定：进入第二阶段。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三、第二阶段：病情稳定后（急性危象已排除或纠正、血流动力学稳定、血糖趋于控制）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1. 糖尿病分型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检查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定位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C肽（空腹＋餐后2小时，必要时胰高糖素刺激）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常规分型检查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评估内源胰岛功能；结合病程判断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胰岛自身抗体谱（GADA、IAA、IA-2A、ZnT8A）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常规分型检查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育龄女性＋桥本甲状腺炎自身免疫背景＋体重下降＋外院尿酮史，需警惕1型/LADA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胰岛素水平（与C肽同步解读）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有适应证才做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分型存疑或考虑胰岛素抵抗评估时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OGTT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不做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糖尿病诊断已由本次样本确认者无OGTT适应证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判读要点：BMI 27.8、腰围106 cm、脂肪肝、祖辈糖尿病支持2型；消瘦趋势、酮症倾向、自身免疫背景支持1型/LADA。抗体阴性不能完全排除LADA，需结合C肽动态；分型结论前统一书写“糖尿病（分型待定）”。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2. 并发症与合并症评估（区分常规床旁筛查与有适应证才做）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常规床旁/门诊级筛查（人人执行）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尿白蛋白/肌酐比＋eGFR；眼底评估（本例合并晶状体脱位，先请眼科会诊决定散瞳与检查方式）；周围神经筛查（10 g尼龙丝、128 Hz音叉、踝反射）；足部外观与足背动脉；血压、腰围、BMI复测；血脂、肝酶；心电图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有适应证才做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BI/下肢血管评估（足部症状或动脉搏动异常时）；神经传导检查（症状不典型或进展快时）；自主神经/胃轻瘫评估（有相应症状时）；冠脉评估（有症状或高危时）；视神经与听力评估（若低渗多尿确认为AVP缺乏且糖尿病分型不典型，考虑Wolfram谱系时）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3. 甲状腺评估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常规：TSH、FT4（±FT3）、TPOAb、TgAb（桥本、亚临床甲减随访）。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常规影像：甲状腺及颈部淋巴结超声（甲状腺结节随访，无电离辐射）。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有适应证才升级：TSH异常或超声可疑征象时再行专科处理（如细针穿刺），当前不预开。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4. 生殖代谢评估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血hCG：第一阶段已查则引用结果，不重复；其阴性结果为后续非急诊影像放行前提之一。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月经稀发（周期1–2月）＋肥胖＋糖尿病背景：性激素六项（FSH、LH、E₂、孕酮、PRL、总睾酮）属有适应证检查，筛查PCOS；必要时AMH。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妇科超声：半月前发现卵巢囊肿，属随访性质，按妇科指征复查（无电离辐射）。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四、第三阶段：后续专科评估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1. 多年多饮多尿的分阶段鉴别</w:t>
      </w:r>
    </w:p>
    <w:p>
      <w:r>
        <w:rPr>
          <w:rFonts w:ascii="Times New Roman" w:hAnsi="Times New Roman" w:eastAsia="宋体"/>
          <w:b/>
          <w:sz w:val="21"/>
        </w:rPr>
        <w:t>时序要点（本例特异性）：多饮多尿先于高血糖至少2年——3年前起多饮约4000 mL/日、2年前约5000 mL/日，而1年前HbA1c仅6.3%（转录值），故糖尿病不能解释全部多尿病程；即使血糖控制达标，仍必须完成下述阶段0–2评估。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条件与内容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结论边界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阶段0：确认多尿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病情稳定、自由饮水下精确记24小时尿量；＞3 L/24 h（或＞40–50 mL/kg）为病理性多尿；同步测血钠、血糖、血渗、尿渗、尿糖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尿量未定量前不进入任何动态试验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阶段1：先考虑渗透性利尿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高血糖未控制或尿糖阳性期间，多尿首先归因于渗透性利尿（尿渗多＞300 mOsm/kg、溶质排泄率高）；处理为控制血糖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触发下一阶段条件：血糖控制达标（如空腹＜7、餐后＜10、尿糖转阴）后24小时尿量仍＞3 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阶段2：确认低渗多尿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重复晨尿/随机尿渗＜300 mOsm/kg（或尿比重≤1.005），且血糖已控制、血钠正常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确认后进入AVP缺乏（中枢性尿崩）/肾性尿崩症/原发性烦渴鉴别路径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阶段3：动态鉴别试验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禁水-加压素试验，或高渗盐水刺激联合copeptin/AVP测定（按本院条件择一）；AVP缺乏者去氨加压素后尿渗明显上升，肾性尿崩者不升，原发性烦渴者多可自行浓缩</w:t>
            </w:r>
          </w:p>
        </w:tc>
        <w:tc>
          <w:tcPr>
            <w:tcW w:type="dxa" w:w="27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结果异常后再考虑垂体MRI等定位检查（有适应证才做）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color w:val="000000"/>
          <w:sz w:val="22"/>
        </w:rPr>
        <w:t>禁水/高渗刺激试验的安全前提（全部满足方可执行）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急性代谢紊乱已纠正：血糖、电解质、酸碱、渗透压正常化，无酮症（对应材料04规则）。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血流动力学稳定，无未纠正的容量不足。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基线血钠在正常范围；无未纠正的高钙、低钾等干扰因素。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专科监护下执行，定时监测体重、血钠、血渗、尿渗。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预设终止标准：体重下降≥3–5%、血钠＞146–150 mmol/L、血浆高渗或患者不能耐受。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对原发性烦渴可能者双向告知风险（禁水期高钠、试验后水中毒）。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2. 马凡综合征/马凡样综合征评估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评估框架：Ghent 2010标准。本例：无马凡家族史；晶状体脱位（病史）存在；主动脉根部影像未做；系统评分初算约4分（拇指征＋腕征3分、脊柱可疑侧弯1分；臂展/身高171/166≈1.03未达＞1.05，上部量/下部量80/86≈0.93未达截断值，拇外翻非Ghent计分项），未达7分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首选检查（无电离辐射，常规安排）：超声心动图——主动脉根部内径与Z评分、二尖瓣；眼科会诊——晶状体脱位定位、前房、视网膜与屈光；必要时脊柱评估。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有适应证才做：主动脉CTA/MRA（超声显示不充分或需进一步规划时，MRA优先；CTA涉电离辐射，走妊娠核实流程）；FBN1等基因检测（Ghent评估后由遗传咨询决定）；血总同型半胱氨酸±甲硫氨酸——晶状体脱位＋马凡样体型，排除同型半胱氨酸尿症的适应证明确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鉴别清单：马凡综合征；晶状体脱位综合征（ectopia lentis syndrome，主动脉Z＜2且系统评分＜7时的可能落点）；同型半胱氨酸尿症；Loeys–Dietz综合征；MASS表型；家族性胸主动脉瘤/夹层；Ehlers–Danlos综合征（血管型）。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结论边界：当前仅能书写“马凡样体征，Ghent评估进行中”，不得书写“马凡综合征”。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4"/>
        </w:rPr>
        <w:t>3. 育龄患者非急诊电离辐射检查前的妊娠核实流程</w:t>
      </w:r>
    </w:p>
    <w:p>
      <w:pPr>
        <w:ind w:left="340"/>
      </w:pPr>
      <w:r>
        <w:rPr>
          <w:rFonts w:ascii="Times New Roman" w:hAnsi="Times New Roman" w:eastAsia="宋体"/>
          <w:b w:val="0"/>
          <w:sz w:val="21"/>
        </w:rPr>
        <w:t>1. 本例育龄、月经不规律（周期1–2月）、妊娠状态未核实：第一阶段即查血hCG。</w:t>
      </w:r>
    </w:p>
    <w:p>
      <w:pPr>
        <w:ind w:left="340"/>
      </w:pPr>
      <w:r>
        <w:rPr>
          <w:rFonts w:ascii="Times New Roman" w:hAnsi="Times New Roman" w:eastAsia="宋体"/>
          <w:b w:val="0"/>
          <w:sz w:val="21"/>
        </w:rPr>
        <w:t>2. 任何非急诊电离辐射检查（CT、X线类）之前：记录血hCG结果与末次月经，据此决定实施或延期。</w:t>
      </w:r>
    </w:p>
    <w:p>
      <w:pPr>
        <w:ind w:left="340"/>
      </w:pPr>
      <w:r>
        <w:rPr>
          <w:rFonts w:ascii="Times New Roman" w:hAnsi="Times New Roman" w:eastAsia="宋体"/>
          <w:b w:val="0"/>
          <w:sz w:val="21"/>
        </w:rPr>
        <w:t>3. hCG阳性或不能排除妊娠：延期非急诊检查，或改用无辐射替代（超声、MRI），并请相关专科共同决策。</w:t>
      </w:r>
    </w:p>
    <w:p>
      <w:pPr>
        <w:ind w:left="340"/>
      </w:pPr>
      <w:r>
        <w:rPr>
          <w:rFonts w:ascii="Times New Roman" w:hAnsi="Times New Roman" w:eastAsia="宋体"/>
          <w:b w:val="0"/>
          <w:sz w:val="21"/>
        </w:rPr>
        <w:t>4. hCG阴性：按适应证执行，采取防护并记录。</w:t>
      </w:r>
    </w:p>
    <w:p>
      <w:pPr>
        <w:ind w:left="340"/>
      </w:pPr>
      <w:r>
        <w:rPr>
          <w:rFonts w:ascii="Times New Roman" w:hAnsi="Times New Roman" w:eastAsia="宋体"/>
          <w:b w:val="0"/>
          <w:sz w:val="21"/>
        </w:rPr>
        <w:t>5. 急救所必需的影像不受上述限制，按临床风险权衡执行并记录理由。</w:t>
      </w:r>
    </w:p>
    <w:p>
      <w:pPr>
        <w:ind w:left="340"/>
      </w:pPr>
      <w:r>
        <w:rPr>
          <w:rFonts w:ascii="Times New Roman" w:hAnsi="Times New Roman" w:eastAsia="宋体"/>
          <w:b w:val="0"/>
          <w:sz w:val="21"/>
        </w:rPr>
        <w:t>6. 材料载末次月经2022-09-25，与全文相对时点并存且月经长期不规律：不因日期久远豁免核实，以本次血hCG为准。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五、待查清单（当前未回报，禁止写成既成事实）</w:t>
      </w:r>
    </w:p>
    <w:p>
      <w:r>
        <w:rPr>
          <w:rFonts w:ascii="Times New Roman" w:hAnsi="Times New Roman" w:eastAsia="宋体"/>
          <w:b w:val="0"/>
          <w:sz w:val="21"/>
        </w:rPr>
        <w:t>本次入院样本：静脉血糖、血β-羟丁酸、血气、电解质、肾功能、血浆渗透压、血常规、CRP、HbA1c、血hCG、尿常规/尿酮、尿培养、24小时尿量、心电图。上述项目均为第一阶段开单内容，回报前文中一律以“待查/待排除”表述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六、结论边界声明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外院人工转录（材料02）仅用于恢复病程，不替代本次入院当前样本，不参与当前危象判定。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床旁交班摘要（材料03）未经主治医师审核签名；其“可先完成尿崩症动态试验再等其他结果”与安全规则冲突，不予采纳。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“待分型”“疑似”“需要排除”不等于确诊；任何新回报改变检查路径或诊断判断时，本报告与相关记录同步更新。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